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312" w:beforeLines="100" w:after="312" w:afterLines="100" w:line="360" w:lineRule="auto"/>
        <w:jc w:val="center"/>
        <w:rPr>
          <w:rFonts w:hint="eastAsia" w:eastAsia="宋体"/>
          <w:b/>
          <w:bCs/>
          <w:sz w:val="44"/>
          <w:szCs w:val="44"/>
          <w:lang w:val="en-US" w:eastAsia="zh-CN"/>
        </w:rPr>
      </w:pPr>
      <w:bookmarkStart w:id="0" w:name="_Toc3795897"/>
    </w:p>
    <w:p>
      <w:pPr>
        <w:spacing w:before="312" w:beforeLines="100" w:after="312" w:afterLines="100" w:line="360" w:lineRule="auto"/>
        <w:jc w:val="center"/>
        <w:rPr>
          <w:b/>
          <w:bCs/>
          <w:sz w:val="44"/>
          <w:szCs w:val="44"/>
          <w:lang w:val="en-GB"/>
        </w:rPr>
      </w:pPr>
    </w:p>
    <w:p>
      <w:pPr>
        <w:adjustRightInd w:val="0"/>
        <w:snapToGrid w:val="0"/>
        <w:spacing w:line="300" w:lineRule="auto"/>
        <w:jc w:val="center"/>
        <w:rPr>
          <w:rFonts w:hint="eastAsia" w:hAnsi="宋体"/>
          <w:b/>
          <w:sz w:val="48"/>
          <w:szCs w:val="22"/>
        </w:rPr>
      </w:pPr>
      <w:r>
        <w:rPr>
          <w:rFonts w:hAnsi="宋体"/>
          <w:b/>
          <w:sz w:val="48"/>
          <w:szCs w:val="22"/>
        </w:rPr>
        <w:t>鄂尔多斯盆地南部</w:t>
      </w:r>
      <w:r>
        <w:rPr>
          <w:rFonts w:hint="eastAsia" w:hAnsi="宋体"/>
          <w:b/>
          <w:sz w:val="48"/>
          <w:szCs w:val="22"/>
        </w:rPr>
        <w:t>旬邑</w:t>
      </w:r>
      <w:r>
        <w:rPr>
          <w:rFonts w:hAnsi="宋体"/>
          <w:b/>
          <w:sz w:val="48"/>
          <w:szCs w:val="22"/>
        </w:rPr>
        <w:t>－</w:t>
      </w:r>
      <w:r>
        <w:rPr>
          <w:rFonts w:hint="eastAsia" w:hAnsi="宋体"/>
          <w:b/>
          <w:sz w:val="48"/>
          <w:szCs w:val="22"/>
        </w:rPr>
        <w:t>盐池</w:t>
      </w:r>
      <w:r>
        <w:rPr>
          <w:rFonts w:hAnsi="宋体"/>
          <w:b/>
          <w:sz w:val="48"/>
          <w:szCs w:val="22"/>
        </w:rPr>
        <w:t>地区</w:t>
      </w:r>
    </w:p>
    <w:p>
      <w:pPr>
        <w:adjustRightInd w:val="0"/>
        <w:snapToGrid w:val="0"/>
        <w:spacing w:line="300" w:lineRule="auto"/>
        <w:jc w:val="center"/>
        <w:rPr>
          <w:rFonts w:hint="eastAsia" w:hAnsi="宋体"/>
          <w:b/>
          <w:sz w:val="48"/>
          <w:szCs w:val="22"/>
        </w:rPr>
      </w:pPr>
      <w:r>
        <w:rPr>
          <w:rFonts w:hAnsi="宋体"/>
          <w:b/>
          <w:sz w:val="48"/>
          <w:szCs w:val="22"/>
        </w:rPr>
        <w:t>铀矿资源调查评价与勘查</w:t>
      </w:r>
    </w:p>
    <w:p>
      <w:pPr>
        <w:spacing w:before="156" w:beforeLines="50" w:after="156" w:afterLines="50" w:line="360" w:lineRule="auto"/>
        <w:jc w:val="center"/>
        <w:rPr>
          <w:rFonts w:ascii="华文行楷" w:eastAsia="华文行楷"/>
          <w:sz w:val="72"/>
          <w:szCs w:val="72"/>
          <w:lang w:val="en-GB"/>
        </w:rPr>
      </w:pPr>
      <w:r>
        <w:rPr>
          <w:rFonts w:hint="eastAsia" w:ascii="华文行楷" w:eastAsia="华文行楷"/>
          <w:sz w:val="72"/>
          <w:szCs w:val="72"/>
          <w:lang w:val="en-GB"/>
        </w:rPr>
        <w:t>环境影响报告表</w:t>
      </w: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rPr>
          <w:sz w:val="28"/>
          <w:szCs w:val="28"/>
          <w:lang w:val="en-GB"/>
        </w:rPr>
      </w:pPr>
    </w:p>
    <w:p>
      <w:pPr>
        <w:spacing w:line="360" w:lineRule="auto"/>
        <w:ind w:left="1260" w:leftChars="600"/>
        <w:rPr>
          <w:sz w:val="28"/>
          <w:szCs w:val="28"/>
          <w:lang w:val="en-GB"/>
        </w:rPr>
      </w:pPr>
      <w:r>
        <w:rPr>
          <w:rFonts w:hint="eastAsia"/>
          <w:sz w:val="28"/>
          <w:szCs w:val="28"/>
          <w:lang w:val="en-GB"/>
        </w:rPr>
        <w:t>建设单位：核工业二</w:t>
      </w:r>
      <w:r>
        <w:rPr>
          <w:rFonts w:hint="eastAsia"/>
          <w:sz w:val="28"/>
          <w:szCs w:val="28"/>
          <w:lang w:val="en-GB" w:eastAsia="zh-CN"/>
        </w:rPr>
        <w:t>〇</w:t>
      </w:r>
      <w:r>
        <w:rPr>
          <w:rFonts w:hint="eastAsia"/>
          <w:sz w:val="28"/>
          <w:szCs w:val="28"/>
          <w:lang w:val="en-GB"/>
        </w:rPr>
        <w:t>三研究所</w:t>
      </w:r>
      <w:r>
        <w:rPr>
          <w:rFonts w:hint="eastAsia"/>
          <w:sz w:val="28"/>
          <w:szCs w:val="28"/>
          <w:lang w:val="en-GB" w:eastAsia="zh-CN"/>
        </w:rPr>
        <w:t>（</w:t>
      </w:r>
      <w:r>
        <w:rPr>
          <w:rFonts w:hint="eastAsia"/>
          <w:sz w:val="28"/>
          <w:szCs w:val="28"/>
          <w:lang w:val="en-US" w:eastAsia="zh-CN"/>
        </w:rPr>
        <w:t>盖章</w:t>
      </w:r>
      <w:r>
        <w:rPr>
          <w:rFonts w:hint="eastAsia"/>
          <w:sz w:val="28"/>
          <w:szCs w:val="28"/>
          <w:lang w:val="en-GB" w:eastAsia="zh-CN"/>
        </w:rPr>
        <w:t>）</w:t>
      </w:r>
    </w:p>
    <w:p>
      <w:pPr>
        <w:spacing w:line="360" w:lineRule="auto"/>
        <w:ind w:left="1260" w:leftChars="600"/>
        <w:rPr>
          <w:sz w:val="28"/>
          <w:szCs w:val="28"/>
          <w:lang w:val="en-GB"/>
        </w:rPr>
      </w:pPr>
      <w:r>
        <w:rPr>
          <w:rFonts w:hint="eastAsia"/>
          <w:sz w:val="28"/>
          <w:szCs w:val="28"/>
          <w:lang w:val="en-GB"/>
        </w:rPr>
        <w:t>法人代表：王乐力</w:t>
      </w:r>
    </w:p>
    <w:p>
      <w:pPr>
        <w:spacing w:line="360" w:lineRule="auto"/>
        <w:ind w:left="1260" w:leftChars="600"/>
        <w:rPr>
          <w:sz w:val="28"/>
          <w:szCs w:val="28"/>
          <w:lang w:val="en-GB"/>
        </w:rPr>
      </w:pPr>
      <w:r>
        <w:rPr>
          <w:rFonts w:hint="eastAsia"/>
          <w:sz w:val="28"/>
          <w:szCs w:val="28"/>
          <w:lang w:val="en-GB"/>
        </w:rPr>
        <w:t>通讯地址：陕西省西咸新区沣东新城科源三路8</w:t>
      </w:r>
      <w:r>
        <w:rPr>
          <w:sz w:val="28"/>
          <w:szCs w:val="28"/>
          <w:lang w:val="en-GB"/>
        </w:rPr>
        <w:t>69</w:t>
      </w:r>
      <w:r>
        <w:rPr>
          <w:rFonts w:hint="eastAsia"/>
          <w:sz w:val="28"/>
          <w:szCs w:val="28"/>
          <w:lang w:val="en-GB"/>
        </w:rPr>
        <w:t>号</w:t>
      </w:r>
    </w:p>
    <w:p>
      <w:pPr>
        <w:spacing w:line="360" w:lineRule="auto"/>
        <w:ind w:left="1260" w:leftChars="600"/>
        <w:rPr>
          <w:sz w:val="28"/>
          <w:szCs w:val="28"/>
          <w:lang w:val="en-GB"/>
        </w:rPr>
      </w:pPr>
      <w:r>
        <w:rPr>
          <w:rFonts w:hint="eastAsia"/>
          <w:sz w:val="28"/>
          <w:szCs w:val="28"/>
          <w:lang w:val="en-GB"/>
        </w:rPr>
        <w:t>邮政编码：7</w:t>
      </w:r>
      <w:r>
        <w:rPr>
          <w:sz w:val="28"/>
          <w:szCs w:val="28"/>
          <w:lang w:val="en-GB"/>
        </w:rPr>
        <w:t>10086</w:t>
      </w:r>
    </w:p>
    <w:p>
      <w:pPr>
        <w:outlineLvl w:val="0"/>
        <w:rPr>
          <w:rFonts w:eastAsia="黑体"/>
          <w:w w:val="95"/>
          <w:sz w:val="32"/>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w w:val="95"/>
          <w:sz w:val="32"/>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outlineLvl w:val="0"/>
        <w:rPr>
          <w:rFonts w:eastAsia="黑体"/>
          <w:w w:val="95"/>
          <w:sz w:val="32"/>
        </w:rPr>
      </w:pPr>
      <w:r>
        <w:rPr>
          <w:rFonts w:hint="eastAsia" w:eastAsia="黑体"/>
          <w:w w:val="95"/>
          <w:sz w:val="32"/>
          <w:lang w:val="en-US" w:eastAsia="zh-CN"/>
        </w:rPr>
        <w:t>一、</w:t>
      </w:r>
      <w:r>
        <w:rPr>
          <w:rFonts w:eastAsia="黑体"/>
          <w:w w:val="95"/>
          <w:sz w:val="32"/>
        </w:rPr>
        <w:t>建设项目基本情况</w:t>
      </w:r>
      <w:bookmarkEnd w:id="0"/>
    </w:p>
    <w:tbl>
      <w:tblPr>
        <w:tblStyle w:val="14"/>
        <w:tblW w:w="490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23"/>
        <w:gridCol w:w="2574"/>
        <w:gridCol w:w="1347"/>
        <w:gridCol w:w="1654"/>
        <w:gridCol w:w="1419"/>
        <w:gridCol w:w="114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cantSplit/>
          <w:trHeight w:val="454" w:hRule="atLeast"/>
          <w:jc w:val="center"/>
        </w:trPr>
        <w:tc>
          <w:tcPr>
            <w:tcW w:w="915" w:type="pct"/>
            <w:vAlign w:val="center"/>
          </w:tcPr>
          <w:p>
            <w:pPr>
              <w:jc w:val="center"/>
              <w:rPr>
                <w:rFonts w:eastAsia="楷体_GB2312"/>
                <w:color w:val="000000" w:themeColor="text1"/>
                <w:sz w:val="24"/>
                <w14:textFill>
                  <w14:solidFill>
                    <w14:schemeClr w14:val="tx1"/>
                  </w14:solidFill>
                </w14:textFill>
              </w:rPr>
            </w:pPr>
            <w:r>
              <w:rPr>
                <w:color w:val="000000" w:themeColor="text1"/>
                <w:sz w:val="24"/>
                <w14:textFill>
                  <w14:solidFill>
                    <w14:schemeClr w14:val="tx1"/>
                  </w14:solidFill>
                </w14:textFill>
              </w:rPr>
              <w:t>项目名称</w:t>
            </w:r>
          </w:p>
        </w:tc>
        <w:tc>
          <w:tcPr>
            <w:tcW w:w="4084" w:type="pct"/>
            <w:gridSpan w:val="5"/>
            <w:vAlign w:val="center"/>
          </w:tcPr>
          <w:p>
            <w:pPr>
              <w:jc w:val="center"/>
              <w:rPr>
                <w:rFonts w:hint="eastAsia" w:eastAsia="宋体"/>
                <w:color w:val="000000" w:themeColor="text1"/>
                <w:sz w:val="24"/>
                <w:lang w:val="en-GB"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鄂尔多斯盆地南部旬邑－盐池地区铀矿资源调查评价与勘查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建设单位</w:t>
            </w:r>
          </w:p>
        </w:tc>
        <w:tc>
          <w:tcPr>
            <w:tcW w:w="4084" w:type="pct"/>
            <w:gridSpan w:val="5"/>
            <w:vAlign w:val="center"/>
          </w:tcPr>
          <w:p>
            <w:pPr>
              <w:jc w:val="center"/>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核工业二</w:t>
            </w:r>
            <w:r>
              <w:rPr>
                <w:rFonts w:hint="eastAsia"/>
                <w:color w:val="000000" w:themeColor="text1"/>
                <w:sz w:val="24"/>
                <w:lang w:val="en-US" w:eastAsia="zh-CN"/>
                <w14:textFill>
                  <w14:solidFill>
                    <w14:schemeClr w14:val="tx1"/>
                  </w14:solidFill>
                </w14:textFill>
              </w:rPr>
              <w:t>〇</w:t>
            </w:r>
            <w:r>
              <w:rPr>
                <w:rFonts w:hint="eastAsia"/>
                <w:color w:val="000000" w:themeColor="text1"/>
                <w:sz w:val="24"/>
                <w:lang w:val="en-GB"/>
                <w14:textFill>
                  <w14:solidFill>
                    <w14:schemeClr w14:val="tx1"/>
                  </w14:solidFill>
                </w14:textFill>
              </w:rPr>
              <w:t>三研究所</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bookmarkStart w:id="1" w:name="_Hlk519687509"/>
            <w:r>
              <w:rPr>
                <w:color w:val="000000" w:themeColor="text1"/>
                <w:sz w:val="24"/>
                <w14:textFill>
                  <w14:solidFill>
                    <w14:schemeClr w14:val="tx1"/>
                  </w14:solidFill>
                </w14:textFill>
              </w:rPr>
              <w:t>法人代表</w:t>
            </w:r>
            <w:bookmarkEnd w:id="1"/>
          </w:p>
        </w:tc>
        <w:tc>
          <w:tcPr>
            <w:tcW w:w="1968"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王乐力</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联系人</w:t>
            </w:r>
          </w:p>
        </w:tc>
        <w:tc>
          <w:tcPr>
            <w:tcW w:w="1286" w:type="pct"/>
            <w:gridSpan w:val="2"/>
            <w:vAlign w:val="center"/>
          </w:tcPr>
          <w:p>
            <w:pPr>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王江波</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通讯地址</w:t>
            </w:r>
          </w:p>
        </w:tc>
        <w:tc>
          <w:tcPr>
            <w:tcW w:w="4084" w:type="pct"/>
            <w:gridSpan w:val="5"/>
            <w:vAlign w:val="center"/>
          </w:tcPr>
          <w:p>
            <w:pPr>
              <w:jc w:val="center"/>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陕西省</w:t>
            </w:r>
            <w:r>
              <w:rPr>
                <w:rFonts w:hint="eastAsia"/>
                <w:color w:val="000000" w:themeColor="text1"/>
                <w:sz w:val="24"/>
                <w14:textFill>
                  <w14:solidFill>
                    <w14:schemeClr w14:val="tx1"/>
                  </w14:solidFill>
                </w14:textFill>
              </w:rPr>
              <w:t>西咸新区沣东新城科源三路869号</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联系电话</w:t>
            </w:r>
          </w:p>
        </w:tc>
        <w:tc>
          <w:tcPr>
            <w:tcW w:w="1292" w:type="pct"/>
            <w:vAlign w:val="center"/>
          </w:tcPr>
          <w:p>
            <w:pPr>
              <w:jc w:val="center"/>
              <w:rPr>
                <w:rFonts w:eastAsia="楷体_GB2312"/>
                <w:color w:val="000000" w:themeColor="text1"/>
                <w:sz w:val="24"/>
                <w14:textFill>
                  <w14:solidFill>
                    <w14:schemeClr w14:val="tx1"/>
                  </w14:solidFill>
                </w14:textFill>
              </w:rPr>
            </w:pPr>
            <w:r>
              <w:rPr>
                <w:rFonts w:hint="eastAsia" w:eastAsia="楷体_GB2312"/>
                <w:color w:val="000000" w:themeColor="text1"/>
                <w:sz w:val="24"/>
                <w14:textFill>
                  <w14:solidFill>
                    <w14:schemeClr w14:val="tx1"/>
                  </w14:solidFill>
                </w14:textFill>
              </w:rPr>
              <w:t>029-89101611</w:t>
            </w:r>
          </w:p>
        </w:tc>
        <w:tc>
          <w:tcPr>
            <w:tcW w:w="676"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传真</w:t>
            </w:r>
          </w:p>
        </w:tc>
        <w:tc>
          <w:tcPr>
            <w:tcW w:w="830" w:type="pct"/>
            <w:vAlign w:val="center"/>
          </w:tcPr>
          <w:p>
            <w:pPr>
              <w:jc w:val="center"/>
              <w:rPr>
                <w:rFonts w:hint="eastAsia" w:eastAsia="楷体_GB2312"/>
                <w:color w:val="000000" w:themeColor="text1"/>
                <w:sz w:val="24"/>
                <w:lang w:eastAsia="zh-CN"/>
                <w14:textFill>
                  <w14:solidFill>
                    <w14:schemeClr w14:val="tx1"/>
                  </w14:solidFill>
                </w14:textFill>
              </w:rPr>
            </w:pPr>
            <w:r>
              <w:rPr>
                <w:rFonts w:hint="eastAsia" w:eastAsia="楷体_GB2312"/>
                <w:color w:val="000000" w:themeColor="text1"/>
                <w:sz w:val="24"/>
                <w:lang w:eastAsia="zh-CN"/>
                <w14:textFill>
                  <w14:solidFill>
                    <w14:schemeClr w14:val="tx1"/>
                  </w14:solidFill>
                </w14:textFill>
              </w:rPr>
              <w:t>—</w:t>
            </w:r>
          </w:p>
        </w:tc>
        <w:tc>
          <w:tcPr>
            <w:tcW w:w="712"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邮政编码</w:t>
            </w:r>
          </w:p>
        </w:tc>
        <w:tc>
          <w:tcPr>
            <w:tcW w:w="573" w:type="pct"/>
            <w:vAlign w:val="center"/>
          </w:tcPr>
          <w:p>
            <w:pPr>
              <w:jc w:val="center"/>
              <w:rPr>
                <w:rFonts w:eastAsia="楷体_GB2312"/>
                <w:color w:val="000000" w:themeColor="text1"/>
                <w:sz w:val="24"/>
                <w14:textFill>
                  <w14:solidFill>
                    <w14:schemeClr w14:val="tx1"/>
                  </w14:solidFill>
                </w14:textFill>
              </w:rPr>
            </w:pPr>
            <w:r>
              <w:rPr>
                <w:rFonts w:eastAsia="楷体_GB2312"/>
                <w:color w:val="000000" w:themeColor="text1"/>
                <w:sz w:val="24"/>
                <w14:textFill>
                  <w14:solidFill>
                    <w14:schemeClr w14:val="tx1"/>
                  </w14:solidFill>
                </w14:textFill>
              </w:rPr>
              <w:t>71</w:t>
            </w:r>
            <w:r>
              <w:rPr>
                <w:rFonts w:hint="eastAsia" w:eastAsia="楷体_GB2312"/>
                <w:color w:val="000000" w:themeColor="text1"/>
                <w:sz w:val="24"/>
                <w14:textFill>
                  <w14:solidFill>
                    <w14:schemeClr w14:val="tx1"/>
                  </w14:solidFill>
                </w14:textFill>
              </w:rPr>
              <w:t>0086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建设地点</w:t>
            </w:r>
          </w:p>
        </w:tc>
        <w:tc>
          <w:tcPr>
            <w:tcW w:w="4084" w:type="pct"/>
            <w:gridSpan w:val="5"/>
            <w:vAlign w:val="center"/>
          </w:tcPr>
          <w:p>
            <w:pPr>
              <w:jc w:val="left"/>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行政</w:t>
            </w:r>
            <w:r>
              <w:rPr>
                <w:rFonts w:hint="eastAsia"/>
                <w:color w:val="000000" w:themeColor="text1"/>
                <w:sz w:val="24"/>
                <w:lang w:val="en-US" w:eastAsia="zh-CN"/>
                <w14:textFill>
                  <w14:solidFill>
                    <w14:schemeClr w14:val="tx1"/>
                  </w14:solidFill>
                </w14:textFill>
              </w:rPr>
              <w:t>区划隶属于</w:t>
            </w:r>
            <w:r>
              <w:rPr>
                <w:rFonts w:hint="eastAsia" w:cs="Times New Roman"/>
                <w:bCs/>
                <w:color w:val="000000" w:themeColor="text1"/>
                <w:sz w:val="24"/>
                <w:szCs w:val="20"/>
                <w:lang w:val="en-US" w:eastAsia="zh-CN"/>
                <w14:textFill>
                  <w14:solidFill>
                    <w14:schemeClr w14:val="tx1"/>
                  </w14:solidFill>
                </w14:textFill>
              </w:rPr>
              <w:t>陕西省（榆林市、延安市、渭南市、铜川市、咸阳市和宝鸡市）、甘肃省（</w:t>
            </w:r>
            <w:r>
              <w:rPr>
                <w:rFonts w:hint="eastAsia"/>
                <w:bCs/>
                <w:color w:val="000000" w:themeColor="text1"/>
                <w:sz w:val="24"/>
                <w:lang w:val="en-US" w:eastAsia="zh-CN"/>
                <w14:textFill>
                  <w14:solidFill>
                    <w14:schemeClr w14:val="tx1"/>
                  </w14:solidFill>
                </w14:textFill>
              </w:rPr>
              <w:t>平凉市和庆阳市</w:t>
            </w:r>
            <w:r>
              <w:rPr>
                <w:rFonts w:hint="eastAsia" w:cs="Times New Roman"/>
                <w:bCs/>
                <w:color w:val="000000" w:themeColor="text1"/>
                <w:sz w:val="24"/>
                <w:szCs w:val="20"/>
                <w:lang w:val="en-US" w:eastAsia="zh-CN"/>
                <w14:textFill>
                  <w14:solidFill>
                    <w14:schemeClr w14:val="tx1"/>
                  </w14:solidFill>
                </w14:textFill>
              </w:rPr>
              <w:t>）、宁夏回族自治区（</w:t>
            </w:r>
            <w:r>
              <w:rPr>
                <w:rFonts w:hint="eastAsia"/>
                <w:color w:val="000000" w:themeColor="text1"/>
                <w:sz w:val="24"/>
                <w:lang w:val="en-US" w:eastAsia="zh-CN"/>
                <w14:textFill>
                  <w14:solidFill>
                    <w14:schemeClr w14:val="tx1"/>
                  </w14:solidFill>
                </w14:textFill>
              </w:rPr>
              <w:t>银川市、吴忠市和固原市</w:t>
            </w:r>
            <w:r>
              <w:rPr>
                <w:rFonts w:hint="eastAsia" w:cs="Times New Roman"/>
                <w:bCs/>
                <w:color w:val="000000" w:themeColor="text1"/>
                <w:sz w:val="24"/>
                <w:szCs w:val="20"/>
                <w:lang w:val="en-US" w:eastAsia="zh-CN"/>
                <w14:textFill>
                  <w14:solidFill>
                    <w14:schemeClr w14:val="tx1"/>
                  </w14:solidFill>
                </w14:textFill>
              </w:rPr>
              <w:t>）、内蒙古自治区鄂尔多斯市（鄂托克前旗和乌审旗）、山西省（</w:t>
            </w:r>
            <w:r>
              <w:rPr>
                <w:rFonts w:hint="eastAsia"/>
                <w:color w:val="000000" w:themeColor="text1"/>
                <w:sz w:val="24"/>
                <w:lang w:val="en-US" w:eastAsia="zh-CN"/>
                <w14:textFill>
                  <w14:solidFill>
                    <w14:schemeClr w14:val="tx1"/>
                  </w14:solidFill>
                </w14:textFill>
              </w:rPr>
              <w:t>吕梁市和临汾市</w:t>
            </w:r>
            <w:r>
              <w:rPr>
                <w:rFonts w:hint="eastAsia" w:cs="Times New Roman"/>
                <w:bCs/>
                <w:color w:val="000000" w:themeColor="text1"/>
                <w:sz w:val="24"/>
                <w:szCs w:val="20"/>
                <w:lang w:val="en-US" w:eastAsia="zh-CN"/>
                <w14:textFill>
                  <w14:solidFill>
                    <w14:schemeClr w14:val="tx1"/>
                  </w14:solidFill>
                </w14:textFill>
              </w:rPr>
              <w:t>）管辖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立项审批部门</w:t>
            </w:r>
          </w:p>
        </w:tc>
        <w:tc>
          <w:tcPr>
            <w:tcW w:w="1968" w:type="pct"/>
            <w:gridSpan w:val="2"/>
            <w:vAlign w:val="center"/>
          </w:tcPr>
          <w:p>
            <w:pPr>
              <w:jc w:val="center"/>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中国核工业地质局</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批准文号</w:t>
            </w:r>
          </w:p>
        </w:tc>
        <w:tc>
          <w:tcPr>
            <w:tcW w:w="1286"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2022-17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75"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建设性质</w:t>
            </w:r>
          </w:p>
        </w:tc>
        <w:tc>
          <w:tcPr>
            <w:tcW w:w="1968" w:type="pct"/>
            <w:gridSpan w:val="2"/>
            <w:vAlign w:val="center"/>
          </w:tcPr>
          <w:p>
            <w:pPr>
              <w:jc w:val="center"/>
              <w:rPr>
                <w:rFonts w:eastAsia="楷体_GB2312"/>
                <w:color w:val="000000" w:themeColor="text1"/>
                <w:sz w:val="24"/>
                <w:bdr w:val="single" w:color="auto" w:sz="4" w:space="0"/>
                <w14:textFill>
                  <w14:solidFill>
                    <w14:schemeClr w14:val="tx1"/>
                  </w14:solidFill>
                </w14:textFill>
              </w:rPr>
            </w:pPr>
            <w:r>
              <w:rPr>
                <w:rFonts w:ascii="Times New Roman" w:cs="Times New Roman"/>
                <w:sz w:val="24"/>
                <w:szCs w:val="24"/>
                <w:lang w:eastAsia="zh-CN"/>
              </w:rPr>
              <w:t>新建</w:t>
            </w:r>
            <w:r>
              <w:rPr>
                <w:rFonts w:ascii="Times New Roman" w:hAnsi="Times New Roman" w:cs="Times New Roman"/>
                <w:sz w:val="24"/>
                <w:szCs w:val="24"/>
              </w:rPr>
              <w:sym w:font="Wingdings 2" w:char="0052"/>
            </w:r>
            <w:r>
              <w:rPr>
                <w:rFonts w:ascii="Times New Roman" w:cs="Times New Roman"/>
                <w:sz w:val="24"/>
                <w:szCs w:val="24"/>
                <w:lang w:eastAsia="zh-CN"/>
              </w:rPr>
              <w:t>扩建</w:t>
            </w:r>
            <w:r>
              <w:rPr>
                <w:rFonts w:ascii="Times New Roman" w:hAnsi="Times New Roman" w:cs="Times New Roman"/>
                <w:sz w:val="24"/>
                <w:szCs w:val="24"/>
                <w:lang w:eastAsia="zh-CN"/>
              </w:rPr>
              <w:sym w:font="Wingdings 2" w:char="00A3"/>
            </w:r>
            <w:r>
              <w:rPr>
                <w:rFonts w:ascii="Times New Roman" w:cs="Times New Roman"/>
                <w:sz w:val="24"/>
                <w:szCs w:val="24"/>
                <w:lang w:eastAsia="zh-CN"/>
              </w:rPr>
              <w:t>改建</w:t>
            </w:r>
            <w:r>
              <w:rPr>
                <w:rFonts w:ascii="Times New Roman" w:hAnsi="Times New Roman" w:cs="Times New Roman"/>
                <w:sz w:val="24"/>
                <w:szCs w:val="24"/>
                <w:lang w:eastAsia="zh-CN"/>
              </w:rPr>
              <w:sym w:font="Wingdings 2" w:char="00A3"/>
            </w:r>
            <w:r>
              <w:rPr>
                <w:rFonts w:ascii="Times New Roman" w:cs="Times New Roman"/>
                <w:sz w:val="24"/>
                <w:szCs w:val="24"/>
                <w:lang w:eastAsia="zh-CN"/>
              </w:rPr>
              <w:t>技改</w:t>
            </w:r>
            <w:r>
              <w:rPr>
                <w:rFonts w:ascii="Times New Roman" w:hAnsi="Times New Roman" w:cs="Times New Roman"/>
                <w:sz w:val="24"/>
                <w:szCs w:val="24"/>
                <w:lang w:eastAsia="zh-CN"/>
              </w:rPr>
              <w:sym w:font="Wingdings 2" w:char="00A3"/>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行业类别</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及代码</w:t>
            </w:r>
          </w:p>
        </w:tc>
        <w:tc>
          <w:tcPr>
            <w:tcW w:w="1286" w:type="pct"/>
            <w:gridSpan w:val="2"/>
            <w:vAlign w:val="center"/>
          </w:tcPr>
          <w:p>
            <w:pPr>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M7471</w:t>
            </w:r>
          </w:p>
          <w:p>
            <w:pPr>
              <w:jc w:val="center"/>
              <w:rPr>
                <w:color w:val="000000" w:themeColor="text1"/>
                <w:sz w:val="24"/>
                <w:lang w:val="en-GB"/>
                <w14:textFill>
                  <w14:solidFill>
                    <w14:schemeClr w14:val="tx1"/>
                  </w14:solidFill>
                </w14:textFill>
              </w:rPr>
            </w:pPr>
            <w:r>
              <w:rPr>
                <w:rFonts w:hint="eastAsia"/>
                <w:color w:val="000000" w:themeColor="text1"/>
                <w:sz w:val="24"/>
                <w:lang w:val="en-GB" w:eastAsia="zh-CN"/>
                <w14:textFill>
                  <w14:solidFill>
                    <w14:schemeClr w14:val="tx1"/>
                  </w14:solidFill>
                </w14:textFill>
              </w:rPr>
              <w:t>能源矿产地质勘查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58"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占地面积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44700</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绿化面积</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(平方米)</w:t>
            </w:r>
          </w:p>
        </w:tc>
        <w:tc>
          <w:tcPr>
            <w:tcW w:w="1286" w:type="pct"/>
            <w:gridSpan w:val="2"/>
            <w:vAlign w:val="center"/>
          </w:tcPr>
          <w:p>
            <w:pPr>
              <w:jc w:val="center"/>
              <w:rPr>
                <w:rFonts w:hint="default" w:eastAsia="宋体"/>
                <w:color w:val="000000" w:themeColor="text1"/>
                <w:sz w:val="24"/>
                <w:highlight w:val="yellow"/>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8940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16550</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(万元)</w:t>
            </w:r>
          </w:p>
        </w:tc>
        <w:tc>
          <w:tcPr>
            <w:tcW w:w="1286" w:type="pct"/>
            <w:gridSpan w:val="2"/>
            <w:vAlign w:val="center"/>
          </w:tcPr>
          <w:p>
            <w:pPr>
              <w:jc w:val="center"/>
              <w:rPr>
                <w:rFonts w:hint="default" w:eastAsia="楷体_GB2312"/>
                <w:color w:val="000000" w:themeColor="text1"/>
                <w:sz w:val="24"/>
                <w:highlight w:val="yellow"/>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1166.2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15"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环保投资占</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总投资比例</w:t>
            </w:r>
          </w:p>
        </w:tc>
        <w:tc>
          <w:tcPr>
            <w:tcW w:w="1968" w:type="pct"/>
            <w:gridSpan w:val="2"/>
            <w:vAlign w:val="center"/>
          </w:tcPr>
          <w:p>
            <w:pPr>
              <w:jc w:val="center"/>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7.05%</w:t>
            </w:r>
          </w:p>
        </w:tc>
        <w:tc>
          <w:tcPr>
            <w:tcW w:w="830" w:type="pct"/>
            <w:vAlign w:val="center"/>
          </w:tcPr>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预期投</w:t>
            </w:r>
            <w:r>
              <w:rPr>
                <w:rFonts w:hint="eastAsia"/>
                <w:color w:val="000000" w:themeColor="text1"/>
                <w:sz w:val="24"/>
                <w14:textFill>
                  <w14:solidFill>
                    <w14:schemeClr w14:val="tx1"/>
                  </w14:solidFill>
                </w14:textFill>
              </w:rPr>
              <w:t>产</w:t>
            </w:r>
          </w:p>
          <w:p>
            <w:pPr>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日期</w:t>
            </w:r>
          </w:p>
        </w:tc>
        <w:tc>
          <w:tcPr>
            <w:tcW w:w="1286" w:type="pct"/>
            <w:gridSpan w:val="2"/>
            <w:vAlign w:val="center"/>
          </w:tcPr>
          <w:p>
            <w:pPr>
              <w:jc w:val="center"/>
              <w:rPr>
                <w:rFonts w:hint="default" w:eastAsia="楷体_GB2312"/>
                <w:color w:val="000000" w:themeColor="text1"/>
                <w:sz w:val="24"/>
                <w:lang w:val="en-US" w:eastAsia="zh-CN"/>
                <w14:textFill>
                  <w14:solidFill>
                    <w14:schemeClr w14:val="tx1"/>
                  </w14:solidFill>
                </w14:textFill>
              </w:rPr>
            </w:pPr>
            <w:r>
              <w:rPr>
                <w:rFonts w:hint="eastAsia" w:eastAsia="楷体_GB2312"/>
                <w:color w:val="000000" w:themeColor="text1"/>
                <w:sz w:val="24"/>
                <w:lang w:val="en-US" w:eastAsia="zh-CN"/>
                <w14:textFill>
                  <w14:solidFill>
                    <w14:schemeClr w14:val="tx1"/>
                  </w14:solidFill>
                </w14:textFill>
              </w:rPr>
              <w:t>2022年4月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6"/>
            <w:vAlign w:val="center"/>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工程内容及规模：</w:t>
            </w:r>
          </w:p>
          <w:p>
            <w:pPr>
              <w:numPr>
                <w:ilvl w:val="0"/>
                <w:numId w:val="0"/>
              </w:numPr>
              <w:spacing w:line="360" w:lineRule="auto"/>
              <w:rPr>
                <w:rFonts w:hint="default" w:ascii="Times New Roman" w:hAnsi="Times New Roman" w:eastAsia="宋体" w:cs="Times New Roman"/>
                <w:b/>
                <w:bCs/>
                <w:color w:val="000000" w:themeColor="text1"/>
                <w:sz w:val="24"/>
                <w14:textFill>
                  <w14:solidFill>
                    <w14:schemeClr w14:val="tx1"/>
                  </w14:solidFill>
                </w14:textFill>
              </w:rPr>
            </w:pPr>
            <w:r>
              <w:rPr>
                <w:rFonts w:hint="default" w:ascii="Times New Roman" w:hAnsi="Times New Roman" w:eastAsia="宋体" w:cs="Times New Roman"/>
                <w:b/>
                <w:bCs/>
                <w:color w:val="000000" w:themeColor="text1"/>
                <w:sz w:val="24"/>
                <w:lang w:val="en-US" w:eastAsia="zh-CN"/>
                <w14:textFill>
                  <w14:solidFill>
                    <w14:schemeClr w14:val="tx1"/>
                  </w14:solidFill>
                </w14:textFill>
              </w:rPr>
              <w:t>1、</w:t>
            </w:r>
            <w:r>
              <w:rPr>
                <w:rFonts w:hint="default" w:ascii="Times New Roman" w:hAnsi="Times New Roman" w:eastAsia="宋体" w:cs="Times New Roman"/>
                <w:b/>
                <w:bCs/>
                <w:color w:val="000000" w:themeColor="text1"/>
                <w:sz w:val="24"/>
                <w14:textFill>
                  <w14:solidFill>
                    <w14:schemeClr w14:val="tx1"/>
                  </w14:solidFill>
                </w14:textFill>
              </w:rPr>
              <w:t>项目由来</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鄂尔多斯盆地南部旬邑－盐池地区铀矿资源调查评价与勘查”是中国核工业地质局下达并管理，承担单位为核工业二〇三研究所、核工业航测遥感中心、核工业二〇八大队，工作性质为区域评价－勘查，工作周期5年（2022-2026年）；</w:t>
            </w:r>
            <w:r>
              <w:rPr>
                <w:rFonts w:hint="eastAsia" w:ascii="宋体" w:hAnsi="宋体" w:eastAsia="宋体" w:cs="宋体"/>
                <w:color w:val="000000" w:themeColor="text1"/>
                <w:sz w:val="24"/>
                <w:szCs w:val="24"/>
                <w:lang w:val="en-US" w:eastAsia="zh-CN"/>
                <w14:textFill>
                  <w14:solidFill>
                    <w14:schemeClr w14:val="tx1"/>
                  </w14:solidFill>
                </w14:textFill>
              </w:rPr>
              <w:t>项目实施主体为</w:t>
            </w:r>
            <w:r>
              <w:rPr>
                <w:rFonts w:hint="eastAsia"/>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〇三研究所，</w:t>
            </w:r>
            <w:r>
              <w:rPr>
                <w:rFonts w:hint="eastAsia"/>
                <w:color w:val="000000" w:themeColor="text1"/>
                <w:sz w:val="24"/>
                <w:lang w:val="en-US" w:eastAsia="zh-CN"/>
                <w14:textFill>
                  <w14:solidFill>
                    <w14:schemeClr w14:val="tx1"/>
                  </w14:solidFill>
                </w14:textFill>
              </w:rPr>
              <w:t>负责全部地质工作和钻探工作</w:t>
            </w:r>
            <w:r>
              <w:rPr>
                <w:rFonts w:hint="eastAsia"/>
                <w:color w:val="000000" w:themeColor="text1"/>
                <w:sz w:val="24"/>
                <w:lang w:eastAsia="zh-CN"/>
                <w14:textFill>
                  <w14:solidFill>
                    <w14:schemeClr w14:val="tx1"/>
                  </w14:solidFill>
                </w14:textFill>
              </w:rPr>
              <w:t>。</w:t>
            </w:r>
          </w:p>
          <w:p>
            <w:pPr>
              <w:spacing w:line="360" w:lineRule="auto"/>
              <w:ind w:firstLine="480" w:firstLineChars="200"/>
              <w:rPr>
                <w:rFonts w:ascii="Times New Roman" w:hAnsi="Times New Roman" w:eastAsia="宋体" w:cs="Times New Roman"/>
                <w:color w:val="000000" w:themeColor="text1"/>
                <w:sz w:val="24"/>
                <w:szCs w:val="24"/>
                <w:lang w:eastAsia="zh-CN"/>
                <w14:textFill>
                  <w14:solidFill>
                    <w14:schemeClr w14:val="tx1"/>
                  </w14:solidFill>
                </w14:textFill>
              </w:rPr>
            </w:pPr>
            <w:r>
              <w:rPr>
                <w:rFonts w:ascii="Times New Roman" w:hAnsi="Times New Roman" w:cs="Times New Roman"/>
                <w:color w:val="000000" w:themeColor="text1"/>
                <w:sz w:val="24"/>
                <w:szCs w:val="24"/>
                <w:lang w:eastAsia="zh-CN"/>
                <w14:textFill>
                  <w14:solidFill>
                    <w14:schemeClr w14:val="tx1"/>
                  </w14:solidFill>
                </w14:textFill>
              </w:rPr>
              <w:t>核工业二</w:t>
            </w:r>
            <w:r>
              <w:rPr>
                <w:rFonts w:hint="eastAsia"/>
                <w:color w:val="000000" w:themeColor="text1"/>
                <w:sz w:val="24"/>
                <w:szCs w:val="24"/>
                <w:lang w:val="en-US" w:eastAsia="zh-CN"/>
                <w14:textFill>
                  <w14:solidFill>
                    <w14:schemeClr w14:val="tx1"/>
                  </w14:solidFill>
                </w14:textFill>
              </w:rPr>
              <w:t>〇</w:t>
            </w:r>
            <w:r>
              <w:rPr>
                <w:rFonts w:ascii="Times New Roman" w:hAnsi="Times New Roman" w:cs="Times New Roman"/>
                <w:color w:val="000000" w:themeColor="text1"/>
                <w:sz w:val="24"/>
                <w:szCs w:val="24"/>
                <w:lang w:eastAsia="zh-CN"/>
                <w14:textFill>
                  <w14:solidFill>
                    <w14:schemeClr w14:val="tx1"/>
                  </w14:solidFill>
                </w14:textFill>
              </w:rPr>
              <w:t>三研究所成立于1974年9月，是隶属于中国核工业集团有限公司中国铀业有限公司的综合性核地勘队伍</w:t>
            </w:r>
            <w:r>
              <w:rPr>
                <w:rFonts w:hint="eastAsia"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主要承担中国西北地区</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地质勘查与研究、资源量提交、放射性环境评价及放射性分析测试等国家战略任务，</w:t>
            </w:r>
            <w:r>
              <w:rPr>
                <w:rFonts w:hint="eastAsia" w:ascii="Times New Roman" w:hAnsi="Times New Roman" w:cs="Times New Roman"/>
                <w:color w:val="000000" w:themeColor="text1"/>
                <w:sz w:val="24"/>
                <w:szCs w:val="24"/>
                <w:lang w:val="en-US" w:eastAsia="zh-CN"/>
                <w14:textFill>
                  <w14:solidFill>
                    <w14:schemeClr w14:val="tx1"/>
                  </w14:solidFill>
                </w14:textFill>
              </w:rPr>
              <w:t>勘查</w:t>
            </w:r>
            <w:r>
              <w:rPr>
                <w:rFonts w:hint="eastAsia" w:cs="Times New Roman"/>
                <w:color w:val="000000" w:themeColor="text1"/>
                <w:sz w:val="24"/>
                <w:szCs w:val="24"/>
                <w:lang w:val="en-US" w:eastAsia="zh-CN"/>
                <w14:textFill>
                  <w14:solidFill>
                    <w14:schemeClr w14:val="tx1"/>
                  </w14:solidFill>
                </w14:textFill>
              </w:rPr>
              <w:t>区</w:t>
            </w:r>
            <w:r>
              <w:rPr>
                <w:rFonts w:ascii="Times New Roman" w:hAnsi="Times New Roman" w:cs="Times New Roman"/>
                <w:color w:val="000000" w:themeColor="text1"/>
                <w:sz w:val="24"/>
                <w:szCs w:val="24"/>
                <w:lang w:eastAsia="zh-CN"/>
                <w14:textFill>
                  <w14:solidFill>
                    <w14:schemeClr w14:val="tx1"/>
                  </w14:solidFill>
                </w14:textFill>
              </w:rPr>
              <w:t>跨新疆、内蒙、甘肃、宁夏、青海、陕西、山西等七省区。研究所在开展</w:t>
            </w:r>
            <w:r>
              <w:rPr>
                <w:rFonts w:hint="eastAsia" w:ascii="Times New Roman" w:hAnsi="Times New Roman" w:cs="Times New Roman"/>
                <w:color w:val="000000" w:themeColor="text1"/>
                <w:sz w:val="24"/>
                <w:szCs w:val="24"/>
                <w:lang w:eastAsia="zh-CN"/>
                <w14:textFill>
                  <w14:solidFill>
                    <w14:schemeClr w14:val="tx1"/>
                  </w14:solidFill>
                </w14:textFill>
              </w:rPr>
              <w:t>铀矿</w:t>
            </w:r>
            <w:r>
              <w:rPr>
                <w:rFonts w:ascii="Times New Roman" w:hAnsi="Times New Roman" w:cs="Times New Roman"/>
                <w:color w:val="000000" w:themeColor="text1"/>
                <w:sz w:val="24"/>
                <w:szCs w:val="24"/>
                <w:lang w:eastAsia="zh-CN"/>
                <w14:textFill>
                  <w14:solidFill>
                    <w14:schemeClr w14:val="tx1"/>
                  </w14:solidFill>
                </w14:textFill>
              </w:rPr>
              <w:t>勘查的同时，积极开展金属与非</w:t>
            </w:r>
            <w:r>
              <w:rPr>
                <w:rFonts w:hint="eastAsia" w:ascii="Times New Roman" w:hAnsi="Times New Roman" w:cs="Times New Roman"/>
                <w:color w:val="000000" w:themeColor="text1"/>
                <w:sz w:val="24"/>
                <w:szCs w:val="24"/>
                <w:lang w:eastAsia="zh-CN"/>
                <w14:textFill>
                  <w14:solidFill>
                    <w14:schemeClr w14:val="tx1"/>
                  </w14:solidFill>
                </w14:textFill>
              </w:rPr>
              <w:t>铀</w:t>
            </w:r>
            <w:r>
              <w:rPr>
                <w:rFonts w:ascii="Times New Roman" w:hAnsi="Times New Roman" w:cs="Times New Roman"/>
                <w:color w:val="000000" w:themeColor="text1"/>
                <w:sz w:val="24"/>
                <w:szCs w:val="24"/>
                <w:lang w:eastAsia="zh-CN"/>
                <w14:textFill>
                  <w14:solidFill>
                    <w14:schemeClr w14:val="tx1"/>
                  </w14:solidFill>
                </w14:textFill>
              </w:rPr>
              <w:t>资源找矿勘查与评价、地质灾害调查与治理、工程勘察及施工、分析测试、环境评价及环保工程、数字制图与彩色印刷、电子产品研发与生产等市场经营业务，经济规模和效益持续提升。先后获国家科技进步二等奖3项，省部级科技进步一、二等奖170余项；获陕西省高新技术企业，2011年至今获全国文明单位称号。</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w:t>
            </w:r>
            <w:r>
              <w:rPr>
                <w:rFonts w:hint="eastAsia"/>
                <w:color w:val="000000" w:themeColor="text1"/>
                <w:sz w:val="24"/>
                <w14:textFill>
                  <w14:solidFill>
                    <w14:schemeClr w14:val="tx1"/>
                  </w14:solidFill>
                </w14:textFill>
              </w:rPr>
              <w:t>工作</w:t>
            </w:r>
            <w:r>
              <w:rPr>
                <w:rFonts w:hint="eastAsia"/>
                <w:color w:val="000000" w:themeColor="text1"/>
                <w:sz w:val="24"/>
                <w:lang w:val="en-US" w:eastAsia="zh-CN"/>
                <w14:textFill>
                  <w14:solidFill>
                    <w14:schemeClr w14:val="tx1"/>
                  </w14:solidFill>
                </w14:textFill>
              </w:rPr>
              <w:t>时间</w:t>
            </w:r>
            <w:r>
              <w:rPr>
                <w:rFonts w:hint="eastAsia"/>
                <w:color w:val="000000" w:themeColor="text1"/>
                <w:sz w:val="24"/>
                <w14:textFill>
                  <w14:solidFill>
                    <w14:schemeClr w14:val="tx1"/>
                  </w14:solidFill>
                </w14:textFill>
              </w:rPr>
              <w:t>为2022-2026年，</w:t>
            </w:r>
            <w:r>
              <w:rPr>
                <w:rFonts w:hint="eastAsia"/>
                <w:color w:val="000000" w:themeColor="text1"/>
                <w:sz w:val="24"/>
                <w:lang w:val="en-US" w:eastAsia="zh-CN"/>
                <w14:textFill>
                  <w14:solidFill>
                    <w14:schemeClr w14:val="tx1"/>
                  </w14:solidFill>
                </w14:textFill>
              </w:rPr>
              <w:t>勘查区</w:t>
            </w:r>
            <w:r>
              <w:rPr>
                <w:rFonts w:hint="eastAsia" w:cs="Times New Roman"/>
                <w:bCs/>
                <w:color w:val="000000" w:themeColor="text1"/>
                <w:sz w:val="24"/>
                <w:szCs w:val="20"/>
                <w:lang w:val="en-US" w:eastAsia="zh-CN"/>
                <w14:textFill>
                  <w14:solidFill>
                    <w14:schemeClr w14:val="tx1"/>
                  </w14:solidFill>
                </w14:textFill>
              </w:rPr>
              <w:t>地跨陕西省、甘肃省、宁夏回族自治区、内蒙古自治区及山西省</w:t>
            </w:r>
            <w:r>
              <w:rPr>
                <w:rFonts w:hint="eastAsia"/>
                <w:color w:val="000000" w:themeColor="text1"/>
                <w:sz w:val="24"/>
                <w:lang w:val="en-US" w:eastAsia="zh-CN"/>
                <w14:textFill>
                  <w14:solidFill>
                    <w14:schemeClr w14:val="tx1"/>
                  </w14:solidFill>
                </w14:textFill>
              </w:rPr>
              <w:t>。2022年度</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工作量35</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kern w:val="2"/>
                <w:sz w:val="24"/>
                <w:szCs w:val="24"/>
                <w:lang w:val="en-US" w:eastAsia="zh-CN" w:bidi="ar-SA"/>
                <w14:textFill>
                  <w14:solidFill>
                    <w14:schemeClr w14:val="tx1"/>
                  </w14:solidFill>
                </w14:textFill>
              </w:rPr>
              <w:t>58个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w:t>
            </w:r>
            <w:r>
              <w:rPr>
                <w:rFonts w:hint="eastAsia" w:cs="Times New Roman"/>
                <w:b w:val="0"/>
                <w:bCs w:val="0"/>
                <w:color w:val="000000" w:themeColor="text1"/>
                <w:sz w:val="24"/>
                <w:lang w:val="en-US" w:eastAsia="zh-CN"/>
                <w14:textFill>
                  <w14:solidFill>
                    <w14:schemeClr w14:val="tx1"/>
                  </w14:solidFill>
                </w14:textFill>
              </w:rPr>
              <w:t>勘查区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预估钻探工作量</w:t>
            </w:r>
            <w:r>
              <w:rPr>
                <w:rFonts w:hint="eastAsia" w:cs="Times New Roman"/>
                <w:b w:val="0"/>
                <w:bCs w:val="0"/>
                <w:color w:val="000000" w:themeColor="text1"/>
                <w:kern w:val="2"/>
                <w:sz w:val="24"/>
                <w:szCs w:val="24"/>
                <w:lang w:val="en-US" w:eastAsia="zh-CN" w:bidi="ar-SA"/>
                <w14:textFill>
                  <w14:solidFill>
                    <w14:schemeClr w14:val="tx1"/>
                  </w14:solidFill>
                </w14:textFill>
              </w:rPr>
              <w:t>140000</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m，</w:t>
            </w:r>
            <w:r>
              <w:rPr>
                <w:rFonts w:hint="eastAsia" w:cs="Times New Roman"/>
                <w:b w:val="0"/>
                <w:bCs w:val="0"/>
                <w:color w:val="000000" w:themeColor="text1"/>
                <w:kern w:val="2"/>
                <w:sz w:val="24"/>
                <w:szCs w:val="24"/>
                <w:lang w:val="en-US" w:eastAsia="zh-CN" w:bidi="ar-SA"/>
                <w14:textFill>
                  <w14:solidFill>
                    <w14:schemeClr w14:val="tx1"/>
                  </w14:solidFill>
                </w14:textFill>
              </w:rPr>
              <w:t>拟设钻孔240个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涉及陕西省、甘肃省、宁夏回族自治区、内蒙古自治区和山西省</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Times New Roman" w:hAnsi="Times New Roman" w:cs="Times New Roman"/>
                <w:color w:val="000000" w:themeColor="text1"/>
                <w:kern w:val="2"/>
                <w:sz w:val="24"/>
                <w:szCs w:val="24"/>
                <w:lang w:eastAsia="zh-CN" w:bidi="ar-SA"/>
                <w14:textFill>
                  <w14:solidFill>
                    <w14:schemeClr w14:val="tx1"/>
                  </w14:solidFill>
                </w14:textFill>
              </w:rPr>
              <w:t>。</w:t>
            </w:r>
            <w:r>
              <w:rPr>
                <w:rFonts w:hint="eastAsia"/>
                <w:color w:val="000000" w:themeColor="text1"/>
                <w:sz w:val="24"/>
                <w:lang w:eastAsia="zh-CN"/>
                <w14:textFill>
                  <w14:solidFill>
                    <w14:schemeClr w14:val="tx1"/>
                  </w14:solidFill>
                </w14:textFill>
              </w:rPr>
              <w:t>同时评价要求勘查过程中调整的钻孔以及2023-2026年拟布设的钻孔选址应对禁止开发区域的环境敏感区及生态红线进行避让，钻孔位置明确后及时向审批部门及属地监管部门进行报备</w:t>
            </w:r>
            <w:r>
              <w:rPr>
                <w:rFonts w:hint="default" w:ascii="Times New Roman" w:hAnsi="Times New Roman" w:cs="Times New Roman"/>
                <w:color w:val="000000" w:themeColor="text1"/>
                <w:kern w:val="2"/>
                <w:sz w:val="24"/>
                <w:szCs w:val="24"/>
                <w:lang w:eastAsia="zh-CN" w:bidi="ar-SA"/>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拟布设的钻孔与勘查区内环境敏感区的位置关系详见第</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章表5-</w:t>
            </w:r>
            <w:r>
              <w:rPr>
                <w:rFonts w:hint="eastAsia" w:cs="Times New Roman"/>
                <w:color w:val="000000" w:themeColor="text1"/>
                <w:kern w:val="0"/>
                <w:sz w:val="24"/>
                <w:lang w:val="en-US" w:eastAsia="zh-CN"/>
                <w14:textFill>
                  <w14:solidFill>
                    <w14:schemeClr w14:val="tx1"/>
                  </w14:solidFill>
                </w14:textFill>
              </w:rPr>
              <w:t>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w:t>
            </w:r>
          </w:p>
          <w:p>
            <w:pPr>
              <w:spacing w:line="360" w:lineRule="auto"/>
              <w:ind w:firstLine="480" w:firstLineChars="200"/>
              <w:rPr>
                <w:rFonts w:ascii="Times New Roman" w:hAnsi="Times New Roman" w:cs="Times New Roman"/>
                <w:color w:val="000000" w:themeColor="text1"/>
                <w:sz w:val="24"/>
                <w:szCs w:val="24"/>
                <w14:textFill>
                  <w14:solidFill>
                    <w14:schemeClr w14:val="tx1"/>
                  </w14:solidFill>
                </w14:textFill>
              </w:rPr>
            </w:pPr>
            <w:r>
              <w:rPr>
                <w:rFonts w:hint="eastAsia"/>
                <w:color w:val="000000" w:themeColor="text1"/>
                <w:sz w:val="24"/>
                <w14:textFill>
                  <w14:solidFill>
                    <w14:schemeClr w14:val="tx1"/>
                  </w14:solidFill>
                </w14:textFill>
              </w:rPr>
              <w:t>根据《中华人民共和国环境影响评价法》、《建设项目环境影响评价分类管理名录》（2</w:t>
            </w:r>
            <w:r>
              <w:rPr>
                <w:color w:val="000000" w:themeColor="text1"/>
                <w:sz w:val="24"/>
                <w14:textFill>
                  <w14:solidFill>
                    <w14:schemeClr w14:val="tx1"/>
                  </w14:solidFill>
                </w14:textFill>
              </w:rPr>
              <w:t>0</w:t>
            </w:r>
            <w:r>
              <w:rPr>
                <w:rFonts w:hint="eastAsia"/>
                <w:color w:val="000000" w:themeColor="text1"/>
                <w:sz w:val="24"/>
                <w14:textFill>
                  <w14:solidFill>
                    <w14:schemeClr w14:val="tx1"/>
                  </w14:solidFill>
                </w14:textFill>
              </w:rPr>
              <w:t>21）</w:t>
            </w:r>
            <w:r>
              <w:rPr>
                <w:color w:val="000000" w:themeColor="text1"/>
                <w:sz w:val="24"/>
                <w:lang w:val="en-GB"/>
                <w14:textFill>
                  <w14:solidFill>
                    <w14:schemeClr w14:val="tx1"/>
                  </w14:solidFill>
                </w14:textFill>
              </w:rPr>
              <w:t>的有关规定</w:t>
            </w:r>
            <w:r>
              <w:rPr>
                <w:rFonts w:hint="eastAsia"/>
                <w:color w:val="000000" w:themeColor="text1"/>
                <w:sz w:val="24"/>
                <w14:textFill>
                  <w14:solidFill>
                    <w14:schemeClr w14:val="tx1"/>
                  </w14:solidFill>
                </w14:textFill>
              </w:rPr>
              <w:t>，</w:t>
            </w:r>
            <w:r>
              <w:rPr>
                <w:rFonts w:ascii="Times New Roman" w:hAnsi="Times New Roman" w:cs="Times New Roman"/>
                <w:color w:val="000000" w:themeColor="text1"/>
                <w:sz w:val="24"/>
                <w:szCs w:val="24"/>
                <w14:textFill>
                  <w14:solidFill>
                    <w14:schemeClr w14:val="tx1"/>
                  </w14:solidFill>
                </w14:textFill>
              </w:rPr>
              <w:t>该铀矿勘查项目需开展环境影响评价，并</w:t>
            </w:r>
            <w:r>
              <w:rPr>
                <w:rFonts w:hint="eastAsia" w:ascii="Times New Roman" w:hAnsi="Times New Roman" w:cs="Times New Roman"/>
                <w:color w:val="000000" w:themeColor="text1"/>
                <w:sz w:val="24"/>
                <w:szCs w:val="24"/>
                <w:lang w:val="en-US" w:eastAsia="zh-CN"/>
                <w14:textFill>
                  <w14:solidFill>
                    <w14:schemeClr w14:val="tx1"/>
                  </w14:solidFill>
                </w14:textFill>
              </w:rPr>
              <w:t>应</w:t>
            </w:r>
            <w:r>
              <w:rPr>
                <w:rFonts w:ascii="Times New Roman" w:hAnsi="Times New Roman" w:cs="Times New Roman"/>
                <w:color w:val="000000" w:themeColor="text1"/>
                <w:sz w:val="24"/>
                <w:szCs w:val="24"/>
                <w14:textFill>
                  <w14:solidFill>
                    <w14:schemeClr w14:val="tx1"/>
                  </w14:solidFill>
                </w14:textFill>
              </w:rPr>
              <w:t>编制环境影响报告表。</w:t>
            </w:r>
            <w:r>
              <w:rPr>
                <w:rFonts w:hint="eastAsia" w:ascii="Times New Roman" w:hAnsi="Times New Roman" w:cs="Times New Roman"/>
                <w:color w:val="000000" w:themeColor="text1"/>
                <w:sz w:val="24"/>
                <w:szCs w:val="24"/>
                <w:lang w:eastAsia="zh-CN"/>
                <w14:textFill>
                  <w14:solidFill>
                    <w14:schemeClr w14:val="tx1"/>
                  </w14:solidFill>
                </w14:textFill>
              </w:rPr>
              <w:t>为此，我所对该项目进行环境影响评价工作。</w:t>
            </w:r>
          </w:p>
          <w:p>
            <w:pPr>
              <w:numPr>
                <w:ilvl w:val="0"/>
                <w:numId w:val="0"/>
              </w:numPr>
              <w:spacing w:line="360" w:lineRule="auto"/>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lang w:val="en-US" w:eastAsia="zh-CN"/>
                <w14:textFill>
                  <w14:solidFill>
                    <w14:schemeClr w14:val="tx1"/>
                  </w14:solidFill>
                </w14:textFill>
              </w:rPr>
              <w:t>2、分析判定相关情况</w:t>
            </w:r>
          </w:p>
          <w:p>
            <w:pPr>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2.1</w:t>
            </w:r>
            <w:r>
              <w:rPr>
                <w:b/>
                <w:bCs/>
                <w:color w:val="000000" w:themeColor="text1"/>
                <w:sz w:val="24"/>
                <w14:textFill>
                  <w14:solidFill>
                    <w14:schemeClr w14:val="tx1"/>
                  </w14:solidFill>
                </w14:textFill>
              </w:rPr>
              <w:t>产业政策符合性分析</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本项目未列入</w:t>
            </w:r>
            <w:r>
              <w:rPr>
                <w:rFonts w:hint="eastAsia"/>
                <w:color w:val="000000" w:themeColor="text1"/>
                <w:sz w:val="24"/>
                <w:lang w:val="en-GB"/>
                <w14:textFill>
                  <w14:solidFill>
                    <w14:schemeClr w14:val="tx1"/>
                  </w14:solidFill>
                </w14:textFill>
              </w:rPr>
              <w:t>《陕西省国家重点生态功能区产业准入负面清单（试行）》、《甘肃省国家重点生态功能区产业准入负面清单（试行）》、</w:t>
            </w:r>
            <w:r>
              <w:rPr>
                <w:rFonts w:hint="eastAsia" w:ascii="宋体" w:hAnsi="宋体" w:cs="宋体"/>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宁夏回族自治区国家重点生态功能区产业准入负面清单</w:t>
            </w:r>
            <w:r>
              <w:rPr>
                <w:rFonts w:hint="eastAsia"/>
                <w:color w:val="000000" w:themeColor="text1"/>
                <w:sz w:val="24"/>
                <w:lang w:val="en-GB"/>
                <w14:textFill>
                  <w14:solidFill>
                    <w14:schemeClr w14:val="tx1"/>
                  </w14:solidFill>
                </w14:textFill>
              </w:rPr>
              <w:t>（试行）》、《内蒙古自治区国家重点生态功能区产业准入负面清单（试行）》</w:t>
            </w:r>
            <w:r>
              <w:rPr>
                <w:rFonts w:hint="eastAsia"/>
                <w:color w:val="000000" w:themeColor="text1"/>
                <w:sz w:val="24"/>
                <w:lang w:val="en-US" w:eastAsia="zh-CN"/>
                <w14:textFill>
                  <w14:solidFill>
                    <w14:schemeClr w14:val="tx1"/>
                  </w14:solidFill>
                </w14:textFill>
              </w:rPr>
              <w:t>和《山西</w:t>
            </w:r>
            <w:r>
              <w:rPr>
                <w:rFonts w:hint="eastAsia"/>
                <w:color w:val="000000" w:themeColor="text1"/>
                <w:sz w:val="24"/>
                <w:lang w:val="en-GB"/>
                <w14:textFill>
                  <w14:solidFill>
                    <w14:schemeClr w14:val="tx1"/>
                  </w14:solidFill>
                </w14:textFill>
              </w:rPr>
              <w:t>省国家重点生态功能区产业准入负面清单（试行）</w:t>
            </w:r>
            <w:r>
              <w:rPr>
                <w:rFonts w:hint="eastAsia"/>
                <w:color w:val="000000" w:themeColor="text1"/>
                <w:sz w:val="24"/>
                <w:lang w:val="en-US" w:eastAsia="zh-CN"/>
                <w14:textFill>
                  <w14:solidFill>
                    <w14:schemeClr w14:val="tx1"/>
                  </w14:solidFill>
                </w14:textFill>
              </w:rPr>
              <w:t>》内</w:t>
            </w:r>
            <w:r>
              <w:rPr>
                <w:rFonts w:hint="eastAsia"/>
                <w:color w:val="000000" w:themeColor="text1"/>
                <w:sz w:val="24"/>
                <w:lang w:val="en-GB"/>
                <w14:textFill>
                  <w14:solidFill>
                    <w14:schemeClr w14:val="tx1"/>
                  </w14:solidFill>
                </w14:textFill>
              </w:rPr>
              <w:t>。</w:t>
            </w:r>
          </w:p>
          <w:p>
            <w:pPr>
              <w:spacing w:line="360" w:lineRule="auto"/>
              <w:ind w:firstLine="480" w:firstLineChars="200"/>
              <w:rPr>
                <w:color w:val="000000" w:themeColor="text1"/>
                <w:sz w:val="24"/>
                <w:lang w:val="en-GB"/>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本项目</w:t>
            </w:r>
            <w:r>
              <w:rPr>
                <w:rFonts w:hint="eastAsia" w:cs="Times New Roman"/>
                <w:color w:val="000000" w:themeColor="text1"/>
                <w:sz w:val="24"/>
                <w:lang w:val="en-US" w:eastAsia="zh-CN"/>
                <w14:textFill>
                  <w14:solidFill>
                    <w14:schemeClr w14:val="tx1"/>
                  </w14:solidFill>
                </w14:textFill>
              </w:rPr>
              <w:t>属于</w:t>
            </w:r>
            <w:r>
              <w:rPr>
                <w:rFonts w:ascii="Times New Roman" w:hAnsi="Times New Roman" w:cs="Times New Roman"/>
                <w:color w:val="000000" w:themeColor="text1"/>
                <w:sz w:val="24"/>
                <w:lang w:eastAsia="zh-CN"/>
                <w14:textFill>
                  <w14:solidFill>
                    <w14:schemeClr w14:val="tx1"/>
                  </w14:solidFill>
                </w14:textFill>
              </w:rPr>
              <w:t>《产业结构调整指导目录（2019年本）》中“鼓励类”</w:t>
            </w:r>
            <w:r>
              <w:rPr>
                <w:rFonts w:hint="eastAsia" w:cs="Times New Roman"/>
                <w:color w:val="000000" w:themeColor="text1"/>
                <w:sz w:val="24"/>
                <w:lang w:eastAsia="zh-CN"/>
                <w14:textFill>
                  <w14:solidFill>
                    <w14:schemeClr w14:val="tx1"/>
                  </w14:solidFill>
                </w14:textFill>
              </w:rPr>
              <w:t>，</w:t>
            </w:r>
            <w:r>
              <w:rPr>
                <w:rFonts w:hint="eastAsia"/>
                <w:color w:val="000000" w:themeColor="text1"/>
                <w:sz w:val="24"/>
                <w:lang w:val="en-GB"/>
                <w14:textFill>
                  <w14:solidFill>
                    <w14:schemeClr w14:val="tx1"/>
                  </w14:solidFill>
                </w14:textFill>
              </w:rPr>
              <w:t>符合国家产业政策</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项目与产业政策相符性分析见表1-1</w:t>
            </w:r>
            <w:r>
              <w:rPr>
                <w:rFonts w:hint="eastAsia"/>
                <w:color w:val="000000" w:themeColor="text1"/>
                <w:sz w:val="24"/>
                <w:lang w:val="en-GB"/>
                <w14:textFill>
                  <w14:solidFill>
                    <w14:schemeClr w14:val="tx1"/>
                  </w14:solidFill>
                </w14:textFill>
              </w:rPr>
              <w:t>。</w:t>
            </w:r>
          </w:p>
          <w:p>
            <w:pPr>
              <w:spacing w:line="240" w:lineRule="auto"/>
              <w:jc w:val="center"/>
              <w:rPr>
                <w:rFonts w:hint="default" w:ascii="Times New Roman" w:hAnsi="Times New Roman" w:cs="Times New Roman"/>
                <w:b w:val="0"/>
                <w:bCs w:val="0"/>
                <w:color w:val="000000" w:themeColor="text1"/>
                <w:sz w:val="24"/>
                <w:szCs w:val="24"/>
                <w14:textFill>
                  <w14:solidFill>
                    <w14:schemeClr w14:val="tx1"/>
                  </w14:solidFill>
                </w14:textFill>
              </w:rPr>
            </w:pPr>
            <w:r>
              <w:rPr>
                <w:rFonts w:hint="default" w:ascii="Times New Roman" w:hAnsi="Times New Roman" w:cs="Times New Roman"/>
                <w:b w:val="0"/>
                <w:bCs w:val="0"/>
                <w:color w:val="000000" w:themeColor="text1"/>
                <w:sz w:val="24"/>
                <w:szCs w:val="24"/>
                <w14:textFill>
                  <w14:solidFill>
                    <w14:schemeClr w14:val="tx1"/>
                  </w14:solidFill>
                </w14:textFill>
              </w:rPr>
              <w:t>表1-1  项目与产业政策相符性分析表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2479"/>
              <w:gridCol w:w="4073"/>
              <w:gridCol w:w="1745"/>
              <w:gridCol w:w="141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 称</w:t>
                  </w:r>
                </w:p>
              </w:tc>
              <w:tc>
                <w:tcPr>
                  <w:tcW w:w="209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相关内容</w:t>
                  </w:r>
                </w:p>
              </w:tc>
              <w:tc>
                <w:tcPr>
                  <w:tcW w:w="898"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项目情况</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1276"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《产业结构调整指导目录（2019年本）》</w:t>
                  </w:r>
                </w:p>
              </w:tc>
              <w:tc>
                <w:tcPr>
                  <w:tcW w:w="2096" w:type="pct"/>
                  <w:tcBorders>
                    <w:tl2br w:val="nil"/>
                    <w:tr2bl w:val="nil"/>
                  </w:tcBorders>
                  <w:tcMar>
                    <w:top w:w="15" w:type="dxa"/>
                    <w:left w:w="15" w:type="dxa"/>
                    <w:bottom w:w="0" w:type="dxa"/>
                    <w:right w:w="15" w:type="dxa"/>
                  </w:tcMar>
                  <w:vAlign w:val="center"/>
                </w:tcPr>
                <w:p>
                  <w:pPr>
                    <w:pStyle w:val="26"/>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第一类 鼓励类</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六、核能</w:t>
                  </w:r>
                  <w:r>
                    <w:rPr>
                      <w:rFonts w:hint="eastAsia" w:ascii="Times New Roman" w:hAnsi="Times New Roman" w:cs="Times New Roman"/>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1、铀矿地质勘查和铀矿采冶、铀精制、铀转化</w:t>
                  </w:r>
                </w:p>
              </w:tc>
              <w:tc>
                <w:tcPr>
                  <w:tcW w:w="898" w:type="pct"/>
                  <w:tcBorders>
                    <w:tl2br w:val="nil"/>
                    <w:tr2bl w:val="nil"/>
                  </w:tcBorders>
                  <w:tcMar>
                    <w:top w:w="15" w:type="dxa"/>
                    <w:left w:w="15" w:type="dxa"/>
                    <w:bottom w:w="0" w:type="dxa"/>
                    <w:right w:w="15" w:type="dxa"/>
                  </w:tcMar>
                  <w:vAlign w:val="center"/>
                </w:tcPr>
                <w:p>
                  <w:pPr>
                    <w:pStyle w:val="26"/>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铀矿地质勘查</w:t>
                  </w:r>
                </w:p>
              </w:tc>
              <w:tc>
                <w:tcPr>
                  <w:tcW w:w="730" w:type="pct"/>
                  <w:tcBorders>
                    <w:tl2br w:val="nil"/>
                    <w:tr2bl w:val="nil"/>
                  </w:tcBorders>
                  <w:tcMar>
                    <w:top w:w="15" w:type="dxa"/>
                    <w:left w:w="15" w:type="dxa"/>
                    <w:bottom w:w="0" w:type="dxa"/>
                    <w:right w:w="15" w:type="dxa"/>
                  </w:tcMar>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鼓励类</w:t>
                  </w:r>
                </w:p>
              </w:tc>
            </w:tr>
          </w:tbl>
          <w:p>
            <w:pPr>
              <w:numPr>
                <w:ilvl w:val="0"/>
                <w:numId w:val="0"/>
              </w:numPr>
              <w:spacing w:line="360" w:lineRule="auto"/>
              <w:ind w:leftChars="0"/>
              <w:rPr>
                <w:b/>
                <w:bCs/>
                <w:color w:val="000000" w:themeColor="text1"/>
                <w:sz w:val="24"/>
                <w:lang w:val="en-GB"/>
                <w14:textFill>
                  <w14:solidFill>
                    <w14:schemeClr w14:val="tx1"/>
                  </w14:solidFill>
                </w14:textFill>
              </w:rPr>
            </w:pPr>
            <w:r>
              <w:rPr>
                <w:rFonts w:hint="eastAsia"/>
                <w:b/>
                <w:bCs/>
                <w:color w:val="000000" w:themeColor="text1"/>
                <w:sz w:val="24"/>
                <w:lang w:val="en-US" w:eastAsia="zh-CN"/>
                <w14:textFill>
                  <w14:solidFill>
                    <w14:schemeClr w14:val="tx1"/>
                  </w14:solidFill>
                </w14:textFill>
              </w:rPr>
              <w:t>2.2</w:t>
            </w:r>
            <w:r>
              <w:rPr>
                <w:rFonts w:hint="eastAsia"/>
                <w:b/>
                <w:bCs/>
                <w:color w:val="000000" w:themeColor="text1"/>
                <w:sz w:val="24"/>
                <w:lang w:val="en-GB"/>
                <w14:textFill>
                  <w14:solidFill>
                    <w14:schemeClr w14:val="tx1"/>
                  </w14:solidFill>
                </w14:textFill>
              </w:rPr>
              <w:t>与相关区划、规划符合性分析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由于本项目勘查区跨</w:t>
            </w:r>
            <w:r>
              <w:rPr>
                <w:rFonts w:hint="eastAsia" w:cs="Times New Roman"/>
                <w:bCs/>
                <w:color w:val="000000" w:themeColor="text1"/>
                <w:sz w:val="24"/>
                <w:szCs w:val="20"/>
                <w:lang w:val="en-US" w:eastAsia="zh-CN"/>
                <w14:textFill>
                  <w14:solidFill>
                    <w14:schemeClr w14:val="tx1"/>
                  </w14:solidFill>
                </w14:textFill>
              </w:rPr>
              <w:t>陕西省、甘肃省、宁夏回族自治区、内蒙古自治区、山西省</w:t>
            </w:r>
            <w:r>
              <w:rPr>
                <w:rFonts w:hint="eastAsia"/>
                <w:color w:val="000000" w:themeColor="text1"/>
                <w:sz w:val="24"/>
                <w:lang w:val="en-US" w:eastAsia="zh-CN"/>
                <w14:textFill>
                  <w14:solidFill>
                    <w14:schemeClr w14:val="tx1"/>
                  </w14:solidFill>
                </w14:textFill>
              </w:rPr>
              <w:t>，因此本次评价分区域进行相关规划符合性分析。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（1）与陕西省相关规划符合性分析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①与《陕西省主体功能区规划》符合性分析</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根据《陕西省主体功能区规划》，</w:t>
            </w:r>
            <w:r>
              <w:rPr>
                <w:rFonts w:hint="eastAsia"/>
                <w:color w:val="000000" w:themeColor="text1"/>
                <w:sz w:val="24"/>
                <w:lang w:val="en-GB"/>
                <w14:textFill>
                  <w14:solidFill>
                    <w14:schemeClr w14:val="tx1"/>
                  </w14:solidFill>
                </w14:textFill>
              </w:rPr>
              <w:t>将陕西省</w:t>
            </w:r>
            <w:r>
              <w:rPr>
                <w:rFonts w:hint="eastAsia"/>
                <w:color w:val="000000" w:themeColor="text1"/>
                <w:sz w:val="24"/>
                <w:lang w:val="en-US" w:eastAsia="zh-CN"/>
                <w14:textFill>
                  <w14:solidFill>
                    <w14:schemeClr w14:val="tx1"/>
                  </w14:solidFill>
                </w14:textFill>
              </w:rPr>
              <w:t>划分为</w:t>
            </w:r>
            <w:r>
              <w:rPr>
                <w:rFonts w:hint="eastAsia"/>
                <w:color w:val="000000" w:themeColor="text1"/>
                <w:sz w:val="24"/>
                <w:lang w:val="en-GB"/>
                <w14:textFill>
                  <w14:solidFill>
                    <w14:schemeClr w14:val="tx1"/>
                  </w14:solidFill>
                </w14:textFill>
              </w:rPr>
              <w:t>重点开发区域、限制开发区域和禁止开发区域三类。</w:t>
            </w:r>
          </w:p>
          <w:p>
            <w:pPr>
              <w:keepNext w:val="0"/>
              <w:keepLines w:val="0"/>
              <w:widowControl/>
              <w:suppressLineNumbers w:val="0"/>
              <w:spacing w:line="360" w:lineRule="auto"/>
              <w:ind w:firstLine="480" w:firstLineChars="200"/>
              <w:jc w:val="left"/>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勘查区涉及陕西省的榆林市、铜川市、咸阳市、渭南市、宝鸡市、延安市；根据《陕西省主体功能区规划》，该区域属于国家级重点开发区域关中-天水经济区，国家重点开发区域呼包鄂榆地区，省级重点开发区域延安区块，限制开发区域（农产品主产区-渭河平原小麦主产区、渭北东部粮果区、渭北西部农牧区），国家级重点生态功能区（黄土高原丘陵沟壑水土保持生态功能区），省级重点生态功能区（沿黄黄土长梁沟壑水土保持生态片区、子午岭森林生态片区、黄龙山生物多样性保护片区）。</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勘查区内分布有17个自然保护区，其中国家级自然保护区4个（陕西子午岭自然保护区、陕西延安黄龙山褐马鸡自然保护区、陕西陇县秦岭细鳞鲑自然保护区、陕西韩城褐马鸡自然保护区），省级自然保护区10个（陕西延安柴松自然保护区、陕西太安自然保护区、陕西黄龙山天然次生林自然保护区、陕西香山自然保护区、陕西旬邑石门山自然保护区、陕西野河自然保护区、陕西千湖湿地自然保护区、陕西桥山省级自然保护区、陕西黄河湿地省级自然保护区、陕西无定河湿地省级自然保护区）、市级自然保护区3个（陕西榆横臭柏自然保护区、陕西淳化爷台山自然保护区、陕西永寿翠屏山自然保护区）。</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16个森林公园：陕西延安国家森林公园、陕西玉华宫国家森林公园、陕西蟒头山国家森林公园、陕西石门山国家森林公园、陕西黄陵国家森林公园、陕西省龙门洞森林公园、陕西省香山森林公园、陕西省金栗山森林公园、陕西省翠屏山森林公园、陕西省定边沙地森林公园、陕西省洽川森林公园、陕西省桥北森林公园、陕西省黄龙山森林公园、陕西省仲山森林公园、陕西省方山森林公园、陕西省吴起退耕还林森林公园等。</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4个地质公园：陕西延川黄河蛇曲地质公园、陕西宜川壶口瀑布国家地质公园、陕西洛川黄土国家地质公园、陕西耀州照金丹霞国家地质公园。</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9个风景名胜区：白云山风景名胜区、南泥瓦风景名胜区、黄帝陵风景名胜区、药王山风景名胜区、唐玉华宫风景名胜区、香山-照金风景名胜区、福地湖风景名胜区、黄河龙门-司马迁祠墓风景名胜区。</w:t>
            </w:r>
          </w:p>
          <w:p>
            <w:pPr>
              <w:spacing w:line="360" w:lineRule="auto"/>
              <w:ind w:firstLine="480" w:firstLineChars="200"/>
              <w:rPr>
                <w:rFonts w:hint="eastAsia" w:eastAsia="宋体"/>
                <w:bCs/>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25个水源保护地：冯家山水库水源地、桃曲坡水库水源地、铜川市溪水河柳湾水源地、延安王瑶水库水源地，李家川水库水源地，</w:t>
            </w:r>
            <w:r>
              <w:rPr>
                <w:rFonts w:hint="eastAsia"/>
                <w:bCs/>
                <w:color w:val="000000" w:themeColor="text1"/>
                <w:sz w:val="24"/>
                <w14:textFill>
                  <w14:solidFill>
                    <w14:schemeClr w14:val="tx1"/>
                  </w14:solidFill>
                </w14:textFill>
              </w:rPr>
              <w:t>榆林市红石峡水库水源地、</w:t>
            </w:r>
            <w:r>
              <w:rPr>
                <w:rFonts w:hint="eastAsia"/>
                <w:bCs/>
                <w:color w:val="000000" w:themeColor="text1"/>
                <w:sz w:val="24"/>
                <w:lang w:val="en-US" w:eastAsia="zh-CN"/>
                <w14:textFill>
                  <w14:solidFill>
                    <w14:schemeClr w14:val="tx1"/>
                  </w14:solidFill>
                </w14:textFill>
              </w:rPr>
              <w:t>神木县窟野河水源地、</w:t>
            </w:r>
            <w:r>
              <w:rPr>
                <w:rFonts w:hint="eastAsia"/>
                <w:bCs/>
                <w:color w:val="000000" w:themeColor="text1"/>
                <w:sz w:val="24"/>
                <w14:textFill>
                  <w14:solidFill>
                    <w14:schemeClr w14:val="tx1"/>
                  </w14:solidFill>
                </w14:textFill>
              </w:rPr>
              <w:t>米脂县榆林沟饮用水源地、清水沟水源地、绥德县丁家沟一十里铺水源地、延川县文安驿川河水源地、延长县西河子沟水源地、延长县烟雾沟水源地、甘泉县高哨乡岳屯村水库水源地、富县莲花池大申号水库水源地、宜川县木头沟水库水源地、黄陵县郑家河水库水源地、洛川县银河水库水源地、黄龙县尧门水库水源地、韩城市薛峰水库水源地、澄城县五一水库水源地、彬县李家川水库、三原县冯村水库水源地</w:t>
            </w:r>
            <w:r>
              <w:rPr>
                <w:rFonts w:hint="eastAsia"/>
                <w:bCs/>
                <w:color w:val="000000" w:themeColor="text1"/>
                <w:sz w:val="24"/>
                <w:lang w:eastAsia="zh-CN"/>
                <w14:textFill>
                  <w14:solidFill>
                    <w14:schemeClr w14:val="tx1"/>
                  </w14:solidFill>
                </w14:textFill>
              </w:rPr>
              <w:t>。</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23个重要湿地（淳化冶峪河国家湿地公园（试点）、铜川赵氏河国家湿地公园（试点）、</w:t>
            </w:r>
            <w:r>
              <w:rPr>
                <w:rFonts w:hint="default"/>
                <w:color w:val="000000" w:themeColor="text1"/>
                <w:sz w:val="24"/>
                <w:lang w:val="en-US" w:eastAsia="zh-CN"/>
                <w14:textFill>
                  <w14:solidFill>
                    <w14:schemeClr w14:val="tx1"/>
                  </w14:solidFill>
                </w14:textFill>
              </w:rPr>
              <w:t>旬邑马栏河国家湿地公园（试点）</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澽水国家湿地公园（试点）</w:t>
            </w:r>
            <w:r>
              <w:rPr>
                <w:rFonts w:hint="eastAsia"/>
                <w:color w:val="000000" w:themeColor="text1"/>
                <w:sz w:val="24"/>
                <w:lang w:val="en-US" w:eastAsia="zh-CN"/>
                <w14:textFill>
                  <w14:solidFill>
                    <w14:schemeClr w14:val="tx1"/>
                  </w14:solidFill>
                </w14:textFill>
              </w:rPr>
              <w:t>、陕西黄河湿地、定边花麻池湿地、佳县佳芦河湿地、定边烂泥池湿地、定边莲花池湿地、定边苟池湿地、定边公布井湿地、定边明水湖湿地、榆林无定河湿地、靖边金鸡沙湿地、靖边海则滩湿地、芦河湿地、榆林大理河湿地、陕西清涧河湿地、延安延河湿地、陕西北洛河湿地、延安葫芦河湿地、陕西泾河湿地、陕西渭河湿地）。</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4个水产种质资源保护区（沮河上游国家级水产种质资源保护区、黄河陕西韩城龙门段黄河锦兰州鲇国家级水产种质资源保护区、黄河恰川段乌醴国家级水产种质资源保护区、千河国家级水产种质资源保护区）。</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3个文化遗产：彬县大佛寺石窟、党家村古建筑群、统万城遗址；以上区域属于禁止开发区域。</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项目与《陕西省主体功能区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》相符性分析见下表1-2，</w:t>
            </w:r>
            <w:r>
              <w:rPr>
                <w:rFonts w:hint="eastAsia" w:cs="Times New Roman"/>
                <w:bCs/>
                <w:color w:val="000000" w:themeColor="text1"/>
                <w:sz w:val="24"/>
                <w:lang w:val="en-US" w:eastAsia="zh-CN"/>
                <w14:textFill>
                  <w14:solidFill>
                    <w14:schemeClr w14:val="tx1"/>
                  </w14:solidFill>
                </w14:textFill>
              </w:rPr>
              <w:t>勘查区</w:t>
            </w:r>
            <w:r>
              <w:rPr>
                <w:rFonts w:hint="default" w:ascii="Times New Roman" w:hAnsi="Times New Roman" w:cs="Times New Roman"/>
                <w:bCs/>
                <w:color w:val="000000" w:themeColor="text1"/>
                <w:sz w:val="24"/>
                <w:lang w:val="en-US" w:eastAsia="zh-CN"/>
                <w14:textFill>
                  <w14:solidFill>
                    <w14:schemeClr w14:val="tx1"/>
                  </w14:solidFill>
                </w14:textFill>
              </w:rPr>
              <w:t>与</w:t>
            </w:r>
            <w:r>
              <w:rPr>
                <w:rFonts w:hint="eastAsia" w:cs="Times New Roman"/>
                <w:bCs/>
                <w:color w:val="000000" w:themeColor="text1"/>
                <w:sz w:val="24"/>
                <w:lang w:val="en-US" w:eastAsia="zh-CN"/>
                <w14:textFill>
                  <w14:solidFill>
                    <w14:schemeClr w14:val="tx1"/>
                  </w14:solidFill>
                </w14:textFill>
              </w:rPr>
              <w:t>陕西省</w:t>
            </w:r>
            <w:r>
              <w:rPr>
                <w:rFonts w:hint="default" w:ascii="Times New Roman" w:hAnsi="Times New Roman" w:cs="Times New Roman"/>
                <w:bCs/>
                <w:color w:val="000000" w:themeColor="text1"/>
                <w:sz w:val="24"/>
                <w:lang w:val="en-US" w:eastAsia="zh-CN"/>
                <w14:textFill>
                  <w14:solidFill>
                    <w14:schemeClr w14:val="tx1"/>
                  </w14:solidFill>
                </w14:textFill>
              </w:rPr>
              <w:t>主体功能区规划关系图见附图</w:t>
            </w:r>
            <w:r>
              <w:rPr>
                <w:rFonts w:hint="eastAsia" w:cs="Times New Roman"/>
                <w:bCs/>
                <w:color w:val="000000" w:themeColor="text1"/>
                <w:sz w:val="24"/>
                <w:lang w:val="en-US" w:eastAsia="zh-CN"/>
                <w14:textFill>
                  <w14:solidFill>
                    <w14:schemeClr w14:val="tx1"/>
                  </w14:solidFill>
                </w14:textFill>
              </w:rPr>
              <w:t>1</w:t>
            </w:r>
            <w:r>
              <w:rPr>
                <w:rFonts w:hint="eastAsia"/>
                <w:bCs/>
                <w:color w:val="000000" w:themeColor="text1"/>
                <w:sz w:val="24"/>
                <w:lang w:val="en-US"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表1-2  </w:t>
            </w:r>
            <w:r>
              <w:rPr>
                <w:rFonts w:hint="eastAsia"/>
                <w:bCs/>
                <w:color w:val="000000" w:themeColor="text1"/>
                <w:sz w:val="24"/>
                <w:lang w:val="en-US" w:eastAsia="zh-CN"/>
                <w14:textFill>
                  <w14:solidFill>
                    <w14:schemeClr w14:val="tx1"/>
                  </w14:solidFill>
                </w14:textFill>
              </w:rPr>
              <w:t>项目与《陕西省主体功能区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17"/>
              <w:gridCol w:w="4087"/>
              <w:gridCol w:w="3360"/>
              <w:gridCol w:w="11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095"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名称</w:t>
                  </w:r>
                </w:p>
              </w:tc>
              <w:tc>
                <w:tcPr>
                  <w:tcW w:w="4006"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相关内容</w:t>
                  </w:r>
                </w:p>
              </w:tc>
              <w:tc>
                <w:tcPr>
                  <w:tcW w:w="3293"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项目情况</w:t>
                  </w:r>
                </w:p>
              </w:tc>
              <w:tc>
                <w:tcPr>
                  <w:tcW w:w="1129" w:type="dxa"/>
                  <w:tcBorders>
                    <w:tl2br w:val="nil"/>
                    <w:tr2bl w:val="nil"/>
                  </w:tcBorders>
                  <w:tcMar>
                    <w:top w:w="15" w:type="dxa"/>
                    <w:left w:w="15" w:type="dxa"/>
                    <w:bottom w:w="0" w:type="dxa"/>
                    <w:right w:w="15" w:type="dxa"/>
                  </w:tcMar>
                  <w:vAlign w:val="center"/>
                </w:tcPr>
                <w:p>
                  <w:pPr>
                    <w:jc w:val="center"/>
                    <w:rPr>
                      <w:rFonts w:hint="eastAsia" w:ascii="宋体" w:hAnsi="宋体" w:eastAsia="宋体"/>
                      <w:color w:val="000000" w:themeColor="text1"/>
                      <w:lang w:val="en-US" w:eastAsia="zh-CN"/>
                      <w14:textFill>
                        <w14:solidFill>
                          <w14:schemeClr w14:val="tx1"/>
                        </w14:solidFill>
                      </w14:textFill>
                    </w:rPr>
                  </w:pPr>
                  <w:r>
                    <w:rPr>
                      <w:rFonts w:hint="eastAsia" w:ascii="宋体" w:hAnsi="宋体"/>
                      <w:color w:val="000000" w:themeColor="text1"/>
                      <w14:textFill>
                        <w14:solidFill>
                          <w14:schemeClr w14:val="tx1"/>
                        </w14:solidFill>
                      </w14:textFill>
                    </w:rPr>
                    <w:t>相符性</w:t>
                  </w:r>
                  <w:r>
                    <w:rPr>
                      <w:rFonts w:hint="eastAsia" w:ascii="宋体" w:hAnsi="宋体"/>
                      <w:color w:val="000000" w:themeColor="text1"/>
                      <w:lang w:val="en-US" w:eastAsia="zh-CN"/>
                      <w14:textFill>
                        <w14:solidFill>
                          <w14:schemeClr w14:val="tx1"/>
                        </w14:solidFill>
                      </w14:textFill>
                    </w:rPr>
                    <w:t>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095" w:type="dxa"/>
                  <w:vMerge w:val="restart"/>
                  <w:tcBorders>
                    <w:tl2br w:val="nil"/>
                    <w:tr2bl w:val="nil"/>
                  </w:tcBorders>
                  <w:tcMar>
                    <w:top w:w="15" w:type="dxa"/>
                    <w:left w:w="15" w:type="dxa"/>
                    <w:bottom w:w="0" w:type="dxa"/>
                    <w:right w:w="15" w:type="dxa"/>
                  </w:tcMar>
                  <w:vAlign w:val="center"/>
                </w:tcPr>
                <w:p>
                  <w:pPr>
                    <w:jc w:val="center"/>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《陕西省主体功能区规划》</w:t>
                  </w:r>
                </w:p>
              </w:tc>
              <w:tc>
                <w:tcPr>
                  <w:tcW w:w="4006" w:type="dxa"/>
                  <w:tcBorders>
                    <w:tl2br w:val="nil"/>
                    <w:tr2bl w:val="nil"/>
                  </w:tcBorders>
                  <w:tcMar>
                    <w:top w:w="15" w:type="dxa"/>
                    <w:left w:w="15" w:type="dxa"/>
                    <w:bottom w:w="0" w:type="dxa"/>
                    <w:right w:w="15" w:type="dxa"/>
                  </w:tcMar>
                  <w:vAlign w:val="center"/>
                </w:tcPr>
                <w:p>
                  <w:pPr>
                    <w:pStyle w:val="26"/>
                    <w:jc w:val="both"/>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重点开发区域：指有一定经济基础，资源环境承载能力较强，发展潜力较大，集聚人口和经济条件较好，从而应该重点进行工业化城镇化开发的城市化地区</w:t>
                  </w:r>
                </w:p>
              </w:tc>
              <w:tc>
                <w:tcPr>
                  <w:tcW w:w="3293" w:type="dxa"/>
                  <w:tcBorders>
                    <w:tl2br w:val="nil"/>
                    <w:tr2bl w:val="nil"/>
                  </w:tcBorders>
                  <w:tcMar>
                    <w:top w:w="15" w:type="dxa"/>
                    <w:left w:w="15" w:type="dxa"/>
                    <w:bottom w:w="0" w:type="dxa"/>
                    <w:right w:w="15" w:type="dxa"/>
                  </w:tcMar>
                  <w:vAlign w:val="center"/>
                </w:tcPr>
                <w:p>
                  <w:pPr>
                    <w:pStyle w:val="26"/>
                    <w:jc w:val="both"/>
                    <w:rPr>
                      <w:rFonts w:hint="default" w:hAnsi="宋体" w:eastAsia="宋体" w:cs="Times New Roman"/>
                      <w:color w:val="000000" w:themeColor="text1"/>
                      <w:lang w:val="en-US" w:eastAsia="zh-CN"/>
                      <w14:textFill>
                        <w14:solidFill>
                          <w14:schemeClr w14:val="tx1"/>
                        </w14:solidFill>
                      </w14:textFill>
                    </w:rPr>
                  </w:pPr>
                  <w:r>
                    <w:rPr>
                      <w:rFonts w:hint="eastAsia" w:hAnsi="宋体" w:cs="Times New Roman"/>
                      <w:color w:val="000000" w:themeColor="text1"/>
                      <w:sz w:val="21"/>
                      <w:szCs w:val="21"/>
                      <w:lang w:val="en-US" w:eastAsia="zh-CN"/>
                      <w14:textFill>
                        <w14:solidFill>
                          <w14:schemeClr w14:val="tx1"/>
                        </w14:solidFill>
                      </w14:textFill>
                    </w:rPr>
                    <w:t>勘查区内</w:t>
                  </w:r>
                  <w:r>
                    <w:rPr>
                      <w:rFonts w:hint="default" w:hAnsi="宋体" w:cs="Times New Roman"/>
                      <w:color w:val="000000" w:themeColor="text1"/>
                      <w:sz w:val="21"/>
                      <w:szCs w:val="21"/>
                      <w:lang w:val="en-US" w:eastAsia="zh-CN"/>
                      <w14:textFill>
                        <w14:solidFill>
                          <w14:schemeClr w14:val="tx1"/>
                        </w14:solidFill>
                      </w14:textFill>
                    </w:rPr>
                    <w:t>榆林市（定边县、靖边县、横山县、榆阳区）</w:t>
                  </w:r>
                  <w:r>
                    <w:rPr>
                      <w:rFonts w:hint="eastAsia" w:hAnsi="宋体" w:cs="Times New Roman"/>
                      <w:color w:val="000000" w:themeColor="text1"/>
                      <w:sz w:val="21"/>
                      <w:szCs w:val="21"/>
                      <w:lang w:val="en-US" w:eastAsia="zh-CN"/>
                      <w14:textFill>
                        <w14:solidFill>
                          <w14:schemeClr w14:val="tx1"/>
                        </w14:solidFill>
                      </w14:textFill>
                    </w:rPr>
                    <w:t>、</w:t>
                  </w:r>
                  <w:r>
                    <w:rPr>
                      <w:rFonts w:hint="default" w:hAnsi="宋体" w:cs="Times New Roman"/>
                      <w:color w:val="000000" w:themeColor="text1"/>
                      <w:sz w:val="21"/>
                      <w:szCs w:val="21"/>
                      <w:lang w:val="en-US" w:eastAsia="zh-CN"/>
                      <w14:textFill>
                        <w14:solidFill>
                          <w14:schemeClr w14:val="tx1"/>
                        </w14:solidFill>
                      </w14:textFill>
                    </w:rPr>
                    <w:t>铜川市（印台区、宜君县、耀州区）、咸阳市（长武县、彬县、旬邑县）、渭南市（富平县、韩城市）、宝鸡市（凤翔县、岐山县）</w:t>
                  </w:r>
                  <w:r>
                    <w:rPr>
                      <w:rFonts w:hint="eastAsia" w:hAnsi="宋体" w:cs="Times New Roman"/>
                      <w:color w:val="000000" w:themeColor="text1"/>
                      <w:sz w:val="21"/>
                      <w:szCs w:val="21"/>
                      <w:lang w:val="en-US" w:eastAsia="zh-CN"/>
                      <w14:textFill>
                        <w14:solidFill>
                          <w14:schemeClr w14:val="tx1"/>
                        </w14:solidFill>
                      </w14:textFill>
                    </w:rPr>
                    <w:t>、</w:t>
                  </w:r>
                  <w:r>
                    <w:rPr>
                      <w:rFonts w:hint="default" w:hAnsi="宋体" w:cs="Times New Roman"/>
                      <w:color w:val="000000" w:themeColor="text1"/>
                      <w:sz w:val="21"/>
                      <w:szCs w:val="21"/>
                      <w:lang w:val="en-US" w:eastAsia="zh-CN"/>
                      <w14:textFill>
                        <w14:solidFill>
                          <w14:schemeClr w14:val="tx1"/>
                        </w14:solidFill>
                      </w14:textFill>
                    </w:rPr>
                    <w:t>延安市</w:t>
                  </w:r>
                  <w:r>
                    <w:rPr>
                      <w:rFonts w:hint="eastAsia" w:hAnsi="宋体" w:cs="Times New Roman"/>
                      <w:color w:val="000000" w:themeColor="text1"/>
                      <w:sz w:val="21"/>
                      <w:szCs w:val="21"/>
                      <w:lang w:val="en-US" w:eastAsia="zh-CN"/>
                      <w14:textFill>
                        <w14:solidFill>
                          <w14:schemeClr w14:val="tx1"/>
                        </w14:solidFill>
                      </w14:textFill>
                    </w:rPr>
                    <w:t>（</w:t>
                  </w:r>
                  <w:r>
                    <w:rPr>
                      <w:rFonts w:hint="default" w:hAnsi="宋体" w:cs="Times New Roman"/>
                      <w:color w:val="000000" w:themeColor="text1"/>
                      <w:sz w:val="21"/>
                      <w:szCs w:val="21"/>
                      <w:lang w:val="en-US" w:eastAsia="zh-CN"/>
                      <w14:textFill>
                        <w14:solidFill>
                          <w14:schemeClr w14:val="tx1"/>
                        </w14:solidFill>
                      </w14:textFill>
                    </w:rPr>
                    <w:t>宝塔区</w:t>
                  </w:r>
                  <w:r>
                    <w:rPr>
                      <w:rFonts w:hint="eastAsia" w:hAnsi="宋体" w:cs="Times New Roman"/>
                      <w:color w:val="000000" w:themeColor="text1"/>
                      <w:sz w:val="21"/>
                      <w:szCs w:val="21"/>
                      <w:lang w:val="en-US" w:eastAsia="zh-CN"/>
                      <w14:textFill>
                        <w14:solidFill>
                          <w14:schemeClr w14:val="tx1"/>
                        </w14:solidFill>
                      </w14:textFill>
                    </w:rPr>
                    <w:t>）</w:t>
                  </w:r>
                  <w:r>
                    <w:rPr>
                      <w:rFonts w:hint="default" w:hAnsi="宋体" w:cs="Times New Roman"/>
                      <w:color w:val="000000" w:themeColor="text1"/>
                      <w:sz w:val="21"/>
                      <w:szCs w:val="21"/>
                      <w:lang w:val="en-US" w:eastAsia="zh-CN"/>
                      <w14:textFill>
                        <w14:solidFill>
                          <w14:schemeClr w14:val="tx1"/>
                        </w14:solidFill>
                      </w14:textFill>
                    </w:rPr>
                    <w:t>属于重点开发区域</w:t>
                  </w:r>
                </w:p>
              </w:tc>
              <w:tc>
                <w:tcPr>
                  <w:tcW w:w="1129"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095"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4006" w:type="dxa"/>
                  <w:tcBorders>
                    <w:tl2br w:val="nil"/>
                    <w:tr2bl w:val="nil"/>
                  </w:tcBorders>
                  <w:tcMar>
                    <w:top w:w="15" w:type="dxa"/>
                    <w:left w:w="15" w:type="dxa"/>
                    <w:bottom w:w="0" w:type="dxa"/>
                    <w:right w:w="15" w:type="dxa"/>
                  </w:tcMar>
                  <w:vAlign w:val="center"/>
                </w:tcPr>
                <w:p>
                  <w:pPr>
                    <w:pStyle w:val="26"/>
                    <w:jc w:val="both"/>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限制开发区域(农产品主产区)：着力保护耕地，加强农业基础设施建设，稳定粮食生产，发展现代农业，增强农业综合生产能力，保障全省主要农产品有效供给，增加农民收入，加快社会主义新农村建设</w:t>
                  </w:r>
                </w:p>
              </w:tc>
              <w:tc>
                <w:tcPr>
                  <w:tcW w:w="3293" w:type="dxa"/>
                  <w:vMerge w:val="restart"/>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本项目属铀矿地质勘查，污染物产生量小，开发活动均为临时占地，采取生态保护与恢复措施，对生态环境影响小</w:t>
                  </w:r>
                </w:p>
              </w:tc>
              <w:tc>
                <w:tcPr>
                  <w:tcW w:w="1129" w:type="dxa"/>
                  <w:vMerge w:val="restart"/>
                  <w:tcBorders>
                    <w:tl2br w:val="nil"/>
                    <w:tr2bl w:val="nil"/>
                  </w:tcBorders>
                  <w:tcMar>
                    <w:top w:w="15" w:type="dxa"/>
                    <w:left w:w="15" w:type="dxa"/>
                    <w:bottom w:w="0" w:type="dxa"/>
                    <w:right w:w="15" w:type="dxa"/>
                  </w:tcMar>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095"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4006" w:type="dxa"/>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限制开发区域(重点生态功能区)：维护生物多样性。强化生态系统、生物物种和遗传资源保护，科学、合理和有序地利用生物资源。保护自然生态系统与重要物种栖息地。</w:t>
                  </w:r>
                </w:p>
              </w:tc>
              <w:tc>
                <w:tcPr>
                  <w:tcW w:w="3293"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1129" w:type="dxa"/>
                  <w:vMerge w:val="continue"/>
                  <w:tcBorders>
                    <w:tl2br w:val="nil"/>
                    <w:tr2bl w:val="nil"/>
                  </w:tcBorders>
                  <w:vAlign w:val="center"/>
                </w:tcPr>
                <w:p>
                  <w:pPr>
                    <w:widowControl/>
                    <w:jc w:val="left"/>
                    <w:rPr>
                      <w:rFonts w:ascii="宋体" w:hAnsi="宋体"/>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095"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4006" w:type="dxa"/>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禁止开发区域：严格控制人为因素对自然生态的干扰，严禁不符合主体功能区定位的开发活动，引导人口逐步有序转移，实现污染物“零排放”，提高环境质量，提高可持续发展能力。</w:t>
                  </w:r>
                </w:p>
              </w:tc>
              <w:tc>
                <w:tcPr>
                  <w:tcW w:w="3293" w:type="dxa"/>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Ansi="宋体" w:cs="Times New Roman"/>
                      <w:color w:val="000000" w:themeColor="text1"/>
                      <w:sz w:val="21"/>
                      <w:szCs w:val="21"/>
                      <w14:textFill>
                        <w14:solidFill>
                          <w14:schemeClr w14:val="tx1"/>
                        </w14:solidFill>
                      </w14:textFill>
                    </w:rPr>
                    <w:t>本项目</w:t>
                  </w:r>
                  <w:r>
                    <w:rPr>
                      <w:rFonts w:hint="eastAsia" w:hAnsi="宋体" w:cs="Times New Roman"/>
                      <w:color w:val="000000" w:themeColor="text1"/>
                      <w:sz w:val="21"/>
                      <w:szCs w:val="21"/>
                      <w:lang w:val="en-US" w:eastAsia="zh-CN"/>
                      <w14:textFill>
                        <w14:solidFill>
                          <w14:schemeClr w14:val="tx1"/>
                        </w14:solidFill>
                      </w14:textFill>
                    </w:rPr>
                    <w:t>勘查</w:t>
                  </w:r>
                  <w:r>
                    <w:rPr>
                      <w:rFonts w:hAnsi="宋体" w:cs="Times New Roman"/>
                      <w:color w:val="000000" w:themeColor="text1"/>
                      <w:sz w:val="21"/>
                      <w:szCs w:val="21"/>
                      <w14:textFill>
                        <w14:solidFill>
                          <w14:schemeClr w14:val="tx1"/>
                        </w14:solidFill>
                      </w14:textFill>
                    </w:rPr>
                    <w:t>工程不在禁止开发区域内</w:t>
                  </w:r>
                  <w:r>
                    <w:rPr>
                      <w:rFonts w:hint="eastAsia" w:hAnsi="宋体" w:cs="Times New Roman"/>
                      <w:color w:val="000000" w:themeColor="text1"/>
                      <w:sz w:val="21"/>
                      <w:szCs w:val="21"/>
                      <w14:textFill>
                        <w14:solidFill>
                          <w14:schemeClr w14:val="tx1"/>
                        </w14:solidFill>
                      </w14:textFill>
                    </w:rPr>
                    <w:t>布置</w:t>
                  </w:r>
                </w:p>
              </w:tc>
              <w:tc>
                <w:tcPr>
                  <w:tcW w:w="1129"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符合</w:t>
                  </w:r>
                </w:p>
              </w:tc>
            </w:tr>
          </w:tbl>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②与《陕西省矿产资源总体规划（2016-2020）》符合性分析</w:t>
            </w:r>
          </w:p>
          <w:p>
            <w:pPr>
              <w:spacing w:line="360" w:lineRule="auto"/>
              <w:ind w:firstLine="420" w:firstLineChars="200"/>
              <w:rPr>
                <w:rFonts w:hint="eastAsia"/>
                <w:color w:val="000000" w:themeColor="text1"/>
                <w:sz w:val="24"/>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《陕西省矿产资源总体规划（2016-2020）》相符性分析见下表1-3。</w:t>
            </w:r>
          </w:p>
          <w:p>
            <w:pPr>
              <w:pStyle w:val="4"/>
              <w:keepNext/>
              <w:keepLines/>
              <w:pageBreakBefore w:val="0"/>
              <w:widowControl w:val="0"/>
              <w:kinsoku/>
              <w:wordWrap/>
              <w:overflowPunct/>
              <w:topLinePunct w:val="0"/>
              <w:autoSpaceDE/>
              <w:autoSpaceDN/>
              <w:bidi w:val="0"/>
              <w:adjustRightInd/>
              <w:snapToGrid/>
              <w:spacing w:before="0" w:after="0" w:line="240" w:lineRule="auto"/>
              <w:jc w:val="center"/>
              <w:textAlignment w:val="auto"/>
              <w:rPr>
                <w:rFonts w:hint="default" w:ascii="Times New Roman" w:hAnsi="Times New Roman" w:cs="Times New Roman"/>
                <w:b w:val="0"/>
                <w:bCs w:val="0"/>
                <w:color w:val="000000" w:themeColor="text1"/>
                <w:lang w:val="en-US" w:eastAsia="zh-CN"/>
                <w14:textFill>
                  <w14:solidFill>
                    <w14:schemeClr w14:val="tx1"/>
                  </w14:solidFill>
                </w14:textFill>
              </w:rPr>
            </w:pPr>
            <w:r>
              <w:rPr>
                <w:rFonts w:hint="default" w:ascii="Times New Roman" w:hAnsi="Times New Roman" w:cs="Times New Roman"/>
                <w:b w:val="0"/>
                <w:bCs w:val="0"/>
                <w:color w:val="000000" w:themeColor="text1"/>
                <w:sz w:val="24"/>
                <w:lang w:val="en-US" w:eastAsia="zh-CN"/>
                <w14:textFill>
                  <w14:solidFill>
                    <w14:schemeClr w14:val="tx1"/>
                  </w14:solidFill>
                </w14:textFill>
              </w:rPr>
              <w:t>表1-3  项目与《陕西省矿产资源总体规划（2016-2020）》</w:t>
            </w:r>
            <w:r>
              <w:rPr>
                <w:rFonts w:hint="eastAsia" w:ascii="Times New Roman" w:hAnsi="Times New Roman" w:cs="Times New Roman"/>
                <w:b w:val="0"/>
                <w:bCs w:val="0"/>
                <w:color w:val="000000" w:themeColor="text1"/>
                <w:sz w:val="24"/>
                <w:lang w:val="en-US" w:eastAsia="zh-CN"/>
                <w14:textFill>
                  <w14:solidFill>
                    <w14:schemeClr w14:val="tx1"/>
                  </w14:solidFill>
                </w14:textFill>
              </w:rPr>
              <w:t>相符性分析表</w:t>
            </w:r>
          </w:p>
          <w:tbl>
            <w:tblPr>
              <w:tblStyle w:val="15"/>
              <w:tblW w:w="499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85"/>
              <w:gridCol w:w="4765"/>
              <w:gridCol w:w="1781"/>
              <w:gridCol w:w="137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453"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917"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709"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r>
                    <w:rPr>
                      <w:rFonts w:hint="eastAsia" w:cs="Times New Roman"/>
                      <w:color w:val="000000" w:themeColor="text1"/>
                      <w:kern w:val="0"/>
                      <w:sz w:val="21"/>
                      <w:szCs w:val="21"/>
                      <w:lang w:val="en-US" w:eastAsia="zh-CN" w:bidi="ar"/>
                      <w14:textFill>
                        <w14:solidFill>
                          <w14:schemeClr w14:val="tx1"/>
                        </w14:solidFill>
                      </w14:textFill>
                    </w:rPr>
                    <w:t>陕西省</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1"/>
                      <w:szCs w:val="21"/>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2453" w:type="pct"/>
                  <w:tcBorders>
                    <w:tl2br w:val="nil"/>
                    <w:tr2bl w:val="nil"/>
                  </w:tcBorders>
                  <w:vAlign w:val="center"/>
                </w:tcPr>
                <w:p>
                  <w:pPr>
                    <w:ind w:firstLine="420" w:firstLineChars="200"/>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重点勘查煤层气、页岩气、油页岩、地热、砂岩型铀矿、铁、锰、铜、金、铌、钽、铷、锑、晶质石墨、岩盐、玉石等矿产，以上矿种可优先配置探矿权，鼓励社会多元资金投资勘查。</w:t>
                  </w:r>
                </w:p>
              </w:tc>
              <w:tc>
                <w:tcPr>
                  <w:tcW w:w="917" w:type="pct"/>
                  <w:tcBorders>
                    <w:tl2br w:val="nil"/>
                    <w:tr2bl w:val="nil"/>
                  </w:tcBorders>
                  <w:vAlign w:val="center"/>
                </w:tcPr>
                <w:p>
                  <w:pPr>
                    <w:rPr>
                      <w:rFonts w:hint="default"/>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本项目属于砂岩型铀矿勘查。</w:t>
                  </w:r>
                </w:p>
              </w:tc>
              <w:tc>
                <w:tcPr>
                  <w:tcW w:w="709" w:type="pct"/>
                  <w:tcBorders>
                    <w:tl2br w:val="nil"/>
                    <w:tr2bl w:val="nil"/>
                  </w:tcBorders>
                  <w:vAlign w:val="center"/>
                </w:tcPr>
                <w:p>
                  <w:pPr>
                    <w:jc w:val="center"/>
                    <w:rPr>
                      <w:rFonts w:hint="default"/>
                      <w:color w:val="000000" w:themeColor="text1"/>
                      <w:sz w:val="24"/>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919" w:type="pct"/>
                  <w:vMerge w:val="continue"/>
                  <w:tcBorders>
                    <w:tl2br w:val="nil"/>
                    <w:tr2bl w:val="nil"/>
                  </w:tcBorders>
                </w:tcPr>
                <w:p>
                  <w:pPr>
                    <w:spacing w:line="360" w:lineRule="auto"/>
                    <w:rPr>
                      <w:rFonts w:hint="eastAsia"/>
                      <w:color w:val="000000" w:themeColor="text1"/>
                      <w:sz w:val="24"/>
                      <w:vertAlign w:val="baseline"/>
                      <w:lang w:val="en-US" w:eastAsia="zh-CN"/>
                      <w14:textFill>
                        <w14:solidFill>
                          <w14:schemeClr w14:val="tx1"/>
                        </w14:solidFill>
                      </w14:textFill>
                    </w:rPr>
                  </w:pPr>
                </w:p>
              </w:tc>
              <w:tc>
                <w:tcPr>
                  <w:tcW w:w="2453" w:type="pct"/>
                  <w:tcBorders>
                    <w:tl2br w:val="nil"/>
                    <w:tr2bl w:val="nil"/>
                  </w:tcBorders>
                  <w:vAlign w:val="center"/>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将生态环境较为脆弱的地区，水产种质资源保护区的实验区，饮用水源地的二级保护区和准保护区，秦岭之外地区的风景名胜区、森林公园、植物园和重要地质遗迹保护区，重要湿地划分为限制勘查区。</w:t>
                  </w:r>
                </w:p>
                <w:p>
                  <w:pPr>
                    <w:ind w:firstLine="420" w:firstLineChars="200"/>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将自然保护区，水产种质资源保护区核心区，饮用水源地一级保护区，自然文化遗产，秦岭地区的风景名胜区、森林公园、植物园和重要地质遗迹保护区划分为禁止勘查区。</w:t>
                  </w:r>
                </w:p>
              </w:tc>
              <w:tc>
                <w:tcPr>
                  <w:tcW w:w="917" w:type="pct"/>
                  <w:tcBorders>
                    <w:tl2br w:val="nil"/>
                    <w:tr2bl w:val="nil"/>
                  </w:tcBorders>
                  <w:vAlign w:val="center"/>
                </w:tcPr>
                <w:p>
                  <w:pPr>
                    <w:rPr>
                      <w:rFonts w:hint="default"/>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本项目勘探工程尽量避让限制勘查区，确需勘察的，批准后进行；不在禁止勘查区内进行布置。</w:t>
                  </w:r>
                </w:p>
              </w:tc>
              <w:tc>
                <w:tcPr>
                  <w:tcW w:w="709" w:type="pct"/>
                  <w:tcBorders>
                    <w:tl2br w:val="nil"/>
                    <w:tr2bl w:val="nil"/>
                  </w:tcBorders>
                  <w:vAlign w:val="center"/>
                </w:tcPr>
                <w:p>
                  <w:pPr>
                    <w:jc w:val="center"/>
                    <w:rPr>
                      <w:rFonts w:hint="eastAsia"/>
                      <w:color w:val="000000" w:themeColor="text1"/>
                      <w:sz w:val="24"/>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bl>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③与《陕西省“三线一单”生态环境分区管控》符合性分析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根据《陕西省人民政府方关于实施“三线一单”生态环境分区管控的意见》（陕政发[2020]11号），将全省行政区域统筹划定优先保护单元、重点管控单元和一般管控单元。</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全省行政区域统筹划定优先保护单元、重点管控和一般管控三类环境管控单元1381个，实施生态环境分区管控。其中优先保护单元895个，面积8.47万平方公里，占全省国土面积的41.2%，主要分布在秦巴山区、黄河流域重点生态功能区等。重点管控单元406个，面积4.88万平方公里，占全省国土面积的23.72%，主要分布在关中平原、陕北能源重化工产业聚集区、陕南重点城镇区以及环境问题相对集中的区域。一般管控单元80个，面积7.21万平方公里，占全省国土面积的35.08%。</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项目与陕西</w:t>
            </w:r>
            <w:r>
              <w:rPr>
                <w:rFonts w:hint="default" w:ascii="Times New Roman" w:hAnsi="Times New Roman" w:cs="Times New Roman"/>
                <w:color w:val="000000" w:themeColor="text1"/>
                <w:sz w:val="24"/>
                <w:lang w:val="en-US" w:eastAsia="zh-CN"/>
                <w14:textFill>
                  <w14:solidFill>
                    <w14:schemeClr w14:val="tx1"/>
                  </w14:solidFill>
                </w14:textFill>
              </w:rPr>
              <w:t>省“三线一单”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2</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eastAsia" w:cs="Times New Roman"/>
                <w:color w:val="000000" w:themeColor="text1"/>
                <w:kern w:val="0"/>
                <w:sz w:val="24"/>
                <w:lang w:val="en-US" w:eastAsia="zh-CN"/>
                <w14:textFill>
                  <w14:solidFill>
                    <w14:schemeClr w14:val="tx1"/>
                  </w14:solidFill>
                </w14:textFill>
              </w:rPr>
              <w:t>陕西省</w:t>
            </w:r>
            <w:r>
              <w:rPr>
                <w:rFonts w:hint="default" w:ascii="Times New Roman" w:hAnsi="Times New Roman" w:cs="Times New Roman"/>
                <w:color w:val="000000" w:themeColor="text1"/>
                <w:kern w:val="0"/>
                <w:sz w:val="24"/>
                <w:lang w:val="en-US" w:eastAsia="zh-CN"/>
                <w14:textFill>
                  <w14:solidFill>
                    <w14:schemeClr w14:val="tx1"/>
                  </w14:solidFill>
                </w14:textFill>
              </w:rPr>
              <w:t>划定的</w:t>
            </w:r>
            <w:r>
              <w:rPr>
                <w:rFonts w:hint="eastAsia" w:cs="Times New Roman"/>
                <w:color w:val="000000" w:themeColor="text1"/>
                <w:kern w:val="0"/>
                <w:sz w:val="24"/>
                <w:lang w:val="en-US" w:eastAsia="zh-CN"/>
                <w14:textFill>
                  <w14:solidFill>
                    <w14:schemeClr w14:val="tx1"/>
                  </w14:solidFill>
                </w14:textFill>
              </w:rPr>
              <w:t>优先保护单元、</w:t>
            </w:r>
            <w:r>
              <w:rPr>
                <w:rFonts w:hint="default" w:ascii="Times New Roman" w:hAnsi="Times New Roman" w:cs="Times New Roman"/>
                <w:color w:val="000000" w:themeColor="text1"/>
                <w:kern w:val="0"/>
                <w:sz w:val="24"/>
                <w:lang w:val="en-US" w:eastAsia="zh-CN"/>
                <w14:textFill>
                  <w14:solidFill>
                    <w14:schemeClr w14:val="tx1"/>
                  </w14:solidFill>
                </w14:textFill>
              </w:rPr>
              <w:t>重点管控单元和一般管控单元</w:t>
            </w:r>
            <w:r>
              <w:rPr>
                <w:rFonts w:hint="eastAsia" w:cs="Times New Roman"/>
                <w:color w:val="000000" w:themeColor="text1"/>
                <w:kern w:val="0"/>
                <w:sz w:val="24"/>
                <w:lang w:val="en-US" w:eastAsia="zh-CN"/>
                <w14:textFill>
                  <w14:solidFill>
                    <w14:schemeClr w14:val="tx1"/>
                  </w14:solidFill>
                </w14:textFill>
              </w:rPr>
              <w:t>；2022年钻孔坐标涉及优先保护单元和一般管控单元。</w:t>
            </w:r>
            <w:r>
              <w:rPr>
                <w:rFonts w:hint="eastAsia" w:cs="Times New Roman"/>
                <w:color w:val="000000" w:themeColor="text1"/>
                <w:sz w:val="24"/>
                <w:lang w:val="en-US" w:eastAsia="zh-CN"/>
                <w14:textFill>
                  <w14:solidFill>
                    <w14:schemeClr w14:val="tx1"/>
                  </w14:solidFill>
                </w14:textFill>
              </w:rPr>
              <w:t>陕西省</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生态红线尚未正式发布，经评价单位及建设单位去国土相关部门查阅生态红线划定初步成果（正在调整中），本项目2022年的钻孔不占用优先保护单元内的生态红线，也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年拟布设的钻孔也不得占用上述保护目标。</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《陕西省“三线一单”生态环境分区管控》相符性分析见下表1-4。</w:t>
            </w:r>
          </w:p>
          <w:p>
            <w:pPr>
              <w:numPr>
                <w:ilvl w:val="0"/>
                <w:numId w:val="0"/>
              </w:numPr>
              <w:spacing w:line="240" w:lineRule="auto"/>
              <w:jc w:val="center"/>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表1-4  项目与《</w:t>
            </w:r>
            <w:r>
              <w:rPr>
                <w:rFonts w:hint="eastAsia"/>
                <w:color w:val="000000" w:themeColor="text1"/>
                <w:sz w:val="24"/>
                <w:lang w:val="en-US" w:eastAsia="zh-CN"/>
                <w14:textFill>
                  <w14:solidFill>
                    <w14:schemeClr w14:val="tx1"/>
                  </w14:solidFill>
                </w14:textFill>
              </w:rPr>
              <w:t>陕西省“三线一单”生态环境分区管控</w:t>
            </w:r>
            <w:r>
              <w:rPr>
                <w:rFonts w:hint="eastAsia" w:cs="Times New Roman"/>
                <w:color w:val="000000" w:themeColor="text1"/>
                <w:sz w:val="24"/>
                <w:lang w:val="en-US" w:eastAsia="zh-CN"/>
                <w14:textFill>
                  <w14:solidFill>
                    <w14:schemeClr w14:val="tx1"/>
                  </w14:solidFill>
                </w14:textFill>
              </w:rPr>
              <w:t>》相符性分析表</w:t>
            </w:r>
          </w:p>
          <w:tbl>
            <w:tblPr>
              <w:tblStyle w:val="14"/>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941"/>
              <w:gridCol w:w="4000"/>
              <w:gridCol w:w="2350"/>
              <w:gridCol w:w="14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trPr>
              <w:tc>
                <w:tcPr>
                  <w:tcW w:w="999" w:type="pct"/>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名 称</w:t>
                  </w:r>
                </w:p>
              </w:tc>
              <w:tc>
                <w:tcPr>
                  <w:tcW w:w="2058" w:type="pct"/>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相关内容</w:t>
                  </w:r>
                </w:p>
              </w:tc>
              <w:tc>
                <w:tcPr>
                  <w:tcW w:w="1209" w:type="pct"/>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trPr>
              <w:tc>
                <w:tcPr>
                  <w:tcW w:w="999" w:type="pct"/>
                  <w:vMerge w:val="restart"/>
                  <w:tcBorders>
                    <w:tl2br w:val="nil"/>
                    <w:tr2bl w:val="nil"/>
                  </w:tcBorders>
                  <w:noWrap w:val="0"/>
                  <w:tcMar>
                    <w:top w:w="15" w:type="dxa"/>
                    <w:left w:w="15" w:type="dxa"/>
                    <w:bottom w:w="0" w:type="dxa"/>
                    <w:right w:w="15" w:type="dxa"/>
                  </w:tcMar>
                  <w:vAlign w:val="center"/>
                </w:tcPr>
                <w:p>
                  <w:pPr>
                    <w:bidi w:val="0"/>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陕西省“三线一单”生态环境分区管控</w:t>
                  </w:r>
                  <w:r>
                    <w:rPr>
                      <w:rFonts w:hint="eastAsia"/>
                      <w:color w:val="000000" w:themeColor="text1"/>
                      <w:lang w:eastAsia="zh-CN"/>
                      <w14:textFill>
                        <w14:solidFill>
                          <w14:schemeClr w14:val="tx1"/>
                        </w14:solidFill>
                      </w14:textFill>
                    </w:rPr>
                    <w:t>》</w:t>
                  </w:r>
                </w:p>
              </w:tc>
              <w:tc>
                <w:tcPr>
                  <w:tcW w:w="2058" w:type="pct"/>
                  <w:tcBorders>
                    <w:tl2br w:val="nil"/>
                    <w:tr2bl w:val="nil"/>
                  </w:tcBorders>
                  <w:noWrap w:val="0"/>
                  <w:tcMar>
                    <w:top w:w="15" w:type="dxa"/>
                    <w:left w:w="15" w:type="dxa"/>
                    <w:bottom w:w="0" w:type="dxa"/>
                    <w:right w:w="15" w:type="dxa"/>
                  </w:tcMar>
                  <w:vAlign w:val="center"/>
                </w:tcPr>
                <w:p>
                  <w:pPr>
                    <w:bidi w:val="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优先保护单元：以生态优先为原则，突出空间布局约束，依法禁止或限制大规模、高强度工业开发和城镇建设活动，开展生态功能受损区域生态保护修复活动，确保重要生态环境功能不降低。</w:t>
                  </w:r>
                </w:p>
              </w:tc>
              <w:tc>
                <w:tcPr>
                  <w:tcW w:w="1209" w:type="pct"/>
                  <w:vMerge w:val="restart"/>
                  <w:tcBorders>
                    <w:tl2br w:val="nil"/>
                    <w:tr2bl w:val="nil"/>
                  </w:tcBorders>
                  <w:noWrap w:val="0"/>
                  <w:tcMar>
                    <w:top w:w="15" w:type="dxa"/>
                    <w:left w:w="15" w:type="dxa"/>
                    <w:bottom w:w="0" w:type="dxa"/>
                    <w:right w:w="15" w:type="dxa"/>
                  </w:tcMar>
                  <w:vAlign w:val="center"/>
                </w:tcPr>
                <w:p>
                  <w:pPr>
                    <w:bidi w:val="0"/>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本项目2022年的钻孔不占用优先保护单元内</w:t>
                  </w:r>
                  <w:r>
                    <w:rPr>
                      <w:rFonts w:hint="eastAsia"/>
                      <w:color w:val="000000" w:themeColor="text1"/>
                      <w:lang w:val="en-US" w:eastAsia="zh-CN"/>
                      <w14:textFill>
                        <w14:solidFill>
                          <w14:schemeClr w14:val="tx1"/>
                        </w14:solidFill>
                      </w14:textFill>
                    </w:rPr>
                    <w:t>的生态红线</w:t>
                  </w:r>
                  <w:r>
                    <w:rPr>
                      <w:rFonts w:hint="default"/>
                      <w:color w:val="000000" w:themeColor="text1"/>
                      <w:lang w:val="en-US" w:eastAsia="zh-CN"/>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733" w:type="pct"/>
                  <w:vMerge w:val="restart"/>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trPr>
              <w:tc>
                <w:tcPr>
                  <w:tcW w:w="999" w:type="pct"/>
                  <w:vMerge w:val="continue"/>
                  <w:tcBorders>
                    <w:tl2br w:val="nil"/>
                    <w:tr2bl w:val="nil"/>
                  </w:tcBorders>
                  <w:noWrap w:val="0"/>
                  <w:tcMar>
                    <w:top w:w="15" w:type="dxa"/>
                    <w:left w:w="15" w:type="dxa"/>
                    <w:bottom w:w="0" w:type="dxa"/>
                    <w:right w:w="15" w:type="dxa"/>
                  </w:tcMar>
                  <w:vAlign w:val="center"/>
                </w:tcPr>
                <w:p>
                  <w:pPr>
                    <w:bidi w:val="0"/>
                    <w:rPr>
                      <w:rFonts w:hint="eastAsia"/>
                      <w:color w:val="000000" w:themeColor="text1"/>
                      <w14:textFill>
                        <w14:solidFill>
                          <w14:schemeClr w14:val="tx1"/>
                        </w14:solidFill>
                      </w14:textFill>
                    </w:rPr>
                  </w:pPr>
                </w:p>
              </w:tc>
              <w:tc>
                <w:tcPr>
                  <w:tcW w:w="2058" w:type="pct"/>
                  <w:tcBorders>
                    <w:tl2br w:val="nil"/>
                    <w:tr2bl w:val="nil"/>
                  </w:tcBorders>
                  <w:noWrap w:val="0"/>
                  <w:tcMar>
                    <w:top w:w="15" w:type="dxa"/>
                    <w:left w:w="15" w:type="dxa"/>
                    <w:bottom w:w="0" w:type="dxa"/>
                    <w:right w:w="15" w:type="dxa"/>
                  </w:tcMar>
                  <w:vAlign w:val="center"/>
                </w:tcPr>
                <w:p>
                  <w:pPr>
                    <w:bidi w:val="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重点管控单元：以提升资源利用效率、加强污染物减排治理和环境风险防控为重点，解决突出生态环境问题。</w:t>
                  </w:r>
                </w:p>
              </w:tc>
              <w:tc>
                <w:tcPr>
                  <w:tcW w:w="1209" w:type="pct"/>
                  <w:vMerge w:val="continue"/>
                  <w:tcBorders>
                    <w:tl2br w:val="nil"/>
                    <w:tr2bl w:val="nil"/>
                  </w:tcBorders>
                  <w:noWrap w:val="0"/>
                  <w:tcMar>
                    <w:top w:w="15" w:type="dxa"/>
                    <w:left w:w="15" w:type="dxa"/>
                    <w:bottom w:w="0" w:type="dxa"/>
                    <w:right w:w="15" w:type="dxa"/>
                  </w:tcMar>
                  <w:vAlign w:val="center"/>
                </w:tcPr>
                <w:p>
                  <w:pPr>
                    <w:bidi w:val="0"/>
                    <w:rPr>
                      <w:color w:val="000000" w:themeColor="text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lang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trPr>
              <w:tc>
                <w:tcPr>
                  <w:tcW w:w="999" w:type="pct"/>
                  <w:vMerge w:val="continue"/>
                  <w:tcBorders>
                    <w:tl2br w:val="nil"/>
                    <w:tr2bl w:val="nil"/>
                  </w:tcBorders>
                  <w:noWrap w:val="0"/>
                  <w:tcMar>
                    <w:top w:w="15" w:type="dxa"/>
                    <w:left w:w="15" w:type="dxa"/>
                    <w:bottom w:w="0" w:type="dxa"/>
                    <w:right w:w="15" w:type="dxa"/>
                  </w:tcMar>
                  <w:vAlign w:val="center"/>
                </w:tcPr>
                <w:p>
                  <w:pPr>
                    <w:bidi w:val="0"/>
                    <w:rPr>
                      <w:rFonts w:hint="eastAsia"/>
                      <w:color w:val="000000" w:themeColor="text1"/>
                      <w14:textFill>
                        <w14:solidFill>
                          <w14:schemeClr w14:val="tx1"/>
                        </w14:solidFill>
                      </w14:textFill>
                    </w:rPr>
                  </w:pPr>
                </w:p>
              </w:tc>
              <w:tc>
                <w:tcPr>
                  <w:tcW w:w="2058" w:type="pct"/>
                  <w:tcBorders>
                    <w:tl2br w:val="nil"/>
                    <w:tr2bl w:val="nil"/>
                  </w:tcBorders>
                  <w:noWrap w:val="0"/>
                  <w:tcMar>
                    <w:top w:w="15" w:type="dxa"/>
                    <w:left w:w="15" w:type="dxa"/>
                    <w:bottom w:w="0" w:type="dxa"/>
                    <w:right w:w="15" w:type="dxa"/>
                  </w:tcMar>
                  <w:vAlign w:val="center"/>
                </w:tcPr>
                <w:p>
                  <w:pPr>
                    <w:bidi w:val="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一般管控单元：主要落实生态环境保护基本要求。</w:t>
                  </w:r>
                </w:p>
              </w:tc>
              <w:tc>
                <w:tcPr>
                  <w:tcW w:w="1209" w:type="pct"/>
                  <w:vMerge w:val="continue"/>
                  <w:tcBorders>
                    <w:tl2br w:val="nil"/>
                    <w:tr2bl w:val="nil"/>
                  </w:tcBorders>
                  <w:noWrap w:val="0"/>
                  <w:tcMar>
                    <w:top w:w="15" w:type="dxa"/>
                    <w:left w:w="15" w:type="dxa"/>
                    <w:bottom w:w="0" w:type="dxa"/>
                    <w:right w:w="15" w:type="dxa"/>
                  </w:tcMar>
                  <w:vAlign w:val="center"/>
                </w:tcPr>
                <w:p>
                  <w:pPr>
                    <w:bidi w:val="0"/>
                    <w:rPr>
                      <w:rFonts w:hint="eastAsia"/>
                      <w:color w:val="000000" w:themeColor="text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bidi w:val="0"/>
                    <w:jc w:val="center"/>
                    <w:rPr>
                      <w:rFonts w:hint="eastAsia"/>
                      <w:color w:val="000000" w:themeColor="text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（2）与甘肃省相关规划符合性分析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①与《甘肃省主体功能区规划》符合性分析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根据《甘肃省主体功能区规划》，将甘肃省划分为重点开发区域、限制开发区域和禁止开发区域三类。</w:t>
            </w:r>
          </w:p>
          <w:p>
            <w:pPr>
              <w:pStyle w:val="12"/>
              <w:spacing w:after="0" w:line="360" w:lineRule="auto"/>
              <w:ind w:left="0" w:leftChars="0" w:firstLine="480" w:firstLineChars="200"/>
              <w:rPr>
                <w:rFonts w:hint="default"/>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平凉市、庆阳市，属于陇东黄土高原丘陵沟壑水土保持生态功能区（“三屏四区”限制开发区-重点生态功能区）、陇东农产品主产区（限制开发区-省级农产品主产区）、平庆（平凉-庆阳）地区（省级重点开发区域）。</w:t>
            </w:r>
          </w:p>
          <w:p>
            <w:pPr>
              <w:spacing w:line="360" w:lineRule="auto"/>
              <w:ind w:firstLine="480" w:firstLineChars="200"/>
              <w:rPr>
                <w:rFonts w:hint="default"/>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勘查区内</w:t>
            </w:r>
            <w:r>
              <w:rPr>
                <w:rFonts w:hint="eastAsia"/>
                <w:color w:val="000000" w:themeColor="text1"/>
                <w:sz w:val="24"/>
                <w:lang w:val="en-US" w:eastAsia="zh-CN"/>
                <w14:textFill>
                  <w14:solidFill>
                    <w14:schemeClr w14:val="tx1"/>
                  </w14:solidFill>
                </w14:textFill>
              </w:rPr>
              <w:t>分布有</w:t>
            </w:r>
            <w:r>
              <w:rPr>
                <w:rFonts w:hint="eastAsia"/>
                <w:bCs/>
                <w:color w:val="000000" w:themeColor="text1"/>
                <w:sz w:val="24"/>
                <w:lang w:val="en-US" w:eastAsia="zh-CN"/>
                <w14:textFill>
                  <w14:solidFill>
                    <w14:schemeClr w14:val="tx1"/>
                  </w14:solidFill>
                </w14:textFill>
              </w:rPr>
              <w:t>2个自然保护区（太统一崆峒山国家级自然保护区、甘肃合水子午岭省级自然保护区）、8个森林公园（周祖陵国家级森林公园、崆峒区北山省级森林公园、崇信县五龙山省级森林公园、华池县双塔省级森林公园、环县老爷山省级森林公园、庆阳市巴家咀省级森林公园、华亭县米家沟省级森林公园、潜夫山省级森林公园）、2个地质公园（平凉崆峒山丹霞地貌国家地质公园、崇信龙泉省级地质公园）、3个风景名胜区（崆峒山、崇信龙泉寺－五龙山、华亭莲花台）、15个水源保护地（小川水库水源地、崇信县县城水源地、巴家咀水库水源地、南小河沟备用水源地、马莲河水库水源地、平凉市水源地、瓦岗川水源保护区、王家河水库、冉河川水源保护区、纸坊沟水源保护区、马岭东沟水源保护区、柔远东沟水源地、金岔沟水源地、鸭儿湾水源保护区、梁南沟水源保护区；</w:t>
            </w:r>
            <w:r>
              <w:rPr>
                <w:rFonts w:hint="eastAsia"/>
                <w:color w:val="000000" w:themeColor="text1"/>
                <w:sz w:val="24"/>
                <w:lang w:val="en-US" w:eastAsia="zh-CN"/>
                <w14:textFill>
                  <w14:solidFill>
                    <w14:schemeClr w14:val="tx1"/>
                  </w14:solidFill>
                </w14:textFill>
              </w:rPr>
              <w:t>以上区域属于禁止开发区域。</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项目与《甘肃省主体功能区</w:t>
            </w:r>
            <w:r>
              <w:rPr>
                <w:rFonts w:hint="eastAsia"/>
                <w:color w:val="000000" w:themeColor="text1"/>
                <w:sz w:val="24"/>
                <w:lang w:val="en-US" w:eastAsia="zh-CN"/>
                <w14:textFill>
                  <w14:solidFill>
                    <w14:schemeClr w14:val="tx1"/>
                  </w14:solidFill>
                </w14:textFill>
              </w:rPr>
              <w:t>规划</w:t>
            </w:r>
            <w:r>
              <w:rPr>
                <w:rFonts w:hint="eastAsia"/>
                <w:bCs/>
                <w:color w:val="000000" w:themeColor="text1"/>
                <w:sz w:val="24"/>
                <w:lang w:val="en-US" w:eastAsia="zh-CN"/>
                <w14:textFill>
                  <w14:solidFill>
                    <w14:schemeClr w14:val="tx1"/>
                  </w14:solidFill>
                </w14:textFill>
              </w:rPr>
              <w:t>》相符性分析见下表1-5，</w:t>
            </w:r>
            <w:r>
              <w:rPr>
                <w:rFonts w:hint="eastAsia" w:cs="Times New Roman"/>
                <w:bCs/>
                <w:color w:val="000000" w:themeColor="text1"/>
                <w:sz w:val="24"/>
                <w:lang w:val="en-US" w:eastAsia="zh-CN"/>
                <w14:textFill>
                  <w14:solidFill>
                    <w14:schemeClr w14:val="tx1"/>
                  </w14:solidFill>
                </w14:textFill>
              </w:rPr>
              <w:t>勘查区</w:t>
            </w:r>
            <w:r>
              <w:rPr>
                <w:rFonts w:hint="default" w:ascii="Times New Roman" w:hAnsi="Times New Roman" w:cs="Times New Roman"/>
                <w:bCs/>
                <w:color w:val="000000" w:themeColor="text1"/>
                <w:sz w:val="24"/>
                <w:lang w:val="en-US" w:eastAsia="zh-CN"/>
                <w14:textFill>
                  <w14:solidFill>
                    <w14:schemeClr w14:val="tx1"/>
                  </w14:solidFill>
                </w14:textFill>
              </w:rPr>
              <w:t>与</w:t>
            </w:r>
            <w:r>
              <w:rPr>
                <w:rFonts w:hint="eastAsia" w:cs="Times New Roman"/>
                <w:bCs/>
                <w:color w:val="000000" w:themeColor="text1"/>
                <w:sz w:val="24"/>
                <w:lang w:val="en-US" w:eastAsia="zh-CN"/>
                <w14:textFill>
                  <w14:solidFill>
                    <w14:schemeClr w14:val="tx1"/>
                  </w14:solidFill>
                </w14:textFill>
              </w:rPr>
              <w:t>甘肃省</w:t>
            </w:r>
            <w:r>
              <w:rPr>
                <w:rFonts w:hint="default" w:ascii="Times New Roman" w:hAnsi="Times New Roman" w:cs="Times New Roman"/>
                <w:bCs/>
                <w:color w:val="000000" w:themeColor="text1"/>
                <w:sz w:val="24"/>
                <w:lang w:val="en-US" w:eastAsia="zh-CN"/>
                <w14:textFill>
                  <w14:solidFill>
                    <w14:schemeClr w14:val="tx1"/>
                  </w14:solidFill>
                </w14:textFill>
              </w:rPr>
              <w:t>主体功能区规划关系见附图</w:t>
            </w:r>
            <w:r>
              <w:rPr>
                <w:rFonts w:hint="eastAsia" w:cs="Times New Roman"/>
                <w:bCs/>
                <w:color w:val="000000" w:themeColor="text1"/>
                <w:sz w:val="24"/>
                <w:lang w:val="en-US" w:eastAsia="zh-CN"/>
                <w14:textFill>
                  <w14:solidFill>
                    <w14:schemeClr w14:val="tx1"/>
                  </w14:solidFill>
                </w14:textFill>
              </w:rPr>
              <w:t>3</w:t>
            </w:r>
            <w:r>
              <w:rPr>
                <w:rFonts w:hint="eastAsia"/>
                <w:bCs/>
                <w:color w:val="000000" w:themeColor="text1"/>
                <w:sz w:val="24"/>
                <w:lang w:val="en-US"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表1-5  </w:t>
            </w:r>
            <w:r>
              <w:rPr>
                <w:rFonts w:hint="eastAsia"/>
                <w:bCs/>
                <w:color w:val="000000" w:themeColor="text1"/>
                <w:sz w:val="24"/>
                <w:lang w:val="en-US" w:eastAsia="zh-CN"/>
                <w14:textFill>
                  <w14:solidFill>
                    <w14:schemeClr w14:val="tx1"/>
                  </w14:solidFill>
                </w14:textFill>
              </w:rPr>
              <w:t>项目与《甘肃省主体功能区规划》相符性分析表</w:t>
            </w:r>
          </w:p>
          <w:tbl>
            <w:tblPr>
              <w:tblStyle w:val="15"/>
              <w:tblW w:w="4998"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78"/>
              <w:gridCol w:w="5608"/>
              <w:gridCol w:w="1626"/>
              <w:gridCol w:w="13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886"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837"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669"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restart"/>
                  <w:tcBorders>
                    <w:tl2br w:val="nil"/>
                    <w:tr2bl w:val="nil"/>
                  </w:tcBorders>
                  <w:vAlign w:val="center"/>
                </w:tcPr>
                <w:p>
                  <w:pPr>
                    <w:spacing w:line="240" w:lineRule="auto"/>
                    <w:ind w:firstLine="420" w:firstLineChars="200"/>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w:t>
                  </w:r>
                  <w:r>
                    <w:rPr>
                      <w:rFonts w:hint="eastAsia"/>
                      <w:color w:val="000000" w:themeColor="text1"/>
                      <w:lang w:val="en-US" w:eastAsia="zh-CN"/>
                      <w14:textFill>
                        <w14:solidFill>
                          <w14:schemeClr w14:val="tx1"/>
                        </w14:solidFill>
                      </w14:textFill>
                    </w:rPr>
                    <w:t>甘肃</w:t>
                  </w:r>
                  <w:r>
                    <w:rPr>
                      <w:rFonts w:hint="default"/>
                      <w:color w:val="000000" w:themeColor="text1"/>
                      <w:lang w:val="en-US" w:eastAsia="zh-CN"/>
                      <w14:textFill>
                        <w14:solidFill>
                          <w14:schemeClr w14:val="tx1"/>
                        </w14:solidFill>
                      </w14:textFill>
                    </w:rPr>
                    <w:t>省主体功能区</w:t>
                  </w:r>
                  <w:r>
                    <w:rPr>
                      <w:rFonts w:hint="eastAsia"/>
                      <w:color w:val="000000" w:themeColor="text1"/>
                      <w:lang w:val="en-US" w:eastAsia="zh-CN"/>
                      <w14:textFill>
                        <w14:solidFill>
                          <w14:schemeClr w14:val="tx1"/>
                        </w14:solidFill>
                      </w14:textFill>
                    </w:rPr>
                    <w:t>规划</w:t>
                  </w:r>
                  <w:r>
                    <w:rPr>
                      <w:rFonts w:hint="default"/>
                      <w:color w:val="000000" w:themeColor="text1"/>
                      <w:lang w:val="en-US" w:eastAsia="zh-CN"/>
                      <w14:textFill>
                        <w14:solidFill>
                          <w14:schemeClr w14:val="tx1"/>
                        </w14:solidFill>
                      </w14:textFill>
                    </w:rPr>
                    <w:t>》</w:t>
                  </w:r>
                </w:p>
              </w:tc>
              <w:tc>
                <w:tcPr>
                  <w:tcW w:w="2886" w:type="pct"/>
                  <w:tcBorders>
                    <w:tl2br w:val="nil"/>
                    <w:tr2bl w:val="nil"/>
                  </w:tcBorders>
                </w:tcPr>
                <w:p>
                  <w:pPr>
                    <w:spacing w:line="240" w:lineRule="auto"/>
                    <w:ind w:firstLine="420" w:firstLineChars="20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重点开发区域（平凉-庆阳地区）：</w:t>
                  </w:r>
                </w:p>
                <w:p>
                  <w:pPr>
                    <w:spacing w:line="240" w:lineRule="auto"/>
                    <w:ind w:firstLine="420" w:firstLineChars="20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功能定位：</w:t>
                  </w:r>
                  <w:r>
                    <w:rPr>
                      <w:rFonts w:hint="default"/>
                      <w:color w:val="000000" w:themeColor="text1"/>
                      <w:lang w:val="en-US" w:eastAsia="zh-CN"/>
                      <w14:textFill>
                        <w14:solidFill>
                          <w14:schemeClr w14:val="tx1"/>
                        </w14:solidFill>
                      </w14:textFill>
                    </w:rPr>
                    <w:t>国家重要的石油、天然气、煤炭等能源化工基地，甘肃东部重要的城市化、工业化地区，区域性交通枢纽和物流集散地，特色农畜产品加工和出口基地，文化（民俗）产业示范基地，历史文化和红色旅游胜地，支撑全省经济发展和参与区域竞争的新兴工业化地区。</w:t>
                  </w:r>
                </w:p>
                <w:p>
                  <w:pPr>
                    <w:spacing w:line="240" w:lineRule="auto"/>
                    <w:ind w:firstLine="420" w:firstLineChars="20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发展方向：拓展煤电、石油等特色产业链条，建设陇东传统能源综合利用基地。加大石油、天然气和煤炭资源的勘探开发力度，积极发展能源化工后续产业。</w:t>
                  </w:r>
                </w:p>
              </w:tc>
              <w:tc>
                <w:tcPr>
                  <w:tcW w:w="837" w:type="pct"/>
                  <w:tcBorders>
                    <w:tl2br w:val="nil"/>
                    <w:tr2bl w:val="nil"/>
                  </w:tcBorders>
                  <w:vAlign w:val="center"/>
                </w:tcPr>
                <w:p>
                  <w:pPr>
                    <w:spacing w:line="240" w:lineRule="auto"/>
                    <w:jc w:val="left"/>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r>
                    <w:rPr>
                      <w:rFonts w:hint="eastAsia" w:cs="Times New Roman"/>
                      <w:color w:val="000000" w:themeColor="text1"/>
                      <w:sz w:val="21"/>
                      <w:szCs w:val="21"/>
                      <w:vertAlign w:val="baseline"/>
                      <w:lang w:val="en-US" w:eastAsia="zh-CN"/>
                      <w14:textFill>
                        <w14:solidFill>
                          <w14:schemeClr w14:val="tx1"/>
                        </w14:solidFill>
                      </w14:textFill>
                    </w:rPr>
                    <w:t>勘查区涉及的平凉市、庆阳市为重点开发区域</w:t>
                  </w:r>
                </w:p>
              </w:tc>
              <w:tc>
                <w:tcPr>
                  <w:tcW w:w="669"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p>
              </w:tc>
              <w:tc>
                <w:tcPr>
                  <w:tcW w:w="2886" w:type="pct"/>
                  <w:tcBorders>
                    <w:tl2br w:val="nil"/>
                    <w:tr2bl w:val="nil"/>
                  </w:tcBorders>
                </w:tcPr>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限制开发区域（重点生态功能区）：</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功能定位：国家黄土高原丘陵沟壑水土保持和重要的生态功能区。</w:t>
                  </w:r>
                </w:p>
                <w:p>
                  <w:pPr>
                    <w:spacing w:line="240" w:lineRule="auto"/>
                    <w:ind w:firstLine="420" w:firstLineChars="200"/>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发展方向：坚持“防治结合、保护优先、强化治理”的水土保持方针，以多沙粗沙区为重点，加快以治沟骨干工程为主体的小流域沟道坝系建设，加强坡耕地水土流失治理，促进退耕还林还草；充分利用生态系统的自我修复能力，采取封山育林、封坡禁牧等措施，加快林草植被恢复和生态系统的改善；通过机制创新和科技创新，实现由传统水土保持向现代水土保持转变，调整产业结构、节约保护、优化配置、合理开发利用水土资源；改善群众生产生活条件，加强基础设施和公共服务设施建设，引导超载人口逐步有序转移；加大优势能源勘探和开发利用，适度发展优势农产品加工业，促进区域人口、资源、环境的协调发展，为增强区域可持续发展能力提供支撑和保障。</w:t>
                  </w:r>
                </w:p>
              </w:tc>
              <w:tc>
                <w:tcPr>
                  <w:tcW w:w="837" w:type="pct"/>
                  <w:vMerge w:val="restart"/>
                  <w:tcBorders>
                    <w:tl2br w:val="nil"/>
                    <w:tr2bl w:val="nil"/>
                  </w:tcBorders>
                  <w:vAlign w:val="center"/>
                </w:tcPr>
                <w:p>
                  <w:pPr>
                    <w:spacing w:line="240" w:lineRule="auto"/>
                    <w:jc w:val="left"/>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本项目属铀矿地质勘查，污染物产生量小，开发活动均为临时占地，采取生态保护与恢复措施，不会损害生态系统的稳定性和完整性，基本不会影响区域水源涵养功能</w:t>
                  </w:r>
                </w:p>
                <w:p>
                  <w:pPr>
                    <w:spacing w:line="240" w:lineRule="auto"/>
                    <w:jc w:val="both"/>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p>
              </w:tc>
              <w:tc>
                <w:tcPr>
                  <w:tcW w:w="669" w:type="pct"/>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p>
              </w:tc>
              <w:tc>
                <w:tcPr>
                  <w:tcW w:w="2886" w:type="pct"/>
                  <w:tcBorders>
                    <w:tl2br w:val="nil"/>
                    <w:tr2bl w:val="nil"/>
                  </w:tcBorders>
                </w:tcPr>
                <w:p>
                  <w:pPr>
                    <w:spacing w:line="240" w:lineRule="auto"/>
                    <w:ind w:firstLine="420" w:firstLineChars="20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限制开发区（农产品主产区）：</w:t>
                  </w:r>
                </w:p>
                <w:p>
                  <w:pPr>
                    <w:pStyle w:val="4"/>
                    <w:keepNext/>
                    <w:keepLines/>
                    <w:pageBreakBefore w:val="0"/>
                    <w:widowControl w:val="0"/>
                    <w:kinsoku/>
                    <w:wordWrap/>
                    <w:overflowPunct/>
                    <w:topLinePunct w:val="0"/>
                    <w:autoSpaceDE/>
                    <w:autoSpaceDN/>
                    <w:bidi w:val="0"/>
                    <w:adjustRightInd/>
                    <w:snapToGrid/>
                    <w:spacing w:before="0" w:after="0" w:line="240" w:lineRule="auto"/>
                    <w:ind w:firstLine="420" w:firstLineChars="200"/>
                    <w:textAlignment w:val="auto"/>
                    <w:rPr>
                      <w:rFonts w:hint="default"/>
                      <w:color w:val="000000" w:themeColor="text1"/>
                      <w:lang w:val="en-US" w:eastAsia="zh-CN"/>
                      <w14:textFill>
                        <w14:solidFill>
                          <w14:schemeClr w14:val="tx1"/>
                        </w14:solidFill>
                      </w14:textFill>
                    </w:rPr>
                  </w:pPr>
                  <w:r>
                    <w:rPr>
                      <w:rFonts w:hint="default" w:ascii="Times New Roman" w:hAnsi="Times New Roman" w:eastAsia="宋体" w:cs="Times New Roman"/>
                      <w:b w:val="0"/>
                      <w:bCs w:val="0"/>
                      <w:color w:val="000000" w:themeColor="text1"/>
                      <w:kern w:val="2"/>
                      <w:sz w:val="21"/>
                      <w:szCs w:val="21"/>
                      <w:lang w:val="en-US" w:eastAsia="zh-CN" w:bidi="ar-SA"/>
                      <w14:textFill>
                        <w14:solidFill>
                          <w14:schemeClr w14:val="tx1"/>
                        </w14:solidFill>
                      </w14:textFill>
                    </w:rPr>
                    <w:t>发展方向：以粮食生产为主体，以林牧业和特色农产品加工为两翼，以旱作农业和小流域治理为重点，稳定粮食生产，发挥特色农产品生产优势，建立名优和创汇农产品基地，发展现代农业；推广应用农业新技术，引导土地有序流转，扩大经营规模，调整农业布局，提高耕地单产和经济效益；把农业发展与水土保持相结合，在沟头塬地封育林草，发展家庭养殖业；结合退耕还林，扩大关山和子午岭林区的林地面积，增强水源涵养能力。</w:t>
                  </w:r>
                </w:p>
              </w:tc>
              <w:tc>
                <w:tcPr>
                  <w:tcW w:w="837" w:type="pct"/>
                  <w:vMerge w:val="continue"/>
                  <w:tcBorders>
                    <w:tl2br w:val="nil"/>
                    <w:tr2bl w:val="nil"/>
                  </w:tcBorders>
                  <w:vAlign w:val="center"/>
                </w:tcPr>
                <w:p>
                  <w:pPr>
                    <w:spacing w:line="240" w:lineRule="auto"/>
                    <w:jc w:val="cente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p>
              </w:tc>
              <w:tc>
                <w:tcPr>
                  <w:tcW w:w="669" w:type="pct"/>
                  <w:vMerge w:val="continue"/>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p>
              </w:tc>
              <w:tc>
                <w:tcPr>
                  <w:tcW w:w="2886" w:type="pct"/>
                  <w:tcBorders>
                    <w:tl2br w:val="nil"/>
                    <w:tr2bl w:val="nil"/>
                  </w:tcBorders>
                </w:tcPr>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禁止开发区域：</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功能定位：点状分布的生态功能区，文化自然遗产保护的重要</w:t>
                  </w:r>
                  <w:r>
                    <w:rPr>
                      <w:rFonts w:hint="default"/>
                      <w:color w:val="000000" w:themeColor="text1"/>
                      <w:sz w:val="21"/>
                      <w:szCs w:val="21"/>
                      <w:lang w:val="en-US" w:eastAsia="zh-CN"/>
                      <w14:textFill>
                        <w14:solidFill>
                          <w14:schemeClr w14:val="tx1"/>
                        </w14:solidFill>
                      </w14:textFill>
                    </w:rPr>
                    <w:t>区域，珍稀动植物基因资源保护地。</w:t>
                  </w:r>
                </w:p>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发展方向：完善相关法规、政策和加强管理，严格禁止人类活动对自然文化遗产的干扰与破坏，实施强制性保护，有限发展与禁止开发区域功能定位相容的相关产业，保护自然遗产和文化遗产。严格保护基本农田。</w:t>
                  </w:r>
                </w:p>
              </w:tc>
              <w:tc>
                <w:tcPr>
                  <w:tcW w:w="837" w:type="pct"/>
                  <w:tcBorders>
                    <w:tl2br w:val="nil"/>
                    <w:tr2bl w:val="nil"/>
                  </w:tcBorders>
                  <w:vAlign w:val="center"/>
                </w:tcPr>
                <w:p>
                  <w:pPr>
                    <w:spacing w:line="240" w:lineRule="auto"/>
                    <w:jc w:val="left"/>
                    <w:rPr>
                      <w:rFonts w:hint="default"/>
                      <w:color w:val="000000" w:themeColor="text1"/>
                      <w:sz w:val="21"/>
                      <w:szCs w:val="21"/>
                      <w:vertAlign w:val="baseline"/>
                      <w:lang w:val="en-US" w:eastAsia="zh-CN"/>
                      <w14:textFill>
                        <w14:solidFill>
                          <w14:schemeClr w14:val="tx1"/>
                        </w14:solidFill>
                      </w14:textFill>
                    </w:rPr>
                  </w:pPr>
                  <w:r>
                    <w:rPr>
                      <w:rFonts w:hint="default"/>
                      <w:color w:val="000000" w:themeColor="text1"/>
                      <w:sz w:val="21"/>
                      <w:szCs w:val="21"/>
                      <w:vertAlign w:val="baseline"/>
                      <w:lang w:val="en-US" w:eastAsia="zh-CN"/>
                      <w14:textFill>
                        <w14:solidFill>
                          <w14:schemeClr w14:val="tx1"/>
                        </w14:solidFill>
                      </w14:textFill>
                    </w:rPr>
                    <w:t>本</w:t>
                  </w:r>
                  <w:r>
                    <w:rPr>
                      <w:rFonts w:hint="default"/>
                      <w:color w:val="000000" w:themeColor="text1"/>
                      <w:sz w:val="21"/>
                      <w:szCs w:val="21"/>
                      <w:lang w:val="en-US" w:eastAsia="zh-CN"/>
                      <w14:textFill>
                        <w14:solidFill>
                          <w14:schemeClr w14:val="tx1"/>
                        </w14:solidFill>
                      </w14:textFill>
                    </w:rPr>
                    <w:t>项目</w:t>
                  </w:r>
                  <w:r>
                    <w:rPr>
                      <w:rFonts w:hint="eastAsia"/>
                      <w:color w:val="000000" w:themeColor="text1"/>
                      <w:sz w:val="21"/>
                      <w:szCs w:val="21"/>
                      <w:lang w:val="en-US" w:eastAsia="zh-CN"/>
                      <w14:textFill>
                        <w14:solidFill>
                          <w14:schemeClr w14:val="tx1"/>
                        </w14:solidFill>
                      </w14:textFill>
                    </w:rPr>
                    <w:t>勘查工程</w:t>
                  </w:r>
                  <w:r>
                    <w:rPr>
                      <w:rFonts w:hint="default"/>
                      <w:color w:val="000000" w:themeColor="text1"/>
                      <w:sz w:val="21"/>
                      <w:szCs w:val="21"/>
                      <w:lang w:val="en-US" w:eastAsia="zh-CN"/>
                      <w14:textFill>
                        <w14:solidFill>
                          <w14:schemeClr w14:val="tx1"/>
                        </w14:solidFill>
                      </w14:textFill>
                    </w:rPr>
                    <w:t>不在禁止开发区域内</w:t>
                  </w:r>
                  <w:r>
                    <w:rPr>
                      <w:rFonts w:hint="eastAsia"/>
                      <w:color w:val="000000" w:themeColor="text1"/>
                      <w:sz w:val="21"/>
                      <w:szCs w:val="21"/>
                      <w:lang w:val="en-US" w:eastAsia="zh-CN"/>
                      <w14:textFill>
                        <w14:solidFill>
                          <w14:schemeClr w14:val="tx1"/>
                        </w14:solidFill>
                      </w14:textFill>
                    </w:rPr>
                    <w:t>布置</w:t>
                  </w:r>
                </w:p>
              </w:tc>
              <w:tc>
                <w:tcPr>
                  <w:tcW w:w="669" w:type="pct"/>
                  <w:tcBorders>
                    <w:tl2br w:val="nil"/>
                    <w:tr2bl w:val="nil"/>
                  </w:tcBorders>
                  <w:vAlign w:val="center"/>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与《甘肃省矿产资源总体规划（</w:t>
            </w:r>
            <w:r>
              <w:rPr>
                <w:rFonts w:ascii="TimesNewRomanPSMT" w:hAnsi="TimesNewRomanPSMT" w:eastAsia="TimesNewRomanPSMT" w:cs="TimesNewRomanPSMT"/>
                <w:color w:val="000000" w:themeColor="text1"/>
                <w:kern w:val="0"/>
                <w:sz w:val="24"/>
                <w:szCs w:val="24"/>
                <w:lang w:val="en-US" w:eastAsia="zh-CN" w:bidi="ar"/>
                <w14:textFill>
                  <w14:solidFill>
                    <w14:schemeClr w14:val="tx1"/>
                  </w14:solidFill>
                </w14:textFill>
              </w:rPr>
              <w:t>2016-2020</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keepNext w:val="0"/>
              <w:keepLines w:val="0"/>
              <w:widowControl/>
              <w:suppressLineNumbers w:val="0"/>
              <w:spacing w:line="360" w:lineRule="auto"/>
              <w:ind w:firstLine="480" w:firstLineChars="200"/>
              <w:jc w:val="left"/>
              <w:rPr>
                <w:rFonts w:hint="default" w:ascii="Times New Roman" w:hAnsi="Times New Roman" w:cs="Times New Roman"/>
                <w:color w:val="000000" w:themeColor="text1"/>
                <w:lang w:val="en-US"/>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项目与《甘肃省矿产资源总体规划（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表</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1-</w:t>
            </w:r>
            <w:r>
              <w:rPr>
                <w:rFonts w:hint="eastAsia" w:cs="Times New Roman"/>
                <w:color w:val="000000" w:themeColor="text1"/>
                <w:kern w:val="0"/>
                <w:sz w:val="24"/>
                <w:szCs w:val="24"/>
                <w:lang w:val="en-US" w:eastAsia="zh-CN" w:bidi="ar"/>
                <w14:textFill>
                  <w14:solidFill>
                    <w14:schemeClr w14:val="tx1"/>
                  </w14:solidFill>
                </w14:textFill>
              </w:rPr>
              <w:t>6</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表1-6  </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项目与《甘肃省矿产资源总体规划（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表</w:t>
            </w:r>
          </w:p>
          <w:tbl>
            <w:tblPr>
              <w:tblStyle w:val="15"/>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85"/>
              <w:gridCol w:w="4097"/>
              <w:gridCol w:w="2485"/>
              <w:gridCol w:w="134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109"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1279"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691"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《甘肃省矿产资源总体规划（</w:t>
                  </w:r>
                  <w:r>
                    <w:rPr>
                      <w:rFonts w:hint="default" w:ascii="Times New Roman" w:hAnsi="Times New Roman" w:eastAsia="TimesNewRomanPSMT" w:cs="Times New Roman"/>
                      <w:color w:val="000000" w:themeColor="text1"/>
                      <w:kern w:val="0"/>
                      <w:sz w:val="21"/>
                      <w:szCs w:val="21"/>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2109" w:type="pct"/>
                  <w:tcBorders>
                    <w:tl2br w:val="nil"/>
                    <w:tr2bl w:val="nil"/>
                  </w:tcBorders>
                </w:tcPr>
                <w:p>
                  <w:pPr>
                    <w:spacing w:line="240" w:lineRule="auto"/>
                    <w:rPr>
                      <w:rFonts w:hint="eastAsia"/>
                      <w:color w:val="000000" w:themeColor="text1"/>
                      <w:sz w:val="24"/>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以煤、铀、铜、铅、锌、镍、钴、铂族、金、钨、锑、凹凸棒石粘土、石膏、熔剂用灰岩、水泥用灰岩等优势和特色矿产资源为重点，加强镍、铜、铂族、金、凹凸棒石粘土等矿种的勘查开发。对于稀有和稀散金属、晶质石墨等资源基础好、市场潜力大、具有国际市场竞争力的战略性新兴产业矿产，加大勘查开发力度。</w:t>
                  </w:r>
                </w:p>
              </w:tc>
              <w:tc>
                <w:tcPr>
                  <w:tcW w:w="1279" w:type="pct"/>
                  <w:vMerge w:val="restart"/>
                  <w:tcBorders>
                    <w:tl2br w:val="nil"/>
                    <w:tr2bl w:val="nil"/>
                  </w:tcBorders>
                  <w:vAlign w:val="center"/>
                </w:tcPr>
                <w:p>
                  <w:pPr>
                    <w:spacing w:line="240" w:lineRule="auto"/>
                    <w:jc w:val="both"/>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本项目属铀矿资源勘查，铀属战略性矿产资源</w:t>
                  </w:r>
                </w:p>
              </w:tc>
              <w:tc>
                <w:tcPr>
                  <w:tcW w:w="691" w:type="pct"/>
                  <w:tcBorders>
                    <w:tl2br w:val="nil"/>
                    <w:tr2bl w:val="nil"/>
                  </w:tcBorders>
                  <w:vAlign w:val="center"/>
                </w:tcPr>
                <w:p>
                  <w:pPr>
                    <w:spacing w:line="240" w:lineRule="auto"/>
                    <w:jc w:val="center"/>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919"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109" w:type="pct"/>
                  <w:tcBorders>
                    <w:tl2br w:val="nil"/>
                    <w:tr2bl w:val="nil"/>
                  </w:tcBorders>
                  <w:vAlign w:val="center"/>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限制勘查甘南州及武威市的泥炭。</w:t>
                  </w:r>
                </w:p>
              </w:tc>
              <w:tc>
                <w:tcPr>
                  <w:tcW w:w="1279" w:type="pct"/>
                  <w:vMerge w:val="continue"/>
                  <w:tcBorders>
                    <w:tl2br w:val="nil"/>
                    <w:tr2bl w:val="nil"/>
                  </w:tcBorders>
                  <w:vAlign w:val="center"/>
                </w:tcPr>
                <w:p>
                  <w:pPr>
                    <w:spacing w:line="240" w:lineRule="auto"/>
                    <w:jc w:val="both"/>
                    <w:rPr>
                      <w:rFonts w:hint="default"/>
                      <w:color w:val="000000" w:themeColor="text1"/>
                      <w:sz w:val="24"/>
                      <w:vertAlign w:val="baseline"/>
                      <w:lang w:val="en-US" w:eastAsia="zh-CN"/>
                      <w14:textFill>
                        <w14:solidFill>
                          <w14:schemeClr w14:val="tx1"/>
                        </w14:solidFill>
                      </w14:textFill>
                    </w:rPr>
                  </w:pPr>
                </w:p>
              </w:tc>
              <w:tc>
                <w:tcPr>
                  <w:tcW w:w="691"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109" w:type="pct"/>
                  <w:tcBorders>
                    <w:tl2br w:val="nil"/>
                    <w:tr2bl w:val="nil"/>
                  </w:tcBorders>
                  <w:vAlign w:val="center"/>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河西地区：</w:t>
                  </w:r>
                  <w:r>
                    <w:rPr>
                      <w:rFonts w:hint="eastAsia" w:ascii="宋体" w:hAnsi="宋体" w:eastAsia="宋体" w:cs="宋体"/>
                      <w:color w:val="000000" w:themeColor="text1"/>
                      <w:kern w:val="0"/>
                      <w:sz w:val="21"/>
                      <w:szCs w:val="21"/>
                      <w:lang w:val="en-US" w:eastAsia="zh-CN" w:bidi="ar"/>
                      <w14:textFill>
                        <w14:solidFill>
                          <w14:schemeClr w14:val="tx1"/>
                        </w14:solidFill>
                      </w14:textFill>
                    </w:rPr>
                    <w:t>包括酒泉市、嘉峪关市、张掖市、金昌市和武威市。该区是建设“丝绸之路经济带甘肃黄金段”的重要组成部分，是我国青藏高原生态屏障和北方防沙带的关键区域，也是我省矿产资源最为丰富的地区之一。该区位于北山、北祁连山西段、潮水盆地等重要成矿区带，要充分发挥有色金属、贵金属、稀有金属的资源优势，加大铀、铜、镍、铅、锌、钨、钼、金、银、稀土、铌钽等矿产资源勘查力度。坚持生态保护优先，加强矿产绿色勘查开发，调整产品结构，提高采选冶加工技术，加强矿产资源综合利用，加快矿业转型升级和绿色发展。</w:t>
                  </w:r>
                </w:p>
              </w:tc>
              <w:tc>
                <w:tcPr>
                  <w:tcW w:w="1279" w:type="pct"/>
                  <w:tcBorders>
                    <w:tl2br w:val="nil"/>
                    <w:tr2bl w:val="nil"/>
                  </w:tcBorders>
                  <w:vAlign w:val="center"/>
                </w:tcPr>
                <w:p>
                  <w:pPr>
                    <w:keepNext w:val="0"/>
                    <w:keepLines w:val="0"/>
                    <w:widowControl/>
                    <w:suppressLineNumbers w:val="0"/>
                    <w:jc w:val="center"/>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color w:val="000000" w:themeColor="text1"/>
                      <w:kern w:val="0"/>
                      <w:sz w:val="21"/>
                      <w:szCs w:val="21"/>
                      <w:lang w:val="en-US" w:eastAsia="zh-CN" w:bidi="ar"/>
                      <w14:textFill>
                        <w14:solidFill>
                          <w14:schemeClr w14:val="tx1"/>
                        </w14:solidFill>
                      </w14:textFill>
                    </w:rPr>
                    <w:t>以生态保护优先：钻探施工作业前，剥离表土集中堆放拍实、采取必要的遮盖，作为钻探施工结束后复垦土源；钻探施工结束后，拆除钻井井架、平整钻井平台等迹地清理，覆土（利用施工前剥离土壤），再播撒当地常见适生草籽、恢复植被；泥浆池覆土掩埋，再播撒当地常见适生草籽、恢复植被</w:t>
                  </w:r>
                </w:p>
              </w:tc>
              <w:tc>
                <w:tcPr>
                  <w:tcW w:w="691"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109" w:type="pct"/>
                  <w:tcBorders>
                    <w:tl2br w:val="nil"/>
                    <w:tr2bl w:val="nil"/>
                  </w:tcBorders>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禁止勘查区：</w:t>
                  </w:r>
                  <w:r>
                    <w:rPr>
                      <w:rFonts w:hint="eastAsia" w:ascii="宋体" w:hAnsi="宋体" w:eastAsia="宋体" w:cs="宋体"/>
                      <w:color w:val="000000" w:themeColor="text1"/>
                      <w:kern w:val="0"/>
                      <w:sz w:val="21"/>
                      <w:szCs w:val="21"/>
                      <w:lang w:val="en-US" w:eastAsia="zh-CN" w:bidi="ar"/>
                      <w14:textFill>
                        <w14:solidFill>
                          <w14:schemeClr w14:val="tx1"/>
                        </w14:solidFill>
                      </w14:textFill>
                    </w:rPr>
                    <w:t>禁止在自然保护区的核心区、缓冲区和实验区内从事矿产资源勘查活动，自然保护区外围保护地带矿产资源勘查活动要严格环境保护准入。</w:t>
                  </w:r>
                </w:p>
              </w:tc>
              <w:tc>
                <w:tcPr>
                  <w:tcW w:w="2435" w:type="dxa"/>
                  <w:tcBorders>
                    <w:tl2br w:val="nil"/>
                    <w:tr2bl w:val="nil"/>
                  </w:tcBorders>
                  <w:vAlign w:val="center"/>
                </w:tcPr>
                <w:p>
                  <w:pPr>
                    <w:widowControl/>
                    <w:rPr>
                      <w:rFonts w:hint="eastAsia"/>
                      <w:color w:val="000000" w:themeColor="text1"/>
                      <w:sz w:val="24"/>
                      <w:vertAlign w:val="baseline"/>
                      <w:lang w:val="en-US" w:eastAsia="zh-CN"/>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lang w:val="en-US" w:eastAsia="zh-CN"/>
                      <w14:textFill>
                        <w14:solidFill>
                          <w14:schemeClr w14:val="tx1"/>
                        </w14:solidFill>
                      </w14:textFill>
                    </w:rPr>
                    <w:t>勘查工程</w:t>
                  </w:r>
                  <w:r>
                    <w:rPr>
                      <w:color w:val="000000" w:themeColor="text1"/>
                      <w:szCs w:val="21"/>
                      <w14:textFill>
                        <w14:solidFill>
                          <w14:schemeClr w14:val="tx1"/>
                        </w14:solidFill>
                      </w14:textFill>
                    </w:rPr>
                    <w:t>不在禁止开发区域内</w:t>
                  </w:r>
                  <w:r>
                    <w:rPr>
                      <w:rFonts w:hint="eastAsia"/>
                      <w:color w:val="000000" w:themeColor="text1"/>
                      <w:szCs w:val="21"/>
                      <w14:textFill>
                        <w14:solidFill>
                          <w14:schemeClr w14:val="tx1"/>
                        </w14:solidFill>
                      </w14:textFill>
                    </w:rPr>
                    <w:t>布置</w:t>
                  </w:r>
                </w:p>
              </w:tc>
              <w:tc>
                <w:tcPr>
                  <w:tcW w:w="691"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109" w:type="pct"/>
                  <w:tcBorders>
                    <w:tl2br w:val="nil"/>
                    <w:tr2bl w:val="nil"/>
                  </w:tcBorders>
                </w:tcPr>
                <w:p>
                  <w:pPr>
                    <w:keepNext w:val="0"/>
                    <w:keepLines w:val="0"/>
                    <w:widowControl/>
                    <w:suppressLineNumbers w:val="0"/>
                    <w:jc w:val="left"/>
                    <w:rPr>
                      <w:rFonts w:hint="eastAsia"/>
                      <w:color w:val="000000" w:themeColor="text1"/>
                      <w:sz w:val="24"/>
                      <w:vertAlign w:val="baseline"/>
                      <w:lang w:val="en-US" w:eastAsia="zh-CN"/>
                      <w14:textFill>
                        <w14:solidFill>
                          <w14:schemeClr w14:val="tx1"/>
                        </w14:solidFill>
                      </w14:textFill>
                    </w:rPr>
                  </w:pPr>
                  <w:r>
                    <w:rPr>
                      <w:rFonts w:hint="eastAsia" w:ascii="宋体" w:hAnsi="宋体" w:eastAsia="宋体" w:cs="宋体"/>
                      <w:b/>
                      <w:color w:val="000000" w:themeColor="text1"/>
                      <w:kern w:val="0"/>
                      <w:sz w:val="21"/>
                      <w:szCs w:val="21"/>
                      <w:lang w:val="en-US" w:eastAsia="zh-CN" w:bidi="ar"/>
                      <w14:textFill>
                        <w14:solidFill>
                          <w14:schemeClr w14:val="tx1"/>
                        </w14:solidFill>
                      </w14:textFill>
                    </w:rPr>
                    <w:t>限制勘查区：</w:t>
                  </w:r>
                  <w:r>
                    <w:rPr>
                      <w:rFonts w:hint="eastAsia" w:ascii="宋体" w:hAnsi="宋体" w:eastAsia="宋体" w:cs="宋体"/>
                      <w:color w:val="000000" w:themeColor="text1"/>
                      <w:kern w:val="0"/>
                      <w:sz w:val="21"/>
                      <w:szCs w:val="21"/>
                      <w:lang w:val="en-US" w:eastAsia="zh-CN" w:bidi="ar"/>
                      <w14:textFill>
                        <w14:solidFill>
                          <w14:schemeClr w14:val="tx1"/>
                        </w14:solidFill>
                      </w14:textFill>
                    </w:rPr>
                    <w:t>划定限制勘查区</w:t>
                  </w:r>
                  <w:r>
                    <w:rPr>
                      <w:rFonts w:ascii="TimesNewRomanPSMT" w:hAnsi="TimesNewRomanPSMT" w:eastAsia="TimesNewRomanPSMT" w:cs="TimesNewRomanPSMT"/>
                      <w:color w:val="000000" w:themeColor="text1"/>
                      <w:kern w:val="0"/>
                      <w:sz w:val="21"/>
                      <w:szCs w:val="21"/>
                      <w:lang w:val="en-US" w:eastAsia="zh-CN" w:bidi="ar"/>
                      <w14:textFill>
                        <w14:solidFill>
                          <w14:schemeClr w14:val="tx1"/>
                        </w14:solidFill>
                      </w14:textFill>
                    </w:rPr>
                    <w:t>1</w:t>
                  </w:r>
                  <w:r>
                    <w:rPr>
                      <w:rFonts w:hint="eastAsia" w:ascii="宋体" w:hAnsi="宋体" w:eastAsia="宋体" w:cs="宋体"/>
                      <w:color w:val="000000" w:themeColor="text1"/>
                      <w:kern w:val="0"/>
                      <w:sz w:val="21"/>
                      <w:szCs w:val="21"/>
                      <w:lang w:val="en-US" w:eastAsia="zh-CN" w:bidi="ar"/>
                      <w14:textFill>
                        <w14:solidFill>
                          <w14:schemeClr w14:val="tx1"/>
                        </w14:solidFill>
                      </w14:textFill>
                    </w:rPr>
                    <w:t>个，为祁连山自然保护区外围保护地带，面积</w:t>
                  </w:r>
                  <w:r>
                    <w:rPr>
                      <w:rFonts w:hint="default" w:ascii="TimesNewRomanPSMT" w:hAnsi="TimesNewRomanPSMT" w:eastAsia="TimesNewRomanPSMT" w:cs="TimesNewRomanPSMT"/>
                      <w:color w:val="000000" w:themeColor="text1"/>
                      <w:kern w:val="0"/>
                      <w:sz w:val="21"/>
                      <w:szCs w:val="21"/>
                      <w:lang w:val="en-US" w:eastAsia="zh-CN" w:bidi="ar"/>
                      <w14:textFill>
                        <w14:solidFill>
                          <w14:schemeClr w14:val="tx1"/>
                        </w14:solidFill>
                      </w14:textFill>
                    </w:rPr>
                    <w:t>0.66</w:t>
                  </w:r>
                  <w:r>
                    <w:rPr>
                      <w:rFonts w:hint="eastAsia" w:ascii="宋体" w:hAnsi="宋体" w:eastAsia="宋体" w:cs="宋体"/>
                      <w:color w:val="000000" w:themeColor="text1"/>
                      <w:kern w:val="0"/>
                      <w:sz w:val="21"/>
                      <w:szCs w:val="21"/>
                      <w:lang w:val="en-US" w:eastAsia="zh-CN" w:bidi="ar"/>
                      <w14:textFill>
                        <w14:solidFill>
                          <w14:schemeClr w14:val="tx1"/>
                        </w14:solidFill>
                      </w14:textFill>
                    </w:rPr>
                    <w:t>万平方公里。区内勘查项目必须经保护区管理部门审查同意，推进绿色勘查。</w:t>
                  </w:r>
                </w:p>
              </w:tc>
              <w:tc>
                <w:tcPr>
                  <w:tcW w:w="2435" w:type="dxa"/>
                  <w:tcBorders>
                    <w:tl2br w:val="nil"/>
                    <w:tr2bl w:val="nil"/>
                  </w:tcBorders>
                  <w:vAlign w:val="center"/>
                </w:tcPr>
                <w:p>
                  <w:pPr>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本项目勘探工程尽量避让限制勘查区，确需勘察的，批准后进行</w:t>
                  </w:r>
                </w:p>
              </w:tc>
              <w:tc>
                <w:tcPr>
                  <w:tcW w:w="691"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bl>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③与《甘肃省“三线一单”生态环境分区管控》符合性分析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根据《甘肃省人民政府关于实施“三线一单”生态环境分区管控的意见》（甘政发[2020]68号），将甘肃省划定为优先保护单元、重点管控单元和一般管控单元三类。</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全省优先保护单元共491个，主要包括生态保护红线、自然保护地、集中式饮用水水源保护区等生态功能重要区和生态环境敏感区。</w:t>
            </w:r>
            <w:r>
              <w:rPr>
                <w:rFonts w:hint="default"/>
                <w:color w:val="000000" w:themeColor="text1"/>
                <w:sz w:val="24"/>
                <w:lang w:val="en-US" w:eastAsia="zh-CN"/>
                <w14:textFill>
                  <w14:solidFill>
                    <w14:schemeClr w14:val="tx1"/>
                  </w14:solidFill>
                </w14:textFill>
              </w:rPr>
              <w:t>重点管控单元</w:t>
            </w:r>
            <w:r>
              <w:rPr>
                <w:rFonts w:hint="eastAsia"/>
                <w:color w:val="000000" w:themeColor="text1"/>
                <w:sz w:val="24"/>
                <w:lang w:val="en-US" w:eastAsia="zh-CN"/>
                <w14:textFill>
                  <w14:solidFill>
                    <w14:schemeClr w14:val="tx1"/>
                  </w14:solidFill>
                </w14:textFill>
              </w:rPr>
              <w:t>共263个，</w:t>
            </w:r>
            <w:r>
              <w:rPr>
                <w:rFonts w:hint="default"/>
                <w:color w:val="000000" w:themeColor="text1"/>
                <w:sz w:val="24"/>
                <w:lang w:val="en-US" w:eastAsia="zh-CN"/>
                <w14:textFill>
                  <w14:solidFill>
                    <w14:schemeClr w14:val="tx1"/>
                  </w14:solidFill>
                </w14:textFill>
              </w:rPr>
              <w:t>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一般管控单元共88个，主要包括优先保护单元、重点管控单元以外的区域。</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numPr>
                <w:ilvl w:val="0"/>
                <w:numId w:val="0"/>
              </w:num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项目</w:t>
            </w:r>
            <w:r>
              <w:rPr>
                <w:rFonts w:hint="eastAsia" w:cs="Times New Roman"/>
                <w:color w:val="000000" w:themeColor="text1"/>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t>甘肃省“三线一单”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4</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cs="Times New Roman"/>
                <w:color w:val="000000" w:themeColor="text1"/>
                <w:kern w:val="0"/>
                <w:sz w:val="24"/>
                <w:lang w:val="en-US" w:eastAsia="zh-CN"/>
                <w14:textFill>
                  <w14:solidFill>
                    <w14:schemeClr w14:val="tx1"/>
                  </w14:solidFill>
                </w14:textFill>
              </w:rPr>
              <w:t>和2022年钻孔</w:t>
            </w:r>
            <w:r>
              <w:rPr>
                <w:rFonts w:hint="eastAsia" w:ascii="Times New Roman" w:hAnsi="Times New Roman" w:cs="Times New Roman"/>
                <w:color w:val="000000" w:themeColor="text1"/>
                <w:kern w:val="0"/>
                <w:sz w:val="24"/>
                <w:lang w:val="en-US" w:eastAsia="zh-CN"/>
                <w14:textFill>
                  <w14:solidFill>
                    <w14:schemeClr w14:val="tx1"/>
                  </w14:solidFill>
                </w14:textFill>
              </w:rPr>
              <w:t>主要</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kern w:val="0"/>
                <w:sz w:val="24"/>
                <w:lang w:val="en-US" w:eastAsia="zh-CN"/>
                <w14:textFill>
                  <w14:solidFill>
                    <w14:schemeClr w14:val="tx1"/>
                  </w14:solidFill>
                </w14:textFill>
              </w:rPr>
              <w:t>甘肃省划定的重点管控单元和一般管控单元。</w:t>
            </w:r>
            <w:r>
              <w:rPr>
                <w:rFonts w:hint="eastAsia" w:cs="Times New Roman"/>
                <w:color w:val="000000" w:themeColor="text1"/>
                <w:kern w:val="0"/>
                <w:sz w:val="24"/>
                <w:lang w:val="en-US" w:eastAsia="zh-CN"/>
                <w14:textFill>
                  <w14:solidFill>
                    <w14:schemeClr w14:val="tx1"/>
                  </w14:solidFill>
                </w14:textFill>
              </w:rPr>
              <w:t>因此，</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本项目2022年的钻孔不占用</w:t>
            </w:r>
            <w:r>
              <w:rPr>
                <w:rFonts w:hint="default" w:ascii="Times New Roman" w:hAnsi="Times New Roman" w:cs="Times New Roman"/>
                <w:color w:val="000000" w:themeColor="text1"/>
                <w:kern w:val="0"/>
                <w:sz w:val="24"/>
                <w:lang w:val="en-US" w:eastAsia="zh-CN"/>
                <w14:textFill>
                  <w14:solidFill>
                    <w14:schemeClr w14:val="tx1"/>
                  </w14:solidFill>
                </w14:textFill>
              </w:rPr>
              <w:t>优先保护单元</w:t>
            </w:r>
            <w:r>
              <w:rPr>
                <w:rFonts w:hint="eastAsia" w:ascii="Times New Roman" w:hAnsi="Times New Roman" w:cs="Times New Roman"/>
                <w:color w:val="000000" w:themeColor="text1"/>
                <w:kern w:val="0"/>
                <w:sz w:val="24"/>
                <w:lang w:val="en-US" w:eastAsia="zh-CN"/>
                <w14:textFill>
                  <w14:solidFill>
                    <w14:schemeClr w14:val="tx1"/>
                  </w14:solidFill>
                </w14:textFill>
              </w:rPr>
              <w:t>，不涉及</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年的拟布设的钻孔也不得占用上述保护目标。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项目与《甘肃省“三线一单”生态环境分区管控》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1-7</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表1-7  项目与《甘肃省“三线一单”生态环境分区管控》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942"/>
              <w:gridCol w:w="4374"/>
              <w:gridCol w:w="1975"/>
              <w:gridCol w:w="14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01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甘肃省“三线一单”生态环境分区管控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该区域严格按照国家生态保护红线和省级生态空间管控区域管理规定进行管控。依法禁止或限制大规模、高强度的工业开发和城镇建设，严禁不符合国家有关规定的各类开发活动，确保生态环境功能不降低。</w:t>
                  </w:r>
                </w:p>
              </w:tc>
              <w:tc>
                <w:tcPr>
                  <w:tcW w:w="1016" w:type="pct"/>
                  <w:vMerge w:val="restart"/>
                  <w:tcBorders>
                    <w:tl2br w:val="nil"/>
                    <w:tr2bl w:val="nil"/>
                  </w:tcBorders>
                  <w:noWrap w:val="0"/>
                  <w:tcMar>
                    <w:top w:w="15" w:type="dxa"/>
                    <w:left w:w="15" w:type="dxa"/>
                    <w:bottom w:w="0" w:type="dxa"/>
                    <w:right w:w="15" w:type="dxa"/>
                  </w:tcMar>
                  <w:vAlign w:val="center"/>
                </w:tcPr>
                <w:p>
                  <w:pPr>
                    <w:pStyle w:val="26"/>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本项目2022年的钻孔不占用优先保护单元内，</w:t>
                  </w:r>
                  <w:r>
                    <w:rPr>
                      <w:rFonts w:hint="eastAsia" w:ascii="Times New Roman" w:hAnsi="Times New Roman" w:cs="Times New Roman"/>
                      <w:color w:val="000000" w:themeColor="text1"/>
                      <w:sz w:val="21"/>
                      <w:szCs w:val="21"/>
                      <w:lang w:val="en-US" w:eastAsia="zh-CN" w:bidi="ar-SA"/>
                      <w14:textFill>
                        <w14:solidFill>
                          <w14:schemeClr w14:val="tx1"/>
                        </w14:solidFill>
                      </w14:textFill>
                    </w:rPr>
                    <w:t>不涉及生态红线，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733"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是经济社会高质量发展的主要承载区，主要推进产业结构和能源结构调整，优化交通结构和用地结构，不断提高资源能源利用效率，加强污染物排放控制和环境风险防控，解决突出生态环境问题。</w:t>
                  </w:r>
                </w:p>
              </w:tc>
              <w:tc>
                <w:tcPr>
                  <w:tcW w:w="1016" w:type="pct"/>
                  <w:vMerge w:val="continue"/>
                  <w:tcBorders>
                    <w:tl2br w:val="nil"/>
                    <w:tr2bl w:val="nil"/>
                  </w:tcBorders>
                  <w:noWrap w:val="0"/>
                  <w:tcMar>
                    <w:top w:w="15" w:type="dxa"/>
                    <w:left w:w="15" w:type="dxa"/>
                    <w:bottom w:w="0" w:type="dxa"/>
                    <w:right w:w="15" w:type="dxa"/>
                  </w:tcMar>
                  <w:vAlign w:val="center"/>
                </w:tcPr>
                <w:p>
                  <w:pPr>
                    <w:pStyle w:val="26"/>
                    <w:rPr>
                      <w:rFonts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w:t>
                  </w:r>
                  <w:r>
                    <w:rPr>
                      <w:rFonts w:hint="eastAsia" w:ascii="宋体" w:hAnsi="宋体" w:eastAsia="宋体" w:cs="宋体"/>
                      <w:color w:val="000000" w:themeColor="text1"/>
                      <w:sz w:val="21"/>
                      <w:szCs w:val="21"/>
                      <w:lang w:val="en-US" w:eastAsia="zh-CN" w:bidi="ar-SA"/>
                      <w14:textFill>
                        <w14:solidFill>
                          <w14:schemeClr w14:val="tx1"/>
                        </w14:solidFill>
                      </w14:textFill>
                    </w:rPr>
                    <w:t>该区域以促进生活、生态、生产功能的协调融合为主要目标，主要落实生态环境保护基本要求，加强生活污染和农业面源污染治理，推动区域生态环境质量持续改善和区域经济社会可持续发展。</w:t>
                  </w:r>
                </w:p>
              </w:tc>
              <w:tc>
                <w:tcPr>
                  <w:tcW w:w="1016" w:type="pct"/>
                  <w:vMerge w:val="continue"/>
                  <w:tcBorders>
                    <w:tl2br w:val="nil"/>
                    <w:tr2bl w:val="nil"/>
                  </w:tcBorders>
                  <w:noWrap w:val="0"/>
                  <w:tcMar>
                    <w:top w:w="15" w:type="dxa"/>
                    <w:left w:w="15" w:type="dxa"/>
                    <w:bottom w:w="0" w:type="dxa"/>
                    <w:right w:w="15" w:type="dxa"/>
                  </w:tcMar>
                  <w:vAlign w:val="center"/>
                </w:tcPr>
                <w:p>
                  <w:pPr>
                    <w:pStyle w:val="26"/>
                    <w:rPr>
                      <w:rFonts w:hint="eastAsia"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w:t>
            </w:r>
            <w:r>
              <w:rPr>
                <w:rFonts w:hint="eastAsia"/>
                <w:bCs/>
                <w:color w:val="000000" w:themeColor="text1"/>
                <w:sz w:val="24"/>
                <w:lang w:val="en-US" w:eastAsia="zh-CN"/>
                <w14:textFill>
                  <w14:solidFill>
                    <w14:schemeClr w14:val="tx1"/>
                  </w14:solidFill>
                </w14:textFill>
              </w:rPr>
              <w:t>《甘肃省主体功能区规划》、</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bCs/>
                <w:color w:val="000000" w:themeColor="text1"/>
                <w:sz w:val="24"/>
                <w:lang w:val="en-US" w:eastAsia="zh-CN"/>
                <w14:textFill>
                  <w14:solidFill>
                    <w14:schemeClr w14:val="tx1"/>
                  </w14:solidFill>
                </w14:textFill>
              </w:rPr>
              <w:t>甘肃省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cs="Times New Roman"/>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的相关要求。</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（3）与内蒙古自治区相关规划符合性分析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①与《内蒙古自治区主体功能区规划》符合性分析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根据《内蒙古自治区主体功能区规划》，将内蒙古自治区划分为重点开发区域、限制开发区域和禁止开发区域。</w:t>
            </w:r>
          </w:p>
          <w:p>
            <w:pPr>
              <w:pStyle w:val="12"/>
              <w:spacing w:after="0" w:line="360" w:lineRule="auto"/>
              <w:ind w:left="0" w:leftChars="0"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勘查区内</w:t>
            </w:r>
            <w:r>
              <w:rPr>
                <w:rFonts w:hint="eastAsia"/>
                <w:color w:val="000000" w:themeColor="text1"/>
                <w:sz w:val="24"/>
                <w:lang w:val="en-US" w:eastAsia="zh-CN"/>
                <w14:textFill>
                  <w14:solidFill>
                    <w14:schemeClr w14:val="tx1"/>
                  </w14:solidFill>
                </w14:textFill>
              </w:rPr>
              <w:t>分布有</w:t>
            </w:r>
            <w:r>
              <w:rPr>
                <w:rFonts w:hint="eastAsia"/>
                <w:bCs/>
                <w:color w:val="000000" w:themeColor="text1"/>
                <w:sz w:val="24"/>
                <w:lang w:val="en-US" w:eastAsia="zh-CN"/>
                <w14:textFill>
                  <w14:solidFill>
                    <w14:schemeClr w14:val="tx1"/>
                  </w14:solidFill>
                </w14:textFill>
              </w:rPr>
              <w:t>内蒙古自治区鄂尔多斯市鄂托克前旗和乌审旗，属于国家级重点开发区域-</w:t>
            </w:r>
            <w:r>
              <w:rPr>
                <w:rFonts w:ascii="宋体" w:hAnsi="宋体" w:eastAsia="宋体" w:cs="宋体"/>
                <w:color w:val="000000" w:themeColor="text1"/>
                <w:sz w:val="24"/>
                <w:szCs w:val="24"/>
                <w14:textFill>
                  <w14:solidFill>
                    <w14:schemeClr w14:val="tx1"/>
                  </w14:solidFill>
                </w14:textFill>
              </w:rPr>
              <w:t>呼包鄂地区</w:t>
            </w:r>
            <w:r>
              <w:rPr>
                <w:rFonts w:hint="eastAsia"/>
                <w:bCs/>
                <w:color w:val="000000" w:themeColor="text1"/>
                <w:sz w:val="24"/>
                <w:lang w:val="en-US" w:eastAsia="zh-CN"/>
                <w14:textFill>
                  <w14:solidFill>
                    <w14:schemeClr w14:val="tx1"/>
                  </w14:solidFill>
                </w14:textFill>
              </w:rPr>
              <w:t>。该区域涉及1个国家湿地公园（内蒙古萨拉乌苏国家湿地公园），</w:t>
            </w:r>
            <w:r>
              <w:rPr>
                <w:rFonts w:hint="eastAsia" w:ascii="宋体" w:hAnsi="宋体" w:cs="宋体"/>
                <w:color w:val="000000" w:themeColor="text1"/>
                <w:sz w:val="24"/>
                <w:szCs w:val="24"/>
                <w:lang w:val="en-US" w:eastAsia="zh-CN"/>
                <w14:textFill>
                  <w14:solidFill>
                    <w14:schemeClr w14:val="tx1"/>
                  </w14:solidFill>
                </w14:textFill>
              </w:rPr>
              <w:t>属于禁止开发区。</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《内蒙古自治区主体功能区规划》</w:t>
            </w:r>
            <w:r>
              <w:rPr>
                <w:rFonts w:hint="eastAsia"/>
                <w:bCs/>
                <w:color w:val="000000" w:themeColor="text1"/>
                <w:sz w:val="24"/>
                <w:lang w:val="en-US" w:eastAsia="zh-CN"/>
                <w14:textFill>
                  <w14:solidFill>
                    <w14:schemeClr w14:val="tx1"/>
                  </w14:solidFill>
                </w14:textFill>
              </w:rPr>
              <w:t>相符性分析见下表1-8，</w:t>
            </w:r>
            <w:r>
              <w:rPr>
                <w:rFonts w:hint="eastAsia" w:cs="Times New Roman"/>
                <w:bCs/>
                <w:color w:val="000000" w:themeColor="text1"/>
                <w:sz w:val="24"/>
                <w:lang w:val="en-US" w:eastAsia="zh-CN"/>
                <w14:textFill>
                  <w14:solidFill>
                    <w14:schemeClr w14:val="tx1"/>
                  </w14:solidFill>
                </w14:textFill>
              </w:rPr>
              <w:t>勘查区</w:t>
            </w:r>
            <w:r>
              <w:rPr>
                <w:rFonts w:hint="default" w:ascii="Times New Roman" w:hAnsi="Times New Roman" w:cs="Times New Roman"/>
                <w:bCs/>
                <w:color w:val="000000" w:themeColor="text1"/>
                <w:sz w:val="24"/>
                <w:lang w:val="en-US" w:eastAsia="zh-CN"/>
                <w14:textFill>
                  <w14:solidFill>
                    <w14:schemeClr w14:val="tx1"/>
                  </w14:solidFill>
                </w14:textFill>
              </w:rPr>
              <w:t>与</w:t>
            </w:r>
            <w:r>
              <w:rPr>
                <w:rFonts w:hint="eastAsia"/>
                <w:color w:val="000000" w:themeColor="text1"/>
                <w:sz w:val="24"/>
                <w:lang w:val="en-US" w:eastAsia="zh-CN"/>
                <w14:textFill>
                  <w14:solidFill>
                    <w14:schemeClr w14:val="tx1"/>
                  </w14:solidFill>
                </w14:textFill>
              </w:rPr>
              <w:t>内蒙古自治区</w:t>
            </w:r>
            <w:r>
              <w:rPr>
                <w:rFonts w:hint="default" w:ascii="Times New Roman" w:hAnsi="Times New Roman" w:cs="Times New Roman"/>
                <w:bCs/>
                <w:color w:val="000000" w:themeColor="text1"/>
                <w:sz w:val="24"/>
                <w:lang w:val="en-US" w:eastAsia="zh-CN"/>
                <w14:textFill>
                  <w14:solidFill>
                    <w14:schemeClr w14:val="tx1"/>
                  </w14:solidFill>
                </w14:textFill>
              </w:rPr>
              <w:t>主体功能区规划关系见附图</w:t>
            </w:r>
            <w:r>
              <w:rPr>
                <w:rFonts w:hint="eastAsia" w:cs="Times New Roman"/>
                <w:bCs/>
                <w:color w:val="000000" w:themeColor="text1"/>
                <w:sz w:val="24"/>
                <w:lang w:val="en-US" w:eastAsia="zh-CN"/>
                <w14:textFill>
                  <w14:solidFill>
                    <w14:schemeClr w14:val="tx1"/>
                  </w14:solidFill>
                </w14:textFill>
              </w:rPr>
              <w:t>5</w:t>
            </w:r>
            <w:r>
              <w:rPr>
                <w:rFonts w:hint="eastAsia"/>
                <w:bCs/>
                <w:color w:val="000000" w:themeColor="text1"/>
                <w:sz w:val="24"/>
                <w:lang w:val="en-US"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表1-8  </w:t>
            </w: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《内蒙古自治区主体功能区规划》</w:t>
            </w:r>
            <w:r>
              <w:rPr>
                <w:rFonts w:hint="eastAsia"/>
                <w:bCs/>
                <w:color w:val="000000" w:themeColor="text1"/>
                <w:sz w:val="24"/>
                <w:lang w:val="en-US" w:eastAsia="zh-CN"/>
                <w14:textFill>
                  <w14:solidFill>
                    <w14:schemeClr w14:val="tx1"/>
                  </w14:solidFill>
                </w14:textFill>
              </w:rPr>
              <w:t>相符性分析表</w:t>
            </w:r>
          </w:p>
          <w:tbl>
            <w:tblPr>
              <w:tblStyle w:val="15"/>
              <w:tblW w:w="4997"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2"/>
              <w:gridCol w:w="4127"/>
              <w:gridCol w:w="3093"/>
              <w:gridCol w:w="134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名称</w:t>
                  </w:r>
                </w:p>
              </w:tc>
              <w:tc>
                <w:tcPr>
                  <w:tcW w:w="2124"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相关内容</w:t>
                  </w:r>
                </w:p>
              </w:tc>
              <w:tc>
                <w:tcPr>
                  <w:tcW w:w="1592"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项目情况</w:t>
                  </w:r>
                </w:p>
              </w:tc>
              <w:tc>
                <w:tcPr>
                  <w:tcW w:w="694"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restar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default"/>
                      <w:bCs/>
                      <w:color w:val="000000" w:themeColor="text1"/>
                      <w:sz w:val="21"/>
                      <w:szCs w:val="21"/>
                      <w:vertAlign w:val="baseline"/>
                      <w:lang w:val="en-US" w:eastAsia="zh-CN"/>
                      <w14:textFill>
                        <w14:solidFill>
                          <w14:schemeClr w14:val="tx1"/>
                        </w14:solidFill>
                      </w14:textFill>
                    </w:rPr>
                    <w:t>《内蒙古自治区主体功能区规划》</w:t>
                  </w: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重点开发区域：指有一定经济基础，资源环境承载能力较强，发展潜力较大，集聚人口和经济条件较好，从而应该重点进行工业化城镇化开发的城市化地区</w:t>
                  </w:r>
                </w:p>
              </w:tc>
              <w:tc>
                <w:tcPr>
                  <w:tcW w:w="1592"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olor w:val="000000" w:themeColor="text1"/>
                      <w:szCs w:val="21"/>
                      <w14:textFill>
                        <w14:solidFill>
                          <w14:schemeClr w14:val="tx1"/>
                        </w14:solidFill>
                      </w14:textFill>
                    </w:rPr>
                    <w:t>本项目属铀矿地质勘查，污染物产生量小，开发活动均为临时占地，采取生态保护与恢复措施，对生态环境影响小</w:t>
                  </w:r>
                </w:p>
              </w:tc>
              <w:tc>
                <w:tcPr>
                  <w:tcW w:w="69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限制开发区域(农产品主产区)：着力保护耕地，加强农业基础设施建设，稳定粮食生产，发展现代农业，增强农业综合生产能力，保障全省主要农产品有效供给，增加农民收入，加快社会主义新农村建设</w:t>
                  </w:r>
                </w:p>
              </w:tc>
              <w:tc>
                <w:tcPr>
                  <w:tcW w:w="1592" w:type="pc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c>
                <w:tcPr>
                  <w:tcW w:w="69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限制开发区域(重点生态功能区)：维护生物多样性。强化生态系统、生物物种和遗传资源保护，科学、合理和有序地利用生物资源。保护自然生态系统与重要物种栖息地。</w:t>
                  </w:r>
                </w:p>
              </w:tc>
              <w:tc>
                <w:tcPr>
                  <w:tcW w:w="1592" w:type="pct"/>
                  <w:tcBorders>
                    <w:tl2br w:val="nil"/>
                    <w:tr2bl w:val="nil"/>
                  </w:tcBorders>
                  <w:vAlign w:val="center"/>
                </w:tcPr>
                <w:p>
                  <w:pPr>
                    <w:widowControl/>
                    <w:jc w:val="center"/>
                    <w:rPr>
                      <w:rFonts w:hint="default" w:ascii="宋体" w:hAnsi="宋体" w:eastAsia="宋体" w:cs="Times New Roman"/>
                      <w:color w:val="000000" w:themeColor="text1"/>
                      <w:kern w:val="0"/>
                      <w:sz w:val="21"/>
                      <w:szCs w:val="21"/>
                      <w:lang w:val="en-US" w:eastAsia="zh-CN" w:bidi="ar-SA"/>
                      <w14:textFill>
                        <w14:solidFill>
                          <w14:schemeClr w14:val="tx1"/>
                        </w14:solidFill>
                      </w14:textFill>
                    </w:rPr>
                  </w:pPr>
                  <w:r>
                    <w:rPr>
                      <w:rFonts w:hint="eastAsia" w:ascii="宋体" w:hAnsi="宋体" w:cs="Times New Roman"/>
                      <w:color w:val="000000" w:themeColor="text1"/>
                      <w:kern w:val="0"/>
                      <w:sz w:val="21"/>
                      <w:szCs w:val="21"/>
                      <w:lang w:val="en-US" w:eastAsia="zh-CN" w:bidi="ar-SA"/>
                      <w14:textFill>
                        <w14:solidFill>
                          <w14:schemeClr w14:val="tx1"/>
                        </w14:solidFill>
                      </w14:textFill>
                    </w:rPr>
                    <w:t>/</w:t>
                  </w:r>
                </w:p>
              </w:tc>
              <w:tc>
                <w:tcPr>
                  <w:tcW w:w="69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88" w:type="pct"/>
                  <w:vMerge w:val="continue"/>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p>
              </w:tc>
              <w:tc>
                <w:tcPr>
                  <w:tcW w:w="2124" w:type="pct"/>
                  <w:tcBorders>
                    <w:tl2br w:val="nil"/>
                    <w:tr2bl w:val="nil"/>
                  </w:tcBorders>
                  <w:vAlign w:val="center"/>
                </w:tcPr>
                <w:p>
                  <w:pPr>
                    <w:spacing w:line="240" w:lineRule="auto"/>
                    <w:jc w:val="left"/>
                    <w:rPr>
                      <w:rFonts w:hint="default"/>
                      <w:bCs/>
                      <w:color w:val="000000" w:themeColor="text1"/>
                      <w:sz w:val="21"/>
                      <w:szCs w:val="21"/>
                      <w:vertAlign w:val="baseline"/>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禁止开发区域：严格控制人为因素对自然生态的干扰，严禁不符合主体功能区定位的开发活动，引导人口逐步有序转移，实现污染物“零排放”，提高环境质量，提高可持续发展能力</w:t>
                  </w:r>
                </w:p>
              </w:tc>
              <w:tc>
                <w:tcPr>
                  <w:tcW w:w="1592" w:type="pct"/>
                  <w:tcBorders>
                    <w:tl2br w:val="nil"/>
                    <w:tr2bl w:val="nil"/>
                  </w:tcBorders>
                  <w:vAlign w:val="center"/>
                </w:tcPr>
                <w:p>
                  <w:pPr>
                    <w:pStyle w:val="26"/>
                    <w:rPr>
                      <w:rFonts w:hint="default" w:ascii="宋体" w:hAnsi="宋体" w:eastAsia="宋体" w:cs="Times New Roman"/>
                      <w:color w:val="000000" w:themeColor="text1"/>
                      <w:sz w:val="21"/>
                      <w:szCs w:val="21"/>
                      <w:lang w:val="en-US" w:eastAsia="zh-CN" w:bidi="ar-SA"/>
                      <w14:textFill>
                        <w14:solidFill>
                          <w14:schemeClr w14:val="tx1"/>
                        </w14:solidFill>
                      </w14:textFill>
                    </w:rPr>
                  </w:pPr>
                  <w:r>
                    <w:rPr>
                      <w:rFonts w:hint="eastAsia" w:hAnsi="宋体"/>
                      <w:color w:val="000000" w:themeColor="text1"/>
                      <w:sz w:val="21"/>
                      <w:szCs w:val="21"/>
                      <w14:textFill>
                        <w14:solidFill>
                          <w14:schemeClr w14:val="tx1"/>
                        </w14:solidFill>
                      </w14:textFill>
                    </w:rPr>
                    <w:t>本项目勘查工程不在禁止开发区域内布置</w:t>
                  </w:r>
                </w:p>
              </w:tc>
              <w:tc>
                <w:tcPr>
                  <w:tcW w:w="694"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color w:val="000000" w:themeColor="text1"/>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w:t>
            </w:r>
            <w:r>
              <w:rPr>
                <w:rFonts w:hint="eastAsia"/>
                <w:color w:val="000000" w:themeColor="text1"/>
                <w:sz w:val="24"/>
                <w14:textFill>
                  <w14:solidFill>
                    <w14:schemeClr w14:val="tx1"/>
                  </w14:solidFill>
                </w14:textFill>
              </w:rPr>
              <w:t>《内蒙古自治区矿产资源总体规划（2016-2020年）》</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14:textFill>
                  <w14:solidFill>
                    <w14:schemeClr w14:val="tx1"/>
                  </w14:solidFill>
                </w14:textFill>
              </w:rPr>
              <w:t>《内蒙古自治区矿产资源总体规划（2016-2020年）》</w:t>
            </w:r>
            <w:r>
              <w:rPr>
                <w:rFonts w:hint="eastAsia"/>
                <w:bCs/>
                <w:color w:val="000000" w:themeColor="text1"/>
                <w:sz w:val="24"/>
                <w:lang w:val="en-US" w:eastAsia="zh-CN"/>
                <w14:textFill>
                  <w14:solidFill>
                    <w14:schemeClr w14:val="tx1"/>
                  </w14:solidFill>
                </w14:textFill>
              </w:rPr>
              <w:t>相符性分析见下表1-9。</w:t>
            </w:r>
          </w:p>
          <w:p>
            <w:pPr>
              <w:spacing w:line="240" w:lineRule="auto"/>
              <w:jc w:val="center"/>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表1-9  项目与</w:t>
            </w:r>
            <w:r>
              <w:rPr>
                <w:rFonts w:hint="eastAsia"/>
                <w:color w:val="000000" w:themeColor="text1"/>
                <w:sz w:val="24"/>
                <w14:textFill>
                  <w14:solidFill>
                    <w14:schemeClr w14:val="tx1"/>
                  </w14:solidFill>
                </w14:textFill>
              </w:rPr>
              <w:t>《内蒙古自治区矿产资源总体规划（2016-2020年）》</w:t>
            </w:r>
            <w:r>
              <w:rPr>
                <w:rFonts w:hint="eastAsia"/>
                <w:bCs/>
                <w:color w:val="000000" w:themeColor="text1"/>
                <w:sz w:val="24"/>
                <w:lang w:val="en-US" w:eastAsia="zh-CN"/>
                <w14:textFill>
                  <w14:solidFill>
                    <w14:schemeClr w14:val="tx1"/>
                  </w14:solidFill>
                </w14:textFill>
              </w:rPr>
              <w:t>相符性分析表</w:t>
            </w:r>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91"/>
              <w:gridCol w:w="4785"/>
              <w:gridCol w:w="2082"/>
              <w:gridCol w:w="145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名称</w:t>
                  </w:r>
                </w:p>
              </w:tc>
              <w:tc>
                <w:tcPr>
                  <w:tcW w:w="2462"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相关内容</w:t>
                  </w:r>
                </w:p>
              </w:tc>
              <w:tc>
                <w:tcPr>
                  <w:tcW w:w="1071"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项目情况</w:t>
                  </w:r>
                </w:p>
              </w:tc>
              <w:tc>
                <w:tcPr>
                  <w:tcW w:w="748" w:type="pct"/>
                  <w:tcBorders>
                    <w:tl2br w:val="nil"/>
                    <w:tr2bl w:val="nil"/>
                  </w:tcBorders>
                  <w:vAlign w:val="center"/>
                </w:tcPr>
                <w:p>
                  <w:pPr>
                    <w:spacing w:line="360" w:lineRule="auto"/>
                    <w:jc w:val="center"/>
                    <w:rPr>
                      <w:rFonts w:hint="default"/>
                      <w:bCs/>
                      <w:color w:val="000000" w:themeColor="text1"/>
                      <w:sz w:val="21"/>
                      <w:szCs w:val="21"/>
                      <w:vertAlign w:val="baseline"/>
                      <w:lang w:val="en-US" w:eastAsia="zh-CN"/>
                      <w14:textFill>
                        <w14:solidFill>
                          <w14:schemeClr w14:val="tx1"/>
                        </w14:solidFill>
                      </w14:textFill>
                    </w:rPr>
                  </w:pPr>
                  <w:r>
                    <w:rPr>
                      <w:rFonts w:hint="eastAsia"/>
                      <w:bCs/>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vMerge w:val="restart"/>
                  <w:tcBorders>
                    <w:tl2br w:val="nil"/>
                    <w:tr2bl w:val="nil"/>
                  </w:tcBorders>
                  <w:vAlign w:val="center"/>
                </w:tcPr>
                <w:p>
                  <w:pPr>
                    <w:spacing w:line="240" w:lineRule="auto"/>
                    <w:jc w:val="center"/>
                    <w:rPr>
                      <w:rFonts w:hint="default"/>
                      <w:bCs/>
                      <w:color w:val="000000" w:themeColor="text1"/>
                      <w:sz w:val="21"/>
                      <w:szCs w:val="21"/>
                      <w:vertAlign w:val="baseline"/>
                      <w:lang w:val="en-US" w:eastAsia="zh-CN"/>
                      <w14:textFill>
                        <w14:solidFill>
                          <w14:schemeClr w14:val="tx1"/>
                        </w14:solidFill>
                      </w14:textFill>
                    </w:rPr>
                  </w:pPr>
                  <w:r>
                    <w:rPr>
                      <w:rFonts w:hint="default"/>
                      <w:bCs/>
                      <w:color w:val="000000" w:themeColor="text1"/>
                      <w:sz w:val="21"/>
                      <w:szCs w:val="21"/>
                      <w:vertAlign w:val="baseline"/>
                      <w:lang w:val="en-US" w:eastAsia="zh-CN"/>
                      <w14:textFill>
                        <w14:solidFill>
                          <w14:schemeClr w14:val="tx1"/>
                        </w14:solidFill>
                      </w14:textFill>
                    </w:rPr>
                    <w:t>《内蒙古自治区矿产资源总体规划（2016-2020年）》</w:t>
                  </w:r>
                </w:p>
              </w:tc>
              <w:tc>
                <w:tcPr>
                  <w:tcW w:w="2462" w:type="pct"/>
                  <w:tcBorders>
                    <w:tl2br w:val="nil"/>
                    <w:tr2bl w:val="nil"/>
                  </w:tcBorders>
                  <w:vAlign w:val="center"/>
                </w:tcPr>
                <w:p>
                  <w:pPr>
                    <w:ind w:firstLine="420" w:firstLineChars="200"/>
                    <w:rPr>
                      <w:rFonts w:hint="default"/>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对于铀、页岩气、煤层气、地热等非常规能源和稀有、稀散等矿产，要加大调查评价和勘查力度，积极提升资源供给能力。</w:t>
                  </w:r>
                </w:p>
              </w:tc>
              <w:tc>
                <w:tcPr>
                  <w:tcW w:w="1071" w:type="pct"/>
                  <w:tcBorders>
                    <w:tl2br w:val="nil"/>
                    <w:tr2bl w:val="nil"/>
                  </w:tcBorders>
                  <w:vAlign w:val="center"/>
                </w:tcPr>
                <w:p>
                  <w:pPr>
                    <w:rPr>
                      <w:rFonts w:hint="eastAsia" w:eastAsia="宋体"/>
                      <w:bCs/>
                      <w:color w:val="000000" w:themeColor="text1"/>
                      <w:sz w:val="21"/>
                      <w:szCs w:val="21"/>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本项目属于铀矿</w:t>
                  </w:r>
                  <w:r>
                    <w:rPr>
                      <w:rFonts w:hint="eastAsia"/>
                      <w:color w:val="000000" w:themeColor="text1"/>
                      <w:szCs w:val="21"/>
                      <w:lang w:val="en-US" w:eastAsia="zh-CN"/>
                      <w14:textFill>
                        <w14:solidFill>
                          <w14:schemeClr w14:val="tx1"/>
                        </w14:solidFill>
                      </w14:textFill>
                    </w:rPr>
                    <w:t>地质</w:t>
                  </w:r>
                  <w:r>
                    <w:rPr>
                      <w:rFonts w:hint="eastAsia"/>
                      <w:color w:val="000000" w:themeColor="text1"/>
                      <w:szCs w:val="21"/>
                      <w14:textFill>
                        <w14:solidFill>
                          <w14:schemeClr w14:val="tx1"/>
                        </w14:solidFill>
                      </w14:textFill>
                    </w:rPr>
                    <w:t>勘查</w:t>
                  </w:r>
                </w:p>
              </w:tc>
              <w:tc>
                <w:tcPr>
                  <w:tcW w:w="748" w:type="pct"/>
                  <w:tcBorders>
                    <w:tl2br w:val="nil"/>
                    <w:tr2bl w:val="nil"/>
                  </w:tcBorders>
                  <w:vAlign w:val="center"/>
                </w:tcPr>
                <w:p>
                  <w:pPr>
                    <w:jc w:val="center"/>
                    <w:rPr>
                      <w:rFonts w:hint="default"/>
                      <w:bCs/>
                      <w:color w:val="000000" w:themeColor="text1"/>
                      <w:sz w:val="21"/>
                      <w:szCs w:val="21"/>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16" w:type="pct"/>
                  <w:vMerge w:val="continue"/>
                  <w:tcBorders>
                    <w:tl2br w:val="nil"/>
                    <w:tr2bl w:val="nil"/>
                  </w:tcBorders>
                  <w:vAlign w:val="center"/>
                </w:tcPr>
                <w:p>
                  <w:pPr>
                    <w:spacing w:line="240" w:lineRule="auto"/>
                    <w:jc w:val="center"/>
                    <w:rPr>
                      <w:rFonts w:hint="eastAsia"/>
                      <w:bCs/>
                      <w:color w:val="000000" w:themeColor="text1"/>
                      <w:sz w:val="21"/>
                      <w:szCs w:val="21"/>
                      <w:lang w:val="en-US" w:eastAsia="zh-CN"/>
                      <w14:textFill>
                        <w14:solidFill>
                          <w14:schemeClr w14:val="tx1"/>
                        </w14:solidFill>
                      </w14:textFill>
                    </w:rPr>
                  </w:pPr>
                </w:p>
              </w:tc>
              <w:tc>
                <w:tcPr>
                  <w:tcW w:w="2462" w:type="pct"/>
                  <w:tcBorders>
                    <w:tl2br w:val="nil"/>
                    <w:tr2bl w:val="nil"/>
                  </w:tcBorders>
                  <w:vAlign w:val="center"/>
                </w:tcPr>
                <w:p>
                  <w:pPr>
                    <w:ind w:firstLine="420" w:firstLineChars="200"/>
                    <w:rPr>
                      <w:rFonts w:hint="default"/>
                      <w:bCs/>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鼓励勘查石油、天然气、煤层气、页岩气、铀矿、地热、干热岩等能源矿产。</w:t>
                  </w:r>
                </w:p>
              </w:tc>
              <w:tc>
                <w:tcPr>
                  <w:tcW w:w="1071" w:type="pct"/>
                  <w:tcBorders>
                    <w:tl2br w:val="nil"/>
                    <w:tr2bl w:val="nil"/>
                  </w:tcBorders>
                  <w:vAlign w:val="center"/>
                </w:tcPr>
                <w:p>
                  <w:pPr>
                    <w:rPr>
                      <w:rFonts w:hint="eastAsia" w:eastAsia="宋体"/>
                      <w:bCs/>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本项目属于铀矿</w:t>
                  </w:r>
                  <w:r>
                    <w:rPr>
                      <w:rFonts w:hint="eastAsia"/>
                      <w:color w:val="000000" w:themeColor="text1"/>
                      <w:szCs w:val="21"/>
                      <w:lang w:val="en-US" w:eastAsia="zh-CN"/>
                      <w14:textFill>
                        <w14:solidFill>
                          <w14:schemeClr w14:val="tx1"/>
                        </w14:solidFill>
                      </w14:textFill>
                    </w:rPr>
                    <w:t>地质</w:t>
                  </w:r>
                  <w:r>
                    <w:rPr>
                      <w:rFonts w:hint="eastAsia"/>
                      <w:color w:val="000000" w:themeColor="text1"/>
                      <w:szCs w:val="21"/>
                      <w14:textFill>
                        <w14:solidFill>
                          <w14:schemeClr w14:val="tx1"/>
                        </w14:solidFill>
                      </w14:textFill>
                    </w:rPr>
                    <w:t>勘查</w:t>
                  </w:r>
                </w:p>
              </w:tc>
              <w:tc>
                <w:tcPr>
                  <w:tcW w:w="748" w:type="pct"/>
                  <w:tcBorders>
                    <w:tl2br w:val="nil"/>
                    <w:tr2bl w:val="nil"/>
                  </w:tcBorders>
                  <w:vAlign w:val="center"/>
                </w:tcPr>
                <w:p>
                  <w:pPr>
                    <w:jc w:val="center"/>
                    <w:rPr>
                      <w:rFonts w:hint="eastAsia"/>
                      <w:bCs/>
                      <w:color w:val="000000" w:themeColor="text1"/>
                      <w:sz w:val="21"/>
                      <w:szCs w:val="21"/>
                      <w:vertAlign w:val="baseline"/>
                      <w:lang w:val="en-US" w:eastAsia="zh-CN"/>
                      <w14:textFill>
                        <w14:solidFill>
                          <w14:schemeClr w14:val="tx1"/>
                        </w14:solidFill>
                      </w14:textFill>
                    </w:rPr>
                  </w:pPr>
                  <w:r>
                    <w:rPr>
                      <w:color w:val="000000" w:themeColor="text1"/>
                      <w:szCs w:val="21"/>
                      <w14:textFill>
                        <w14:solidFill>
                          <w14:schemeClr w14:val="tx1"/>
                        </w14:solidFill>
                      </w14:textFill>
                    </w:rPr>
                    <w:t>符合</w:t>
                  </w:r>
                </w:p>
              </w:tc>
            </w:tr>
          </w:tbl>
          <w:p>
            <w:pPr>
              <w:numPr>
                <w:ilvl w:val="0"/>
                <w:numId w:val="0"/>
              </w:numPr>
              <w:spacing w:line="360" w:lineRule="auto"/>
              <w:ind w:firstLine="482"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b/>
                <w:bCs/>
                <w:color w:val="000000" w:themeColor="text1"/>
                <w:sz w:val="24"/>
                <w:lang w:val="en-US" w:eastAsia="zh-CN"/>
                <w14:textFill>
                  <w14:solidFill>
                    <w14:schemeClr w14:val="tx1"/>
                  </w14:solidFill>
                </w14:textFill>
              </w:rPr>
              <w:t>③</w:t>
            </w:r>
            <w:r>
              <w:rPr>
                <w:rFonts w:hint="default" w:ascii="Times New Roman" w:hAnsi="Times New Roman" w:cs="Times New Roman"/>
                <w:color w:val="000000" w:themeColor="text1"/>
                <w:sz w:val="24"/>
                <w:lang w:val="en-US" w:eastAsia="zh-CN"/>
                <w14:textFill>
                  <w14:solidFill>
                    <w14:schemeClr w14:val="tx1"/>
                  </w14:solidFill>
                </w14:textFill>
              </w:rPr>
              <w:t>与《内蒙古自治区“三线一单”生态环境分区管控》符合性分析</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1）相关内容</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根据《内</w:t>
            </w:r>
            <w:r>
              <w:rPr>
                <w:rFonts w:hint="eastAsia"/>
                <w:color w:val="000000" w:themeColor="text1"/>
                <w:sz w:val="24"/>
                <w:lang w:val="en-US" w:eastAsia="zh-CN"/>
                <w14:textFill>
                  <w14:solidFill>
                    <w14:schemeClr w14:val="tx1"/>
                  </w14:solidFill>
                </w14:textFill>
              </w:rPr>
              <w:t>蒙古自治区“三线一单”生态环境分区管控的通知》（内政发[2020]24号），将内蒙古自治区划定为优先保护单元、重点管控单元和一般管控单元三类。</w:t>
            </w:r>
          </w:p>
          <w:p>
            <w:pPr>
              <w:numPr>
                <w:ilvl w:val="0"/>
                <w:numId w:val="0"/>
              </w:numPr>
              <w:spacing w:line="360" w:lineRule="auto"/>
              <w:ind w:firstLine="480" w:firstLineChars="200"/>
              <w:rPr>
                <w:rFonts w:hint="default"/>
                <w:color w:val="000000" w:themeColor="text1"/>
                <w:sz w:val="24"/>
                <w:lang w:val="en-US" w:eastAsia="zh-CN"/>
                <w14:textFill>
                  <w14:solidFill>
                    <w14:schemeClr w14:val="tx1"/>
                  </w14:solidFill>
                </w14:textFill>
              </w:rPr>
            </w:pPr>
            <w:r>
              <w:rPr>
                <w:rFonts w:hint="default"/>
                <w:color w:val="000000" w:themeColor="text1"/>
                <w:sz w:val="24"/>
                <w:lang w:val="en-US" w:eastAsia="zh-CN"/>
                <w14:textFill>
                  <w14:solidFill>
                    <w14:schemeClr w14:val="tx1"/>
                  </w14:solidFill>
                </w14:textFill>
              </w:rPr>
              <w:t>优先保护单元共422个，面积占比为74.50%</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主要包括我区生态保护红线、自然保护地、集中式饮用水水源保护区等生态功能重要区和生态环境敏感区。重点管控单元共651个，面积占比为19.61%</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主要包括主要包括工业园区、城市、矿区等开发强度高、污染排放量大、环境问题相对集中的区域，以及生态需水补给区等。一般管控单元</w:t>
            </w:r>
            <w:r>
              <w:rPr>
                <w:rFonts w:hint="eastAsia"/>
                <w:color w:val="000000" w:themeColor="text1"/>
                <w:sz w:val="24"/>
                <w:lang w:val="en-US" w:eastAsia="zh-CN"/>
                <w14:textFill>
                  <w14:solidFill>
                    <w14:schemeClr w14:val="tx1"/>
                  </w14:solidFill>
                </w14:textFill>
              </w:rPr>
              <w:t>为</w:t>
            </w:r>
            <w:r>
              <w:rPr>
                <w:rFonts w:hint="default"/>
                <w:color w:val="000000" w:themeColor="text1"/>
                <w:sz w:val="24"/>
                <w:lang w:val="en-US" w:eastAsia="zh-CN"/>
                <w14:textFill>
                  <w14:solidFill>
                    <w14:schemeClr w14:val="tx1"/>
                  </w14:solidFill>
                </w14:textFill>
              </w:rPr>
              <w:t>优先保护单元、重点管控单元之外为一般管控单元，共62个，面积占比为5.89%。</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default" w:ascii="Times New Roman" w:hAnsi="Times New Roman" w:cs="Times New Roman"/>
                <w:color w:val="000000" w:themeColor="text1"/>
                <w:kern w:val="0"/>
                <w:sz w:val="24"/>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eastAsia="zh-CN"/>
                <w14:textFill>
                  <w14:solidFill>
                    <w14:schemeClr w14:val="tx1"/>
                  </w14:solidFill>
                </w14:textFill>
              </w:rPr>
              <w:t>“三线一单”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kern w:val="0"/>
                <w:sz w:val="24"/>
                <w14:textFill>
                  <w14:solidFill>
                    <w14:schemeClr w14:val="tx1"/>
                  </w14:solidFill>
                </w14:textFill>
              </w:rPr>
              <w:t>见</w:t>
            </w:r>
            <w:r>
              <w:rPr>
                <w:rFonts w:hint="default" w:ascii="Times New Roman" w:hAnsi="Times New Roman" w:cs="Times New Roman"/>
                <w:color w:val="000000" w:themeColor="text1"/>
                <w:kern w:val="0"/>
                <w:sz w:val="24"/>
                <w:lang w:val="en-US" w:eastAsia="zh-CN"/>
                <w14:textFill>
                  <w14:solidFill>
                    <w14:schemeClr w14:val="tx1"/>
                  </w14:solidFill>
                </w14:textFill>
              </w:rPr>
              <w:t>附</w:t>
            </w:r>
            <w:r>
              <w:rPr>
                <w:rFonts w:hint="default" w:ascii="Times New Roman" w:hAnsi="Times New Roman" w:eastAsia="宋体" w:cs="Times New Roman"/>
                <w:color w:val="000000" w:themeColor="text1"/>
                <w:kern w:val="0"/>
                <w:sz w:val="24"/>
                <w14:textFill>
                  <w14:solidFill>
                    <w14:schemeClr w14:val="tx1"/>
                  </w14:solidFill>
                </w14:textFill>
              </w:rPr>
              <w:t>图</w:t>
            </w:r>
            <w:r>
              <w:rPr>
                <w:rFonts w:hint="eastAsia" w:cs="Times New Roman"/>
                <w:color w:val="000000" w:themeColor="text1"/>
                <w:kern w:val="0"/>
                <w:sz w:val="24"/>
                <w:lang w:val="en-US" w:eastAsia="zh-CN"/>
                <w14:textFill>
                  <w14:solidFill>
                    <w14:schemeClr w14:val="tx1"/>
                  </w14:solidFill>
                </w14:textFill>
              </w:rPr>
              <w:t>6</w:t>
            </w:r>
            <w:r>
              <w:rPr>
                <w:rFonts w:hint="default" w:ascii="Times New Roman" w:hAnsi="Times New Roman" w:cs="Times New Roman"/>
                <w:color w:val="000000" w:themeColor="text1"/>
                <w:kern w:val="0"/>
                <w:sz w:val="24"/>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cs="Times New Roman"/>
                <w:color w:val="000000" w:themeColor="text1"/>
                <w:kern w:val="0"/>
                <w:sz w:val="24"/>
                <w:lang w:val="en-US" w:eastAsia="zh-CN"/>
                <w14:textFill>
                  <w14:solidFill>
                    <w14:schemeClr w14:val="tx1"/>
                  </w14:solidFill>
                </w14:textFill>
              </w:rPr>
              <w:t>和2022年钻孔坐标</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sz w:val="24"/>
                <w:lang w:val="en-US" w:eastAsia="zh-CN"/>
                <w14:textFill>
                  <w14:solidFill>
                    <w14:schemeClr w14:val="tx1"/>
                  </w14:solidFill>
                </w14:textFill>
              </w:rPr>
              <w:t>划定的</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w:t>
            </w:r>
            <w:r>
              <w:rPr>
                <w:rFonts w:hint="default" w:ascii="Times New Roman" w:hAnsi="Times New Roman" w:cs="Times New Roman"/>
                <w:color w:val="000000" w:themeColor="text1"/>
                <w:kern w:val="0"/>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内蒙古自治区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生态红线尚未正式发布，经评价单位及建设单位去国土相关部门查阅生态红线划定初步成果（正在调整中），本项目2022年的钻孔不占用优先保护单元内的生态红线，也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年拟布设的钻孔也不得占用上述保护目标。</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项目与《内蒙古自治区“三线一单”生态环境分区管控》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1-10</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表1-10  项目与《内蒙古自治区“三线一单”生态环境分区管控》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650"/>
              <w:gridCol w:w="4463"/>
              <w:gridCol w:w="2339"/>
              <w:gridCol w:w="126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20" w:hRule="atLeast"/>
                <w:tblHeader/>
                <w:jc w:val="center"/>
              </w:trPr>
              <w:tc>
                <w:tcPr>
                  <w:tcW w:w="84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9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20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6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84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内蒙古自治区</w:t>
                  </w:r>
                  <w:r>
                    <w:rPr>
                      <w:rFonts w:hint="eastAsia"/>
                      <w:color w:val="000000" w:themeColor="text1"/>
                      <w:sz w:val="21"/>
                      <w:szCs w:val="21"/>
                      <w:lang w:val="en-US" w:eastAsia="zh-CN"/>
                      <w14:textFill>
                        <w14:solidFill>
                          <w14:schemeClr w14:val="tx1"/>
                        </w14:solidFill>
                      </w14:textFill>
                    </w:rPr>
                    <w:t>“三线一单”生态环境分区管控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优先保护单元：该区域以生态环境保护优先为原则，依法禁止或限制大规模、高强度的工业开发和城镇建设，确保生态环境功能不降低。</w:t>
                  </w:r>
                </w:p>
              </w:tc>
              <w:tc>
                <w:tcPr>
                  <w:tcW w:w="1203" w:type="pct"/>
                  <w:vMerge w:val="restart"/>
                  <w:tcBorders>
                    <w:tl2br w:val="nil"/>
                    <w:tr2bl w:val="nil"/>
                  </w:tcBorders>
                  <w:noWrap w:val="0"/>
                  <w:tcMar>
                    <w:top w:w="15" w:type="dxa"/>
                    <w:left w:w="15" w:type="dxa"/>
                    <w:bottom w:w="0" w:type="dxa"/>
                    <w:right w:w="15" w:type="dxa"/>
                  </w:tcMar>
                  <w:vAlign w:val="center"/>
                </w:tcPr>
                <w:p>
                  <w:pPr>
                    <w:pStyle w:val="26"/>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本项目2022年的钻孔不占用优先保护单元内</w:t>
                  </w:r>
                  <w:r>
                    <w:rPr>
                      <w:rFonts w:hint="eastAsia" w:ascii="Times New Roman" w:hAnsi="Times New Roman" w:cs="Times New Roman"/>
                      <w:color w:val="000000" w:themeColor="text1"/>
                      <w:sz w:val="21"/>
                      <w:szCs w:val="21"/>
                      <w:lang w:val="en-US" w:eastAsia="zh-CN" w:bidi="ar-SA"/>
                      <w14:textFill>
                        <w14:solidFill>
                          <w14:schemeClr w14:val="tx1"/>
                        </w14:solidFill>
                      </w14:textFill>
                    </w:rPr>
                    <w:t>的生态红线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650"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重点管控单元：该区域应不断提升资源利用效率，有针对性地加强污染物排放控制和环境风险防控，解决生态环境质量不达标、生态环境风险高等问题。</w:t>
                  </w:r>
                </w:p>
              </w:tc>
              <w:tc>
                <w:tcPr>
                  <w:tcW w:w="1203" w:type="pct"/>
                  <w:vMerge w:val="continue"/>
                  <w:tcBorders>
                    <w:tl2br w:val="nil"/>
                    <w:tr2bl w:val="nil"/>
                  </w:tcBorders>
                  <w:noWrap w:val="0"/>
                  <w:tcMar>
                    <w:top w:w="15" w:type="dxa"/>
                    <w:left w:w="15" w:type="dxa"/>
                    <w:bottom w:w="0" w:type="dxa"/>
                    <w:right w:w="15" w:type="dxa"/>
                  </w:tcMar>
                  <w:vAlign w:val="center"/>
                </w:tcPr>
                <w:p>
                  <w:pPr>
                    <w:pStyle w:val="26"/>
                    <w:rPr>
                      <w:rFonts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17" w:hRule="atLeast"/>
                <w:tblHeader/>
                <w:jc w:val="center"/>
              </w:trPr>
              <w:tc>
                <w:tcPr>
                  <w:tcW w:w="84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96"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一般管控单元：主要落实生态环境保护基本要求。</w:t>
                  </w:r>
                </w:p>
              </w:tc>
              <w:tc>
                <w:tcPr>
                  <w:tcW w:w="1203" w:type="pct"/>
                  <w:vMerge w:val="continue"/>
                  <w:tcBorders>
                    <w:tl2br w:val="nil"/>
                    <w:tr2bl w:val="nil"/>
                  </w:tcBorders>
                  <w:noWrap w:val="0"/>
                  <w:tcMar>
                    <w:top w:w="15" w:type="dxa"/>
                    <w:left w:w="15" w:type="dxa"/>
                    <w:bottom w:w="0" w:type="dxa"/>
                    <w:right w:w="15" w:type="dxa"/>
                  </w:tcMar>
                  <w:vAlign w:val="center"/>
                </w:tcPr>
                <w:p>
                  <w:pPr>
                    <w:pStyle w:val="26"/>
                    <w:rPr>
                      <w:rFonts w:hint="eastAsia" w:hAnsi="宋体"/>
                      <w:color w:val="000000" w:themeColor="text1"/>
                      <w:sz w:val="21"/>
                      <w:szCs w:val="21"/>
                      <w14:textFill>
                        <w14:solidFill>
                          <w14:schemeClr w14:val="tx1"/>
                        </w14:solidFill>
                      </w14:textFill>
                    </w:rPr>
                  </w:pPr>
                </w:p>
              </w:tc>
              <w:tc>
                <w:tcPr>
                  <w:tcW w:w="650"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综上所述，本项目符合《内蒙古自治区主体功能区规划》</w:t>
            </w:r>
            <w:r>
              <w:rPr>
                <w:rFonts w:hint="eastAsia"/>
                <w:bCs/>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《内蒙古自治区矿产资源总体规划（2016-2020年）》</w:t>
            </w:r>
            <w:r>
              <w:rPr>
                <w:rFonts w:hint="eastAsia"/>
                <w:color w:val="000000" w:themeColor="text1"/>
                <w:sz w:val="24"/>
                <w:lang w:val="en-US" w:eastAsia="zh-CN"/>
                <w14:textFill>
                  <w14:solidFill>
                    <w14:schemeClr w14:val="tx1"/>
                  </w14:solidFill>
                </w14:textFill>
              </w:rPr>
              <w:t>和《内蒙古自治区“三线一单”生态环境分区管控》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的要求。</w:t>
            </w:r>
          </w:p>
          <w:p>
            <w:pPr>
              <w:numPr>
                <w:ilvl w:val="0"/>
                <w:numId w:val="0"/>
              </w:numPr>
              <w:spacing w:line="360" w:lineRule="auto"/>
              <w:ind w:leftChars="0" w:firstLine="480" w:firstLineChars="200"/>
              <w:rPr>
                <w:rFonts w:hint="eastAsia"/>
                <w:b/>
                <w:bCs/>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（4）与宁夏回族自治区相关规划符合性分析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①与《宁夏回族自治区主体功能区规划》符合性分析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根据《宁夏回族自治区主体功能区规划》，将宁夏回族自治区划分为重点开发区域、限制开发区域和禁止开发区域。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勘查区涉及宁夏回族自治区的银川市、吴忠市、固原市，属于沿黄经济区国家重点开发区（银-吴核心区）、自治区级重点开发区域（固原市原州区）、国家级限制开发区重要生态功能区-黄土高原丘陵沟壑水土保持生态功能区、自治区级限制开发区重要生态功能区（宁夏水源涵养型生态功能区、水土保持型生态功能区、防风固沙型生态功能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勘查区内</w:t>
            </w:r>
            <w:r>
              <w:rPr>
                <w:rFonts w:hint="eastAsia"/>
                <w:color w:val="000000" w:themeColor="text1"/>
                <w:sz w:val="24"/>
                <w:lang w:val="en-US" w:eastAsia="zh-CN"/>
                <w14:textFill>
                  <w14:solidFill>
                    <w14:schemeClr w14:val="tx1"/>
                  </w14:solidFill>
                </w14:textFill>
              </w:rPr>
              <w:t>分布有2个自然保护区（灵武白芨滩国家级自然保护区、哈巴湖国家级自然保护区）、1个森林公园（宁夏花马寺国家森林公园）、1个地质公园（灵武国家地质公园）、6个水源保护地（</w:t>
            </w:r>
            <w:r>
              <w:rPr>
                <w:rFonts w:hint="eastAsia"/>
                <w:bCs/>
                <w:color w:val="000000" w:themeColor="text1"/>
                <w:sz w:val="24"/>
                <w:lang w:val="en-US" w:eastAsia="zh-CN"/>
                <w14:textFill>
                  <w14:solidFill>
                    <w14:schemeClr w14:val="tx1"/>
                  </w14:solidFill>
                </w14:textFill>
              </w:rPr>
              <w:t>水泉沟水源地、店洼水水源地、冯庄水源地、曹家沟水源地、榆又树水源地、雅石沟水源地</w:t>
            </w:r>
            <w:r>
              <w:rPr>
                <w:rFonts w:hint="eastAsia"/>
                <w:color w:val="000000" w:themeColor="text1"/>
                <w:sz w:val="24"/>
                <w:lang w:val="en-US" w:eastAsia="zh-CN"/>
                <w14:textFill>
                  <w14:solidFill>
                    <w14:schemeClr w14:val="tx1"/>
                  </w14:solidFill>
                </w14:textFill>
              </w:rPr>
              <w:t>）</w:t>
            </w:r>
            <w:r>
              <w:rPr>
                <w:rFonts w:hint="eastAsia"/>
                <w:bCs/>
                <w:color w:val="000000" w:themeColor="text1"/>
                <w:sz w:val="24"/>
                <w:lang w:val="en-US" w:eastAsia="zh-CN"/>
                <w14:textFill>
                  <w14:solidFill>
                    <w14:schemeClr w14:val="tx1"/>
                  </w14:solidFill>
                </w14:textFill>
              </w:rPr>
              <w:t>，属禁止开发区域。</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w:t>
            </w:r>
            <w:r>
              <w:rPr>
                <w:rFonts w:hint="eastAsia"/>
                <w:color w:val="000000" w:themeColor="text1"/>
                <w:sz w:val="24"/>
                <w:lang w:val="en-US" w:eastAsia="zh-CN"/>
                <w14:textFill>
                  <w14:solidFill>
                    <w14:schemeClr w14:val="tx1"/>
                  </w14:solidFill>
                </w14:textFill>
              </w:rPr>
              <w:t>宁夏回族自治区</w:t>
            </w:r>
            <w:r>
              <w:rPr>
                <w:rFonts w:hint="eastAsia"/>
                <w:bCs/>
                <w:color w:val="000000" w:themeColor="text1"/>
                <w:sz w:val="24"/>
                <w:lang w:val="en-US" w:eastAsia="zh-CN"/>
                <w14:textFill>
                  <w14:solidFill>
                    <w14:schemeClr w14:val="tx1"/>
                  </w14:solidFill>
                </w14:textFill>
              </w:rPr>
              <w:t>主体功能区规划》相符性分析见下表1-11，</w:t>
            </w:r>
            <w:r>
              <w:rPr>
                <w:rFonts w:hint="eastAsia" w:cs="Times New Roman"/>
                <w:bCs/>
                <w:color w:val="000000" w:themeColor="text1"/>
                <w:sz w:val="24"/>
                <w:lang w:val="en-US" w:eastAsia="zh-CN"/>
                <w14:textFill>
                  <w14:solidFill>
                    <w14:schemeClr w14:val="tx1"/>
                  </w14:solidFill>
                </w14:textFill>
              </w:rPr>
              <w:t>勘查区</w:t>
            </w:r>
            <w:r>
              <w:rPr>
                <w:rFonts w:hint="default" w:ascii="Times New Roman" w:hAnsi="Times New Roman" w:cs="Times New Roman"/>
                <w:bCs/>
                <w:color w:val="000000" w:themeColor="text1"/>
                <w:sz w:val="24"/>
                <w:lang w:val="en-US" w:eastAsia="zh-CN"/>
                <w14:textFill>
                  <w14:solidFill>
                    <w14:schemeClr w14:val="tx1"/>
                  </w14:solidFill>
                </w14:textFill>
              </w:rPr>
              <w:t>与</w:t>
            </w:r>
            <w:r>
              <w:rPr>
                <w:rFonts w:hint="default" w:ascii="Times New Roman" w:hAnsi="Times New Roman" w:cs="Times New Roman"/>
                <w:b w:val="0"/>
                <w:bCs w:val="0"/>
                <w:color w:val="000000" w:themeColor="text1"/>
                <w:sz w:val="24"/>
                <w:lang w:val="en-US" w:eastAsia="zh-CN"/>
                <w14:textFill>
                  <w14:solidFill>
                    <w14:schemeClr w14:val="tx1"/>
                  </w14:solidFill>
                </w14:textFill>
              </w:rPr>
              <w:t>宁夏回族自治区</w:t>
            </w:r>
            <w:r>
              <w:rPr>
                <w:rFonts w:hint="default" w:ascii="Times New Roman" w:hAnsi="Times New Roman" w:cs="Times New Roman"/>
                <w:bCs/>
                <w:color w:val="000000" w:themeColor="text1"/>
                <w:sz w:val="24"/>
                <w:lang w:val="en-US" w:eastAsia="zh-CN"/>
                <w14:textFill>
                  <w14:solidFill>
                    <w14:schemeClr w14:val="tx1"/>
                  </w14:solidFill>
                </w14:textFill>
              </w:rPr>
              <w:t>主体功能区规划关系见附图</w:t>
            </w:r>
            <w:r>
              <w:rPr>
                <w:rFonts w:hint="eastAsia" w:cs="Times New Roman"/>
                <w:bCs/>
                <w:color w:val="000000" w:themeColor="text1"/>
                <w:sz w:val="24"/>
                <w:lang w:val="en-US" w:eastAsia="zh-CN"/>
                <w14:textFill>
                  <w14:solidFill>
                    <w14:schemeClr w14:val="tx1"/>
                  </w14:solidFill>
                </w14:textFill>
              </w:rPr>
              <w:t>7</w:t>
            </w:r>
            <w:r>
              <w:rPr>
                <w:rFonts w:hint="eastAsia"/>
                <w:bCs/>
                <w:color w:val="000000" w:themeColor="text1"/>
                <w:sz w:val="24"/>
                <w:lang w:val="en-US" w:eastAsia="zh-CN"/>
                <w14:textFill>
                  <w14:solidFill>
                    <w14:schemeClr w14:val="tx1"/>
                  </w14:solidFill>
                </w14:textFill>
              </w:rPr>
              <w:t>。</w:t>
            </w:r>
          </w:p>
          <w:p>
            <w:pPr>
              <w:numPr>
                <w:ilvl w:val="0"/>
                <w:numId w:val="0"/>
              </w:numPr>
              <w:spacing w:line="240" w:lineRule="auto"/>
              <w:ind w:leftChars="0"/>
              <w:jc w:val="center"/>
              <w:rPr>
                <w:rFonts w:hint="default" w:ascii="Times New Roman" w:hAnsi="Times New Roman" w:cs="Times New Roman"/>
                <w:b w:val="0"/>
                <w:bCs w:val="0"/>
                <w:color w:val="000000" w:themeColor="text1"/>
                <w:sz w:val="24"/>
                <w:lang w:val="en-US" w:eastAsia="zh-CN"/>
                <w14:textFill>
                  <w14:solidFill>
                    <w14:schemeClr w14:val="tx1"/>
                  </w14:solidFill>
                </w14:textFill>
              </w:rPr>
            </w:pPr>
            <w:r>
              <w:rPr>
                <w:rFonts w:hint="default" w:ascii="Times New Roman" w:hAnsi="Times New Roman" w:cs="Times New Roman"/>
                <w:b w:val="0"/>
                <w:bCs w:val="0"/>
                <w:color w:val="000000" w:themeColor="text1"/>
                <w:sz w:val="24"/>
                <w:lang w:val="en-US" w:eastAsia="zh-CN"/>
                <w14:textFill>
                  <w14:solidFill>
                    <w14:schemeClr w14:val="tx1"/>
                  </w14:solidFill>
                </w14:textFill>
              </w:rPr>
              <w:t>表1-1</w:t>
            </w:r>
            <w:r>
              <w:rPr>
                <w:rFonts w:hint="eastAsia" w:cs="Times New Roman"/>
                <w:b w:val="0"/>
                <w:bCs w:val="0"/>
                <w:color w:val="000000" w:themeColor="text1"/>
                <w:sz w:val="24"/>
                <w:lang w:val="en-US" w:eastAsia="zh-CN"/>
                <w14:textFill>
                  <w14:solidFill>
                    <w14:schemeClr w14:val="tx1"/>
                  </w14:solidFill>
                </w14:textFill>
              </w:rPr>
              <w:t>1</w:t>
            </w:r>
            <w:r>
              <w:rPr>
                <w:rFonts w:hint="default" w:ascii="Times New Roman" w:hAnsi="Times New Roman" w:cs="Times New Roman"/>
                <w:b w:val="0"/>
                <w:bCs w:val="0"/>
                <w:color w:val="000000" w:themeColor="text1"/>
                <w:sz w:val="24"/>
                <w:lang w:val="en-US" w:eastAsia="zh-CN"/>
                <w14:textFill>
                  <w14:solidFill>
                    <w14:schemeClr w14:val="tx1"/>
                  </w14:solidFill>
                </w14:textFill>
              </w:rPr>
              <w:t xml:space="preserve">  项目与《宁夏回族自治区主体功能区</w:t>
            </w:r>
            <w:r>
              <w:rPr>
                <w:rFonts w:hint="eastAsia"/>
                <w:bCs/>
                <w:color w:val="000000" w:themeColor="text1"/>
                <w:sz w:val="24"/>
                <w:lang w:val="en-US" w:eastAsia="zh-CN"/>
                <w14:textFill>
                  <w14:solidFill>
                    <w14:schemeClr w14:val="tx1"/>
                  </w14:solidFill>
                </w14:textFill>
              </w:rPr>
              <w:t>规划</w:t>
            </w:r>
            <w:r>
              <w:rPr>
                <w:rFonts w:hint="default" w:ascii="Times New Roman" w:hAnsi="Times New Roman" w:cs="Times New Roman"/>
                <w:b w:val="0"/>
                <w:bCs w:val="0"/>
                <w:color w:val="000000" w:themeColor="text1"/>
                <w:sz w:val="24"/>
                <w:lang w:val="en-US" w:eastAsia="zh-CN"/>
                <w14:textFill>
                  <w14:solidFill>
                    <w14:schemeClr w14:val="tx1"/>
                  </w14:solidFill>
                </w14:textFill>
              </w:rPr>
              <w:t>》相符性分析表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531"/>
              <w:gridCol w:w="4220"/>
              <w:gridCol w:w="2820"/>
              <w:gridCol w:w="114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501"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名称</w:t>
                  </w:r>
                </w:p>
              </w:tc>
              <w:tc>
                <w:tcPr>
                  <w:tcW w:w="4136"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相关内容</w:t>
                  </w:r>
                </w:p>
              </w:tc>
              <w:tc>
                <w:tcPr>
                  <w:tcW w:w="2764"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项目情况</w:t>
                  </w:r>
                </w:p>
              </w:tc>
              <w:tc>
                <w:tcPr>
                  <w:tcW w:w="1122" w:type="dxa"/>
                  <w:tcBorders>
                    <w:tl2br w:val="nil"/>
                    <w:tr2bl w:val="nil"/>
                  </w:tcBorders>
                  <w:tcMar>
                    <w:top w:w="15" w:type="dxa"/>
                    <w:left w:w="15" w:type="dxa"/>
                    <w:bottom w:w="0" w:type="dxa"/>
                    <w:right w:w="15" w:type="dxa"/>
                  </w:tcMar>
                  <w:vAlign w:val="center"/>
                </w:tcPr>
                <w:p>
                  <w:pPr>
                    <w:jc w:val="center"/>
                    <w:rPr>
                      <w:rFonts w:hint="eastAsia" w:ascii="宋体" w:hAnsi="宋体" w:eastAsia="宋体"/>
                      <w:color w:val="000000" w:themeColor="text1"/>
                      <w:lang w:val="en-US" w:eastAsia="zh-CN"/>
                      <w14:textFill>
                        <w14:solidFill>
                          <w14:schemeClr w14:val="tx1"/>
                        </w14:solidFill>
                      </w14:textFill>
                    </w:rPr>
                  </w:pPr>
                  <w:r>
                    <w:rPr>
                      <w:rFonts w:hint="eastAsia" w:ascii="宋体" w:hAnsi="宋体"/>
                      <w:color w:val="000000" w:themeColor="text1"/>
                      <w14:textFill>
                        <w14:solidFill>
                          <w14:schemeClr w14:val="tx1"/>
                        </w14:solidFill>
                      </w14:textFill>
                    </w:rPr>
                    <w:t>相符性</w:t>
                  </w:r>
                  <w:r>
                    <w:rPr>
                      <w:rFonts w:hint="eastAsia" w:ascii="宋体" w:hAnsi="宋体"/>
                      <w:color w:val="000000" w:themeColor="text1"/>
                      <w:lang w:val="en-US" w:eastAsia="zh-CN"/>
                      <w14:textFill>
                        <w14:solidFill>
                          <w14:schemeClr w14:val="tx1"/>
                        </w14:solidFill>
                      </w14:textFill>
                    </w:rPr>
                    <w:t>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501" w:type="dxa"/>
                  <w:vMerge w:val="restart"/>
                  <w:tcBorders>
                    <w:tl2br w:val="nil"/>
                    <w:tr2bl w:val="nil"/>
                  </w:tcBorders>
                  <w:tcMar>
                    <w:top w:w="15" w:type="dxa"/>
                    <w:left w:w="15" w:type="dxa"/>
                    <w:bottom w:w="0" w:type="dxa"/>
                    <w:right w:w="15" w:type="dxa"/>
                  </w:tcMar>
                  <w:vAlign w:val="center"/>
                </w:tcPr>
                <w:p>
                  <w:pPr>
                    <w:jc w:val="center"/>
                    <w:rPr>
                      <w:rFonts w:ascii="宋体" w:hAnsi="宋体"/>
                      <w:color w:val="000000" w:themeColor="text1"/>
                      <w:kern w:val="0"/>
                      <w14:textFill>
                        <w14:solidFill>
                          <w14:schemeClr w14:val="tx1"/>
                        </w14:solidFill>
                      </w14:textFill>
                    </w:rPr>
                  </w:pPr>
                  <w:r>
                    <w:rPr>
                      <w:rFonts w:hint="eastAsia" w:ascii="宋体" w:hAnsi="宋体"/>
                      <w:color w:val="000000" w:themeColor="text1"/>
                      <w:kern w:val="0"/>
                      <w14:textFill>
                        <w14:solidFill>
                          <w14:schemeClr w14:val="tx1"/>
                        </w14:solidFill>
                      </w14:textFill>
                    </w:rPr>
                    <w:t>《宁夏回族自治区主体功能区规划》</w:t>
                  </w:r>
                </w:p>
              </w:tc>
              <w:tc>
                <w:tcPr>
                  <w:tcW w:w="4136" w:type="dxa"/>
                  <w:tcBorders>
                    <w:tl2br w:val="nil"/>
                    <w:tr2bl w:val="nil"/>
                  </w:tcBorders>
                  <w:tcMar>
                    <w:top w:w="15" w:type="dxa"/>
                    <w:left w:w="15" w:type="dxa"/>
                    <w:bottom w:w="0" w:type="dxa"/>
                    <w:right w:w="15" w:type="dxa"/>
                  </w:tcMar>
                  <w:vAlign w:val="center"/>
                </w:tcPr>
                <w:p>
                  <w:pPr>
                    <w:pStyle w:val="26"/>
                    <w:jc w:val="both"/>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重点开发区域：</w:t>
                  </w:r>
                  <w:r>
                    <w:rPr>
                      <w:rFonts w:hint="eastAsia" w:hAnsi="宋体" w:cs="Times New Roman"/>
                      <w:color w:val="000000" w:themeColor="text1"/>
                      <w:sz w:val="21"/>
                      <w:szCs w:val="21"/>
                      <w:lang w:val="en-US" w:eastAsia="zh-CN"/>
                      <w14:textFill>
                        <w14:solidFill>
                          <w14:schemeClr w14:val="tx1"/>
                        </w14:solidFill>
                      </w14:textFill>
                    </w:rPr>
                    <w:t>有一定的经济基础、资源环境承载能力较强、发展潜力较大、集聚人口和经济的条件较好，从而应该重点进行工业化、城镇化开发的城市化地区。</w:t>
                  </w:r>
                </w:p>
              </w:tc>
              <w:tc>
                <w:tcPr>
                  <w:tcW w:w="2764" w:type="dxa"/>
                  <w:tcBorders>
                    <w:tl2br w:val="nil"/>
                    <w:tr2bl w:val="nil"/>
                  </w:tcBorders>
                  <w:tcMar>
                    <w:top w:w="15" w:type="dxa"/>
                    <w:left w:w="15" w:type="dxa"/>
                    <w:bottom w:w="0" w:type="dxa"/>
                    <w:right w:w="15" w:type="dxa"/>
                  </w:tcMar>
                  <w:vAlign w:val="center"/>
                </w:tcPr>
                <w:p>
                  <w:pPr>
                    <w:pStyle w:val="26"/>
                    <w:jc w:val="both"/>
                    <w:rPr>
                      <w:rFonts w:hAnsi="宋体" w:cs="Times New Roman"/>
                      <w:color w:val="000000" w:themeColor="text1"/>
                      <w14:textFill>
                        <w14:solidFill>
                          <w14:schemeClr w14:val="tx1"/>
                        </w14:solidFill>
                      </w14:textFill>
                    </w:rPr>
                  </w:pPr>
                  <w:r>
                    <w:rPr>
                      <w:rFonts w:hint="eastAsia" w:hAnsi="宋体" w:cs="Times New Roman"/>
                      <w:color w:val="000000" w:themeColor="text1"/>
                      <w:sz w:val="21"/>
                      <w:szCs w:val="21"/>
                      <w:lang w:val="en-US" w:eastAsia="zh-CN"/>
                      <w14:textFill>
                        <w14:solidFill>
                          <w14:schemeClr w14:val="tx1"/>
                        </w14:solidFill>
                      </w14:textFill>
                    </w:rPr>
                    <w:t>勘查区涉及的银川市、吴忠市、固原市，属于沿黄经济区国家重点开发区、固原市原州区自治区级重点开发区域</w:t>
                  </w:r>
                </w:p>
              </w:tc>
              <w:tc>
                <w:tcPr>
                  <w:tcW w:w="1122"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501"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4136" w:type="dxa"/>
                  <w:tcBorders>
                    <w:tl2br w:val="nil"/>
                    <w:tr2bl w:val="nil"/>
                  </w:tcBorders>
                  <w:tcMar>
                    <w:top w:w="15" w:type="dxa"/>
                    <w:left w:w="15" w:type="dxa"/>
                    <w:bottom w:w="0" w:type="dxa"/>
                    <w:right w:w="15" w:type="dxa"/>
                  </w:tcMar>
                  <w:vAlign w:val="center"/>
                </w:tcPr>
                <w:p>
                  <w:pPr>
                    <w:pStyle w:val="26"/>
                    <w:jc w:val="both"/>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限制开发区域(农产品主产区)：</w:t>
                  </w:r>
                  <w:r>
                    <w:rPr>
                      <w:rFonts w:hint="eastAsia" w:hAnsi="宋体" w:cs="Times New Roman"/>
                      <w:color w:val="000000" w:themeColor="text1"/>
                      <w:sz w:val="21"/>
                      <w:szCs w:val="21"/>
                      <w:lang w:val="en-US" w:eastAsia="zh-CN"/>
                      <w14:textFill>
                        <w14:solidFill>
                          <w14:schemeClr w14:val="tx1"/>
                        </w14:solidFill>
                      </w14:textFill>
                    </w:rPr>
                    <w:t>耕地较多、农业发展条件较好，尽管也适宜工业化、城镇化开发，但从保障国家农产品安全以及中华民族永续发展的需要出发，必须把增强农业综合生产能力作为发展的首要任务，从而应该限制进行大规模高强度工业化、城镇化发展的地区</w:t>
                  </w:r>
                </w:p>
              </w:tc>
              <w:tc>
                <w:tcPr>
                  <w:tcW w:w="2764" w:type="dxa"/>
                  <w:vMerge w:val="restart"/>
                  <w:tcBorders>
                    <w:tl2br w:val="nil"/>
                    <w:tr2bl w:val="nil"/>
                  </w:tcBorders>
                  <w:tcMar>
                    <w:top w:w="15" w:type="dxa"/>
                    <w:left w:w="15" w:type="dxa"/>
                    <w:bottom w:w="0" w:type="dxa"/>
                    <w:right w:w="15" w:type="dxa"/>
                  </w:tcMar>
                  <w:vAlign w:val="center"/>
                </w:tcPr>
                <w:p>
                  <w:pPr>
                    <w:pStyle w:val="26"/>
                    <w:jc w:val="left"/>
                    <w:rPr>
                      <w:rFonts w:hint="eastAsia" w:hAnsi="宋体" w:cs="Times New Roman"/>
                      <w:color w:val="000000" w:themeColor="text1"/>
                      <w:sz w:val="21"/>
                      <w:szCs w:val="21"/>
                      <w:lang w:val="en-US" w:eastAsia="zh-CN"/>
                      <w14:textFill>
                        <w14:solidFill>
                          <w14:schemeClr w14:val="tx1"/>
                        </w14:solidFill>
                      </w14:textFill>
                    </w:rPr>
                  </w:pPr>
                  <w:r>
                    <w:rPr>
                      <w:rFonts w:hint="eastAsia" w:hAnsi="宋体" w:cs="Times New Roman"/>
                      <w:color w:val="000000" w:themeColor="text1"/>
                      <w:sz w:val="21"/>
                      <w:szCs w:val="21"/>
                      <w:lang w:val="en-US" w:eastAsia="zh-CN"/>
                      <w14:textFill>
                        <w14:solidFill>
                          <w14:schemeClr w14:val="tx1"/>
                        </w14:solidFill>
                      </w14:textFill>
                    </w:rPr>
                    <w:t>勘查区涉及的彭阳县、盐池县、同心县和泾源县属限制开发区域（国家级重点生态功能区），灵武市、原州区属限制开发区域（自治区级重点生态功能区）。</w:t>
                  </w:r>
                </w:p>
                <w:p>
                  <w:pPr>
                    <w:pStyle w:val="26"/>
                    <w:jc w:val="left"/>
                    <w:rPr>
                      <w:rFonts w:hint="default" w:hAnsi="宋体" w:eastAsia="宋体" w:cs="Times New Roman"/>
                      <w:color w:val="000000" w:themeColor="text1"/>
                      <w:sz w:val="21"/>
                      <w:szCs w:val="21"/>
                      <w:lang w:val="en-US" w:eastAsia="zh-CN"/>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本项目属铀矿地质勘查，污染物产生量小，开发活动均为临时占地，采取生态保护与恢复措施，对生态环境影响小。</w:t>
                  </w:r>
                </w:p>
              </w:tc>
              <w:tc>
                <w:tcPr>
                  <w:tcW w:w="1122" w:type="dxa"/>
                  <w:vMerge w:val="restart"/>
                  <w:tcBorders>
                    <w:tl2br w:val="nil"/>
                    <w:tr2bl w:val="nil"/>
                  </w:tcBorders>
                  <w:tcMar>
                    <w:top w:w="15" w:type="dxa"/>
                    <w:left w:w="15" w:type="dxa"/>
                    <w:bottom w:w="0" w:type="dxa"/>
                    <w:right w:w="15" w:type="dxa"/>
                  </w:tcMar>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553" w:hRule="atLeast"/>
                <w:jc w:val="center"/>
              </w:trPr>
              <w:tc>
                <w:tcPr>
                  <w:tcW w:w="1501"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4136" w:type="dxa"/>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限制开发区域(重点生态功能区)：</w:t>
                  </w:r>
                  <w:r>
                    <w:rPr>
                      <w:rFonts w:hint="eastAsia" w:hAnsi="宋体" w:cs="Times New Roman"/>
                      <w:color w:val="000000" w:themeColor="text1"/>
                      <w:sz w:val="21"/>
                      <w:szCs w:val="21"/>
                      <w:lang w:val="en-US" w:eastAsia="zh-CN"/>
                      <w14:textFill>
                        <w14:solidFill>
                          <w14:schemeClr w14:val="tx1"/>
                        </w14:solidFill>
                      </w14:textFill>
                    </w:rPr>
                    <w:t>即生态系统脆弱或生态功能重要，资源环境承载能力较低，不具备大规模高强度工业化、城镇化开发的条件，必须把增强生态产品生产能力作为首要任务，从而应该限制进行大规模高强度工业化、城镇化开发的地区</w:t>
                  </w:r>
                </w:p>
              </w:tc>
              <w:tc>
                <w:tcPr>
                  <w:tcW w:w="2764"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1122" w:type="dxa"/>
                  <w:vMerge w:val="continue"/>
                  <w:tcBorders>
                    <w:tl2br w:val="nil"/>
                    <w:tr2bl w:val="nil"/>
                  </w:tcBorders>
                  <w:vAlign w:val="center"/>
                </w:tcPr>
                <w:p>
                  <w:pPr>
                    <w:widowControl/>
                    <w:jc w:val="left"/>
                    <w:rPr>
                      <w:rFonts w:ascii="宋体" w:hAnsi="宋体"/>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501" w:type="dxa"/>
                  <w:vMerge w:val="continue"/>
                  <w:tcBorders>
                    <w:tl2br w:val="nil"/>
                    <w:tr2bl w:val="nil"/>
                  </w:tcBorders>
                  <w:vAlign w:val="center"/>
                </w:tcPr>
                <w:p>
                  <w:pPr>
                    <w:widowControl/>
                    <w:jc w:val="left"/>
                    <w:rPr>
                      <w:rFonts w:ascii="宋体" w:hAnsi="宋体"/>
                      <w:color w:val="000000" w:themeColor="text1"/>
                      <w:kern w:val="0"/>
                      <w:szCs w:val="21"/>
                      <w14:textFill>
                        <w14:solidFill>
                          <w14:schemeClr w14:val="tx1"/>
                        </w14:solidFill>
                      </w14:textFill>
                    </w:rPr>
                  </w:pPr>
                </w:p>
              </w:tc>
              <w:tc>
                <w:tcPr>
                  <w:tcW w:w="4136" w:type="dxa"/>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int="eastAsia" w:hAnsi="宋体" w:cs="Times New Roman"/>
                      <w:color w:val="000000" w:themeColor="text1"/>
                      <w:sz w:val="21"/>
                      <w:szCs w:val="21"/>
                      <w14:textFill>
                        <w14:solidFill>
                          <w14:schemeClr w14:val="tx1"/>
                        </w14:solidFill>
                      </w14:textFill>
                    </w:rPr>
                    <w:t>禁止开发区域：</w:t>
                  </w:r>
                  <w:r>
                    <w:rPr>
                      <w:rFonts w:hint="eastAsia" w:hAnsi="宋体" w:cs="Times New Roman"/>
                      <w:color w:val="000000" w:themeColor="text1"/>
                      <w:sz w:val="21"/>
                      <w:szCs w:val="21"/>
                      <w:lang w:val="en-US" w:eastAsia="zh-CN"/>
                      <w14:textFill>
                        <w14:solidFill>
                          <w14:schemeClr w14:val="tx1"/>
                        </w14:solidFill>
                      </w14:textFill>
                    </w:rPr>
                    <w:t>国家层面禁止开发区域，包括国家级自然保护区、世界文化自然遗产、国家级风景名胜区、国家森林公园和国家地质公园。省级层面的禁止开发区域，包括省级及以下各级各类自然文化资源保护区域、重点水源地以及其他省级人民政府根据需要确定的禁止开发区域。</w:t>
                  </w:r>
                </w:p>
              </w:tc>
              <w:tc>
                <w:tcPr>
                  <w:tcW w:w="2764" w:type="dxa"/>
                  <w:tcBorders>
                    <w:tl2br w:val="nil"/>
                    <w:tr2bl w:val="nil"/>
                  </w:tcBorders>
                  <w:tcMar>
                    <w:top w:w="15" w:type="dxa"/>
                    <w:left w:w="15" w:type="dxa"/>
                    <w:bottom w:w="0" w:type="dxa"/>
                    <w:right w:w="15" w:type="dxa"/>
                  </w:tcMar>
                  <w:vAlign w:val="center"/>
                </w:tcPr>
                <w:p>
                  <w:pPr>
                    <w:pStyle w:val="26"/>
                    <w:rPr>
                      <w:rFonts w:hAnsi="宋体" w:cs="Times New Roman"/>
                      <w:color w:val="000000" w:themeColor="text1"/>
                      <w:sz w:val="21"/>
                      <w:szCs w:val="21"/>
                      <w14:textFill>
                        <w14:solidFill>
                          <w14:schemeClr w14:val="tx1"/>
                        </w14:solidFill>
                      </w14:textFill>
                    </w:rPr>
                  </w:pPr>
                  <w:r>
                    <w:rPr>
                      <w:rFonts w:hint="default"/>
                      <w:color w:val="000000" w:themeColor="text1"/>
                      <w:sz w:val="21"/>
                      <w:szCs w:val="21"/>
                      <w:vertAlign w:val="baseline"/>
                      <w:lang w:val="en-US" w:eastAsia="zh-CN"/>
                      <w14:textFill>
                        <w14:solidFill>
                          <w14:schemeClr w14:val="tx1"/>
                        </w14:solidFill>
                      </w14:textFill>
                    </w:rPr>
                    <w:t>本</w:t>
                  </w:r>
                  <w:r>
                    <w:rPr>
                      <w:rFonts w:hint="default"/>
                      <w:color w:val="000000" w:themeColor="text1"/>
                      <w:sz w:val="21"/>
                      <w:szCs w:val="21"/>
                      <w:lang w:val="en-US" w:eastAsia="zh-CN"/>
                      <w14:textFill>
                        <w14:solidFill>
                          <w14:schemeClr w14:val="tx1"/>
                        </w14:solidFill>
                      </w14:textFill>
                    </w:rPr>
                    <w:t>项目</w:t>
                  </w:r>
                  <w:r>
                    <w:rPr>
                      <w:rFonts w:hint="eastAsia"/>
                      <w:color w:val="000000" w:themeColor="text1"/>
                      <w:sz w:val="21"/>
                      <w:szCs w:val="21"/>
                      <w:lang w:val="en-US" w:eastAsia="zh-CN"/>
                      <w14:textFill>
                        <w14:solidFill>
                          <w14:schemeClr w14:val="tx1"/>
                        </w14:solidFill>
                      </w14:textFill>
                    </w:rPr>
                    <w:t>勘查</w:t>
                  </w:r>
                  <w:r>
                    <w:rPr>
                      <w:rFonts w:hint="default"/>
                      <w:color w:val="000000" w:themeColor="text1"/>
                      <w:sz w:val="21"/>
                      <w:szCs w:val="21"/>
                      <w:lang w:val="en-US" w:eastAsia="zh-CN"/>
                      <w14:textFill>
                        <w14:solidFill>
                          <w14:schemeClr w14:val="tx1"/>
                        </w14:solidFill>
                      </w14:textFill>
                    </w:rPr>
                    <w:t>工程不在禁止开发区域内</w:t>
                  </w:r>
                  <w:r>
                    <w:rPr>
                      <w:rFonts w:hint="eastAsia"/>
                      <w:color w:val="000000" w:themeColor="text1"/>
                      <w:sz w:val="21"/>
                      <w:szCs w:val="21"/>
                      <w:lang w:val="en-US" w:eastAsia="zh-CN"/>
                      <w14:textFill>
                        <w14:solidFill>
                          <w14:schemeClr w14:val="tx1"/>
                        </w14:solidFill>
                      </w14:textFill>
                    </w:rPr>
                    <w:t>布置</w:t>
                  </w:r>
                </w:p>
              </w:tc>
              <w:tc>
                <w:tcPr>
                  <w:tcW w:w="1122" w:type="dxa"/>
                  <w:tcBorders>
                    <w:tl2br w:val="nil"/>
                    <w:tr2bl w:val="nil"/>
                  </w:tcBorders>
                  <w:tcMar>
                    <w:top w:w="15" w:type="dxa"/>
                    <w:left w:w="15" w:type="dxa"/>
                    <w:bottom w:w="0" w:type="dxa"/>
                    <w:right w:w="15" w:type="dxa"/>
                  </w:tcMar>
                  <w:vAlign w:val="center"/>
                </w:tcPr>
                <w:p>
                  <w:pPr>
                    <w:jc w:val="center"/>
                    <w:rPr>
                      <w:rFonts w:ascii="宋体" w:hAnsi="宋体"/>
                      <w:color w:val="000000" w:themeColor="text1"/>
                      <w:szCs w:val="21"/>
                      <w14:textFill>
                        <w14:solidFill>
                          <w14:schemeClr w14:val="tx1"/>
                        </w14:solidFill>
                      </w14:textFill>
                    </w:rPr>
                  </w:pPr>
                  <w:r>
                    <w:rPr>
                      <w:rFonts w:hint="eastAsia" w:ascii="宋体" w:hAnsi="宋体"/>
                      <w:color w:val="000000" w:themeColor="text1"/>
                      <w14:textFill>
                        <w14:solidFill>
                          <w14:schemeClr w14:val="tx1"/>
                        </w14:solidFill>
                      </w14:textFill>
                    </w:rPr>
                    <w:t>符合</w:t>
                  </w:r>
                </w:p>
              </w:tc>
            </w:tr>
          </w:tbl>
          <w:p>
            <w:pPr>
              <w:numPr>
                <w:ilvl w:val="0"/>
                <w:numId w:val="0"/>
              </w:numPr>
              <w:spacing w:line="360" w:lineRule="auto"/>
              <w:ind w:leftChars="0" w:firstLine="480" w:firstLineChars="200"/>
              <w:rPr>
                <w:rFonts w:hint="eastAsia"/>
                <w:b/>
                <w:bCs/>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②与《</w:t>
            </w:r>
            <w:r>
              <w:rPr>
                <w:rFonts w:hint="eastAsia"/>
                <w:color w:val="000000" w:themeColor="text1"/>
                <w:sz w:val="24"/>
                <w14:textFill>
                  <w14:solidFill>
                    <w14:schemeClr w14:val="tx1"/>
                  </w14:solidFill>
                </w14:textFill>
              </w:rPr>
              <w:t>宁夏回族自治区矿产资源总体规划（2016-2020）</w:t>
            </w:r>
            <w:r>
              <w:rPr>
                <w:rFonts w:hint="eastAsia"/>
                <w:color w:val="000000" w:themeColor="text1"/>
                <w:sz w:val="24"/>
                <w:lang w:val="en-US" w:eastAsia="zh-CN"/>
                <w14:textFill>
                  <w14:solidFill>
                    <w14:schemeClr w14:val="tx1"/>
                  </w14:solidFill>
                </w14:textFill>
              </w:rPr>
              <w:t>》符合性分析</w:t>
            </w:r>
          </w:p>
          <w:p>
            <w:pPr>
              <w:numPr>
                <w:ilvl w:val="0"/>
                <w:numId w:val="0"/>
              </w:numPr>
              <w:spacing w:line="360" w:lineRule="auto"/>
              <w:ind w:leftChars="0"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w:t>
            </w:r>
            <w:r>
              <w:rPr>
                <w:rFonts w:hint="default"/>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宁夏回族自治区</w:t>
            </w:r>
            <w:r>
              <w:rPr>
                <w:rFonts w:hint="default"/>
                <w:color w:val="000000" w:themeColor="text1"/>
                <w:sz w:val="24"/>
                <w:lang w:val="en-US" w:eastAsia="zh-CN"/>
                <w14:textFill>
                  <w14:solidFill>
                    <w14:schemeClr w14:val="tx1"/>
                  </w14:solidFill>
                </w14:textFill>
              </w:rPr>
              <w:t>矿产资源总体规划（2016-2020）》相符性分析</w:t>
            </w:r>
            <w:r>
              <w:rPr>
                <w:rFonts w:hint="eastAsia"/>
                <w:color w:val="000000" w:themeColor="text1"/>
                <w:sz w:val="24"/>
                <w:lang w:val="en-US" w:eastAsia="zh-CN"/>
                <w14:textFill>
                  <w14:solidFill>
                    <w14:schemeClr w14:val="tx1"/>
                  </w14:solidFill>
                </w14:textFill>
              </w:rPr>
              <w:t>见下</w:t>
            </w:r>
            <w:r>
              <w:rPr>
                <w:rFonts w:hint="default"/>
                <w:color w:val="000000" w:themeColor="text1"/>
                <w:sz w:val="24"/>
                <w:lang w:val="en-US" w:eastAsia="zh-CN"/>
                <w14:textFill>
                  <w14:solidFill>
                    <w14:schemeClr w14:val="tx1"/>
                  </w14:solidFill>
                </w14:textFill>
              </w:rPr>
              <w:t>表1-</w:t>
            </w:r>
            <w:r>
              <w:rPr>
                <w:rFonts w:hint="eastAsia"/>
                <w:color w:val="000000" w:themeColor="text1"/>
                <w:sz w:val="24"/>
                <w:lang w:val="en-US" w:eastAsia="zh-CN"/>
                <w14:textFill>
                  <w14:solidFill>
                    <w14:schemeClr w14:val="tx1"/>
                  </w14:solidFill>
                </w14:textFill>
              </w:rPr>
              <w:t>12</w:t>
            </w:r>
            <w:r>
              <w:rPr>
                <w:rFonts w:hint="default"/>
                <w:color w:val="000000" w:themeColor="text1"/>
                <w:sz w:val="24"/>
                <w:lang w:val="en-US" w:eastAsia="zh-CN"/>
                <w14:textFill>
                  <w14:solidFill>
                    <w14:schemeClr w14:val="tx1"/>
                  </w14:solidFill>
                </w14:textFill>
              </w:rPr>
              <w:t>。</w:t>
            </w:r>
          </w:p>
          <w:p>
            <w:pPr>
              <w:numPr>
                <w:ilvl w:val="0"/>
                <w:numId w:val="0"/>
              </w:num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表1-12  项目与</w:t>
            </w:r>
            <w:r>
              <w:rPr>
                <w:rFonts w:hint="default"/>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宁夏回族自治区</w:t>
            </w:r>
            <w:r>
              <w:rPr>
                <w:rFonts w:hint="default"/>
                <w:color w:val="000000" w:themeColor="text1"/>
                <w:sz w:val="24"/>
                <w:lang w:val="en-US" w:eastAsia="zh-CN"/>
                <w14:textFill>
                  <w14:solidFill>
                    <w14:schemeClr w14:val="tx1"/>
                  </w14:solidFill>
                </w14:textFill>
              </w:rPr>
              <w:t>矿产资源总体规划（2016-2020）》相符性分析</w:t>
            </w:r>
            <w:r>
              <w:rPr>
                <w:rFonts w:hint="eastAsia"/>
                <w:color w:val="000000" w:themeColor="text1"/>
                <w:sz w:val="24"/>
                <w:lang w:val="en-US" w:eastAsia="zh-CN"/>
                <w14:textFill>
                  <w14:solidFill>
                    <w14:schemeClr w14:val="tx1"/>
                  </w14:solidFill>
                </w14:textFill>
              </w:rPr>
              <w:t>表</w:t>
            </w:r>
          </w:p>
          <w:tbl>
            <w:tblPr>
              <w:tblStyle w:val="15"/>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85"/>
              <w:gridCol w:w="4856"/>
              <w:gridCol w:w="1703"/>
              <w:gridCol w:w="13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500"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877"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703"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9" w:type="pct"/>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《宁夏回族自治区矿产资源总体规划（</w:t>
                  </w:r>
                  <w:r>
                    <w:rPr>
                      <w:rFonts w:hint="default" w:ascii="Times New Roman" w:hAnsi="Times New Roman" w:eastAsia="TimesNewRomanPSMT" w:cs="Times New Roman"/>
                      <w:color w:val="000000" w:themeColor="text1"/>
                      <w:kern w:val="0"/>
                      <w:sz w:val="21"/>
                      <w:szCs w:val="21"/>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2500" w:type="pct"/>
                  <w:tcBorders>
                    <w:tl2br w:val="nil"/>
                    <w:tr2bl w:val="nil"/>
                  </w:tcBorders>
                  <w:vAlign w:val="center"/>
                </w:tcPr>
                <w:p>
                  <w:pPr>
                    <w:ind w:firstLine="420" w:firstLineChars="200"/>
                    <w:jc w:val="left"/>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规划期自治区重点勘查的矿种为煤炭（煤层气）、冶镁用白云岩、石膏、石灰岩、岩盐、铜金多金属、砂岩型铀矿、地下水（矿泉水）、地热等。</w:t>
                  </w:r>
                </w:p>
              </w:tc>
              <w:tc>
                <w:tcPr>
                  <w:tcW w:w="877" w:type="pct"/>
                  <w:tcBorders>
                    <w:tl2br w:val="nil"/>
                    <w:tr2bl w:val="nil"/>
                  </w:tcBorders>
                  <w:vAlign w:val="center"/>
                </w:tcPr>
                <w:p>
                  <w:pPr>
                    <w:jc w:val="left"/>
                    <w:rPr>
                      <w:rFonts w:hint="default"/>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本项目属于砂岩型铀矿勘查</w:t>
                  </w:r>
                </w:p>
              </w:tc>
              <w:tc>
                <w:tcPr>
                  <w:tcW w:w="703" w:type="pct"/>
                  <w:tcBorders>
                    <w:tl2br w:val="nil"/>
                    <w:tr2bl w:val="nil"/>
                  </w:tcBorders>
                  <w:vAlign w:val="center"/>
                </w:tcPr>
                <w:p>
                  <w:pPr>
                    <w:spacing w:line="240" w:lineRule="auto"/>
                    <w:jc w:val="center"/>
                    <w:rPr>
                      <w:rFonts w:hint="default"/>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919"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500" w:type="pct"/>
                  <w:tcBorders>
                    <w:tl2br w:val="nil"/>
                    <w:tr2bl w:val="nil"/>
                  </w:tcBorders>
                  <w:vAlign w:val="center"/>
                </w:tcPr>
                <w:p>
                  <w:pPr>
                    <w:ind w:firstLine="420" w:firstLineChars="200"/>
                    <w:jc w:val="left"/>
                    <w:rPr>
                      <w:rFonts w:hint="eastAsia"/>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位于自然保护区、风景名胜区、文物保护区、饮用水水源地保护区内的矿产资源禁止勘查。</w:t>
                  </w:r>
                </w:p>
              </w:tc>
              <w:tc>
                <w:tcPr>
                  <w:tcW w:w="877" w:type="pct"/>
                  <w:tcBorders>
                    <w:tl2br w:val="nil"/>
                    <w:tr2bl w:val="nil"/>
                  </w:tcBorders>
                  <w:vAlign w:val="center"/>
                </w:tcPr>
                <w:p>
                  <w:pPr>
                    <w:jc w:val="left"/>
                    <w:rPr>
                      <w:rFonts w:hint="default"/>
                      <w:color w:val="000000" w:themeColor="text1"/>
                      <w:sz w:val="24"/>
                      <w:vertAlign w:val="baseline"/>
                      <w:lang w:val="en-US" w:eastAsia="zh-CN"/>
                      <w14:textFill>
                        <w14:solidFill>
                          <w14:schemeClr w14:val="tx1"/>
                        </w14:solidFill>
                      </w14:textFill>
                    </w:rPr>
                  </w:pPr>
                  <w:r>
                    <w:rPr>
                      <w:rFonts w:hint="eastAsia"/>
                      <w:color w:val="000000" w:themeColor="text1"/>
                      <w:szCs w:val="21"/>
                      <w14:textFill>
                        <w14:solidFill>
                          <w14:schemeClr w14:val="tx1"/>
                        </w14:solidFill>
                      </w14:textFill>
                    </w:rPr>
                    <w:t>本项目勘探工程不在限制勘查区、禁止勘查区内进行布置</w:t>
                  </w:r>
                </w:p>
              </w:tc>
              <w:tc>
                <w:tcPr>
                  <w:tcW w:w="703"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ascii="Times New Roman" w:hAnsi="Times New Roman" w:cs="Times New Roman"/>
                      <w:color w:val="000000" w:themeColor="text1"/>
                      <w:sz w:val="21"/>
                      <w:szCs w:val="21"/>
                      <w:vertAlign w:val="baseline"/>
                      <w:lang w:val="en-US" w:eastAsia="zh-CN"/>
                      <w14:textFill>
                        <w14:solidFill>
                          <w14:schemeClr w14:val="tx1"/>
                        </w14:solidFill>
                      </w14:textFill>
                    </w:rPr>
                    <w:t>符合</w:t>
                  </w:r>
                </w:p>
              </w:tc>
            </w:tr>
          </w:tbl>
          <w:p>
            <w:pPr>
              <w:numPr>
                <w:ilvl w:val="0"/>
                <w:numId w:val="0"/>
              </w:numPr>
              <w:spacing w:line="360" w:lineRule="auto"/>
              <w:ind w:leftChars="0"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eastAsia"/>
                <w:color w:val="000000" w:themeColor="text1"/>
                <w:sz w:val="24"/>
                <w:lang w:val="en-US" w:eastAsia="zh-CN"/>
                <w14:textFill>
                  <w14:solidFill>
                    <w14:schemeClr w14:val="tx1"/>
                  </w14:solidFill>
                </w14:textFill>
              </w:rPr>
              <w:t>“三线一单”生态环境分区管控》符合性分析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根据《宁夏回族自治区人民政府关于实施“三线一单”生态环境分区管控的通知》（宁政发[2020]37号），将宁夏回族自治区划定为优先保护单元、重点管控单元和一般管控单元三类。</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优先保护单元主要包括生态保护红线、自然保护地、饮用水水源保护区等区域，以生态环境保护优先为原则，突出空间用途管控，依法禁止或限制大规模、高强度的开发建设活动，确保生态环境功能不降低。重点管控单元主要涉及城镇和工业园区等人口密集、资源开发强度大且污染物排放强度高的区域，以优化空间和产业布局、强化底线约束为导向，突出污染物排放控制和环境风险防控，不断提升资源利用效率，稳步改善生态环境质量。一般管控单元指除优先保护单元和重点管控单元之外的其他区域，以生态环境保护与适度开发相结合为主，落实区域生态环境保护的基本要求。</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numPr>
                <w:ilvl w:val="0"/>
                <w:numId w:val="0"/>
              </w:num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项目</w:t>
            </w:r>
            <w:r>
              <w:rPr>
                <w:rFonts w:hint="eastAsia" w:cs="Times New Roman"/>
                <w:color w:val="000000" w:themeColor="text1"/>
                <w:sz w:val="24"/>
                <w:lang w:val="en-US" w:eastAsia="zh-CN"/>
                <w14:textFill>
                  <w14:solidFill>
                    <w14:schemeClr w14:val="tx1"/>
                  </w14:solidFill>
                </w14:textFill>
              </w:rPr>
              <w:t>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default" w:ascii="Times New Roman" w:hAnsi="Times New Roman" w:cs="Times New Roman"/>
                <w:color w:val="000000" w:themeColor="text1"/>
                <w:sz w:val="24"/>
                <w:lang w:val="en-US" w:eastAsia="zh-CN"/>
                <w14:textFill>
                  <w14:solidFill>
                    <w14:schemeClr w14:val="tx1"/>
                  </w14:solidFill>
                </w14:textFill>
              </w:rPr>
              <w:t>“三线一单”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8</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勘查区涉及</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eastAsia" w:cs="Times New Roman"/>
                <w:b w:val="0"/>
                <w:bCs w:val="0"/>
                <w:color w:val="000000" w:themeColor="text1"/>
                <w:kern w:val="2"/>
                <w:sz w:val="24"/>
                <w:szCs w:val="24"/>
                <w:lang w:val="en-US" w:eastAsia="zh-CN" w:bidi="ar-SA"/>
                <w14:textFill>
                  <w14:solidFill>
                    <w14:schemeClr w14:val="tx1"/>
                  </w14:solidFill>
                </w14:textFill>
              </w:rPr>
              <w:t>的</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优先保护单元、重点管控单元和一般管控单元</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default" w:ascii="Times New Roman" w:hAnsi="Times New Roman" w:cs="Times New Roman"/>
                <w:color w:val="000000" w:themeColor="text1"/>
                <w:kern w:val="0"/>
                <w:sz w:val="24"/>
                <w:lang w:val="en-US" w:eastAsia="zh-CN"/>
                <w14:textFill>
                  <w14:solidFill>
                    <w14:schemeClr w14:val="tx1"/>
                  </w14:solidFill>
                </w14:textFill>
              </w:rPr>
              <w:t>2022年钻孔</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default" w:ascii="Times New Roman" w:hAnsi="Times New Roman" w:cs="Times New Roman"/>
                <w:color w:val="000000" w:themeColor="text1"/>
                <w:kern w:val="0"/>
                <w:sz w:val="24"/>
                <w:lang w:val="en-US" w:eastAsia="zh-CN"/>
                <w14:textFill>
                  <w14:solidFill>
                    <w14:schemeClr w14:val="tx1"/>
                  </w14:solidFill>
                </w14:textFill>
              </w:rPr>
              <w:t>划定的一般管控单元。</w:t>
            </w:r>
            <w:r>
              <w:rPr>
                <w:rFonts w:hint="eastAsia" w:cs="Times New Roman"/>
                <w:color w:val="000000" w:themeColor="text1"/>
                <w:kern w:val="0"/>
                <w:sz w:val="24"/>
                <w:lang w:val="en-US" w:eastAsia="zh-CN"/>
                <w14:textFill>
                  <w14:solidFill>
                    <w14:schemeClr w14:val="tx1"/>
                  </w14:solidFill>
                </w14:textFill>
              </w:rPr>
              <w:t>因此，</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2022年的钻孔</w:t>
            </w:r>
            <w:r>
              <w:rPr>
                <w:rFonts w:hint="default" w:ascii="Times New Roman" w:hAnsi="Times New Roman" w:cs="Times New Roman"/>
                <w:color w:val="000000" w:themeColor="text1"/>
                <w:kern w:val="0"/>
                <w:sz w:val="24"/>
                <w:lang w:val="en-US" w:eastAsia="zh-CN"/>
                <w14:textFill>
                  <w14:solidFill>
                    <w14:schemeClr w14:val="tx1"/>
                  </w14:solidFill>
                </w14:textFill>
              </w:rPr>
              <w:t>不占用优先保护单元</w:t>
            </w:r>
            <w:r>
              <w:rPr>
                <w:rFonts w:hint="eastAsia" w:ascii="Times New Roman" w:hAnsi="Times New Roman" w:cs="Times New Roman"/>
                <w:color w:val="000000" w:themeColor="text1"/>
                <w:kern w:val="0"/>
                <w:sz w:val="24"/>
                <w:lang w:val="en-US" w:eastAsia="zh-CN"/>
                <w14:textFill>
                  <w14:solidFill>
                    <w14:schemeClr w14:val="tx1"/>
                  </w14:solidFill>
                </w14:textFill>
              </w:rPr>
              <w:t>，不涉及</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同时评价要求2023-2026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年的拟布设的钻孔也不得占用上述保护目标。</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项目与《宁夏回族自治区“三线一单”生态环境分区管控》相符性分析见下表1-13。</w:t>
            </w:r>
          </w:p>
          <w:p>
            <w:pPr>
              <w:spacing w:line="240" w:lineRule="auto"/>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表1-13  项目与《宁夏回族自治区“三线一单”生态环境分区管控》相符性分析表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942"/>
              <w:gridCol w:w="4374"/>
              <w:gridCol w:w="1975"/>
              <w:gridCol w:w="14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01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ascii="宋体" w:hAnsi="宋体" w:eastAsia="宋体" w:cs="宋体"/>
                      <w:color w:val="000000" w:themeColor="text1"/>
                      <w:sz w:val="21"/>
                      <w:szCs w:val="21"/>
                      <w:lang w:val="en-US" w:eastAsia="zh-CN"/>
                      <w14:textFill>
                        <w14:solidFill>
                          <w14:schemeClr w14:val="tx1"/>
                        </w14:solidFill>
                      </w14:textFill>
                    </w:rPr>
                    <w:t>宁夏回族自治区</w:t>
                  </w:r>
                  <w:r>
                    <w:rPr>
                      <w:rFonts w:hint="eastAsia"/>
                      <w:color w:val="000000" w:themeColor="text1"/>
                      <w:sz w:val="21"/>
                      <w:szCs w:val="21"/>
                      <w:lang w:val="en-US" w:eastAsia="zh-CN"/>
                      <w14:textFill>
                        <w14:solidFill>
                          <w14:schemeClr w14:val="tx1"/>
                        </w14:solidFill>
                      </w14:textFill>
                    </w:rPr>
                    <w:t>“三线一单”生态环境分区管控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优先保护单元：以生态环境保护优先为原则，突出空间用途管控，依法禁止或限制大规模、高强度的开发建设活动，确保生态环境功能不降低。</w:t>
                  </w:r>
                  <w:r>
                    <w:rPr>
                      <w:rFonts w:hint="eastAsia" w:ascii="宋体" w:hAnsi="宋体" w:eastAsia="宋体" w:cs="宋体"/>
                      <w:color w:val="000000" w:themeColor="text1"/>
                      <w:sz w:val="21"/>
                      <w:szCs w:val="21"/>
                      <w:lang w:val="en-US" w:eastAsia="zh-CN" w:bidi="ar-SA"/>
                      <w14:textFill>
                        <w14:solidFill>
                          <w14:schemeClr w14:val="tx1"/>
                        </w14:solidFill>
                      </w14:textFill>
                    </w:rPr>
                    <w:t>。</w:t>
                  </w:r>
                </w:p>
              </w:tc>
              <w:tc>
                <w:tcPr>
                  <w:tcW w:w="1016" w:type="pct"/>
                  <w:vMerge w:val="restart"/>
                  <w:tcBorders>
                    <w:tl2br w:val="nil"/>
                    <w:tr2bl w:val="nil"/>
                  </w:tcBorders>
                  <w:noWrap w:val="0"/>
                  <w:tcMar>
                    <w:top w:w="15" w:type="dxa"/>
                    <w:left w:w="15" w:type="dxa"/>
                    <w:bottom w:w="0" w:type="dxa"/>
                    <w:right w:w="15" w:type="dxa"/>
                  </w:tcMar>
                  <w:vAlign w:val="center"/>
                </w:tcPr>
                <w:p>
                  <w:pPr>
                    <w:pStyle w:val="26"/>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本项目2022年的钻孔不占用优先保护单元内，</w:t>
                  </w:r>
                  <w:r>
                    <w:rPr>
                      <w:rFonts w:hint="eastAsia" w:ascii="Times New Roman" w:hAnsi="Times New Roman" w:cs="Times New Roman"/>
                      <w:color w:val="000000" w:themeColor="text1"/>
                      <w:sz w:val="21"/>
                      <w:szCs w:val="21"/>
                      <w:lang w:val="en-US" w:eastAsia="zh-CN" w:bidi="ar-SA"/>
                      <w14:textFill>
                        <w14:solidFill>
                          <w14:schemeClr w14:val="tx1"/>
                        </w14:solidFill>
                      </w14:textFill>
                    </w:rPr>
                    <w:t>不涉及生态红线，</w:t>
                  </w:r>
                  <w:r>
                    <w:rPr>
                      <w:rFonts w:hint="default" w:ascii="Times New Roman" w:hAnsi="Times New Roman" w:eastAsia="宋体" w:cs="Times New Roman"/>
                      <w:color w:val="000000" w:themeColor="text1"/>
                      <w:sz w:val="21"/>
                      <w:szCs w:val="21"/>
                      <w:lang w:val="en-US" w:eastAsia="zh-CN" w:bidi="ar-SA"/>
                      <w14:textFill>
                        <w14:solidFill>
                          <w14:schemeClr w14:val="tx1"/>
                        </w14:solidFill>
                      </w14:textFill>
                    </w:rPr>
                    <w:t>也不占用国家和自治区级自然保护区、风景名胜区、水源保护地、国家级森林公园、地质公园等环境敏感区。评价要求2023-2026年的拟布设的钻孔也不得占用上述保护目标。</w:t>
                  </w:r>
                </w:p>
              </w:tc>
              <w:tc>
                <w:tcPr>
                  <w:tcW w:w="733"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重点管控单元：以优化空间和产业布局、强化底线约束为导向，突出污染物排放控制和环境风险防控，不断提升资源利用效率，稳步改善生态环境质量。</w:t>
                  </w:r>
                </w:p>
              </w:tc>
              <w:tc>
                <w:tcPr>
                  <w:tcW w:w="1016" w:type="pct"/>
                  <w:vMerge w:val="continue"/>
                  <w:tcBorders>
                    <w:tl2br w:val="nil"/>
                    <w:tr2bl w:val="nil"/>
                  </w:tcBorders>
                  <w:noWrap w:val="0"/>
                  <w:tcMar>
                    <w:top w:w="15" w:type="dxa"/>
                    <w:left w:w="15" w:type="dxa"/>
                    <w:bottom w:w="0" w:type="dxa"/>
                    <w:right w:w="15" w:type="dxa"/>
                  </w:tcMar>
                  <w:vAlign w:val="center"/>
                </w:tcPr>
                <w:p>
                  <w:pPr>
                    <w:pStyle w:val="26"/>
                    <w:rPr>
                      <w:rFonts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一般管控单元：以生态环境保护与适度开发相结合为主，落实区域生态环境保护的基本要求。</w:t>
                  </w:r>
                </w:p>
              </w:tc>
              <w:tc>
                <w:tcPr>
                  <w:tcW w:w="1016" w:type="pct"/>
                  <w:vMerge w:val="continue"/>
                  <w:tcBorders>
                    <w:tl2br w:val="nil"/>
                    <w:tr2bl w:val="nil"/>
                  </w:tcBorders>
                  <w:noWrap w:val="0"/>
                  <w:tcMar>
                    <w:top w:w="15" w:type="dxa"/>
                    <w:left w:w="15" w:type="dxa"/>
                    <w:bottom w:w="0" w:type="dxa"/>
                    <w:right w:w="15" w:type="dxa"/>
                  </w:tcMar>
                  <w:vAlign w:val="center"/>
                </w:tcPr>
                <w:p>
                  <w:pPr>
                    <w:pStyle w:val="26"/>
                    <w:rPr>
                      <w:rFonts w:hint="eastAsia"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numPr>
                <w:ilvl w:val="0"/>
                <w:numId w:val="0"/>
              </w:numPr>
              <w:spacing w:line="360" w:lineRule="auto"/>
              <w:ind w:leftChars="0"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④与《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eastAsia" w:cs="Times New Roman"/>
                <w:b w:val="0"/>
                <w:bCs w:val="0"/>
                <w:color w:val="000000" w:themeColor="text1"/>
                <w:kern w:val="2"/>
                <w:sz w:val="24"/>
                <w:szCs w:val="24"/>
                <w:lang w:val="en-US" w:eastAsia="zh-CN" w:bidi="ar-SA"/>
                <w14:textFill>
                  <w14:solidFill>
                    <w14:schemeClr w14:val="tx1"/>
                  </w14:solidFill>
                </w14:textFill>
              </w:rPr>
              <w:t>生态保护红线</w:t>
            </w:r>
            <w:r>
              <w:rPr>
                <w:rFonts w:hint="eastAsia"/>
                <w:color w:val="000000" w:themeColor="text1"/>
                <w:sz w:val="24"/>
                <w:lang w:val="en-US" w:eastAsia="zh-CN"/>
                <w14:textFill>
                  <w14:solidFill>
                    <w14:schemeClr w14:val="tx1"/>
                  </w14:solidFill>
                </w14:textFill>
              </w:rPr>
              <w:t>》符合性分析</w:t>
            </w:r>
          </w:p>
          <w:p>
            <w:pPr>
              <w:numPr>
                <w:ilvl w:val="0"/>
                <w:numId w:val="0"/>
              </w:numPr>
              <w:spacing w:line="360" w:lineRule="auto"/>
              <w:ind w:leftChars="0"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w:t>
            </w:r>
            <w:r>
              <w:rPr>
                <w:rFonts w:hint="eastAsia"/>
                <w:color w:val="000000" w:themeColor="text1"/>
                <w:sz w:val="24"/>
                <w:lang w:val="en-US" w:eastAsia="zh-CN"/>
                <w14:textFill>
                  <w14:solidFill>
                    <w14:schemeClr w14:val="tx1"/>
                  </w14:solidFill>
                </w14:textFill>
              </w:rPr>
              <w:t>自治区人民政府关于发布宁夏回族自治区生态保护红线的通知》（宁政发[2018]23号），经对比宁夏回族自治区生态保护红线图，本项目2022年钻孔不涉及生态红线，选址可行。项目与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eastAsia" w:cs="Times New Roman"/>
                <w:b w:val="0"/>
                <w:bCs w:val="0"/>
                <w:color w:val="000000" w:themeColor="text1"/>
                <w:kern w:val="2"/>
                <w:sz w:val="24"/>
                <w:szCs w:val="24"/>
                <w:lang w:val="en-US" w:eastAsia="zh-CN" w:bidi="ar-SA"/>
                <w14:textFill>
                  <w14:solidFill>
                    <w14:schemeClr w14:val="tx1"/>
                  </w14:solidFill>
                </w14:textFill>
              </w:rPr>
              <w:t>生态保护红线的关系见附图9。</w:t>
            </w:r>
          </w:p>
          <w:p>
            <w:pPr>
              <w:numPr>
                <w:ilvl w:val="0"/>
                <w:numId w:val="0"/>
              </w:numPr>
              <w:spacing w:line="360" w:lineRule="auto"/>
              <w:ind w:leftChars="0" w:firstLine="480" w:firstLineChars="200"/>
              <w:rPr>
                <w:rFonts w:hint="default"/>
                <w:color w:val="000000" w:themeColor="text1"/>
                <w:sz w:val="24"/>
                <w:lang w:val="en-US" w:eastAsia="zh-CN"/>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本次</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年拟布设的钻孔不占用优先保护单元内的生态红线，也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综上所述，本项目符合《宁夏回族自治区主体功能区规划》</w:t>
            </w:r>
            <w:r>
              <w:rPr>
                <w:rFonts w:hint="eastAsia"/>
                <w:bCs/>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宁夏回族自治区</w:t>
            </w:r>
            <w:r>
              <w:rPr>
                <w:rFonts w:hint="eastAsia"/>
                <w:color w:val="000000" w:themeColor="text1"/>
                <w:sz w:val="24"/>
                <w14:textFill>
                  <w14:solidFill>
                    <w14:schemeClr w14:val="tx1"/>
                  </w14:solidFill>
                </w14:textFill>
              </w:rPr>
              <w:t>矿产资源总体规划（2016-2020年）》</w:t>
            </w:r>
            <w:r>
              <w:rPr>
                <w:rFonts w:hint="eastAsia"/>
                <w:color w:val="000000" w:themeColor="text1"/>
                <w:sz w:val="24"/>
                <w:lang w:val="en-US" w:eastAsia="zh-CN"/>
                <w14:textFill>
                  <w14:solidFill>
                    <w14:schemeClr w14:val="tx1"/>
                  </w14:solidFill>
                </w14:textFill>
              </w:rPr>
              <w:t>、《宁夏回族自治区“三线一单”生态环境分区管控》和《</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宁夏回族自治区</w:t>
            </w:r>
            <w:r>
              <w:rPr>
                <w:rFonts w:hint="eastAsia" w:cs="Times New Roman"/>
                <w:b w:val="0"/>
                <w:bCs w:val="0"/>
                <w:color w:val="000000" w:themeColor="text1"/>
                <w:kern w:val="2"/>
                <w:sz w:val="24"/>
                <w:szCs w:val="24"/>
                <w:lang w:val="en-US" w:eastAsia="zh-CN" w:bidi="ar-SA"/>
                <w14:textFill>
                  <w14:solidFill>
                    <w14:schemeClr w14:val="tx1"/>
                  </w14:solidFill>
                </w14:textFill>
              </w:rPr>
              <w:t>生态保护红线</w:t>
            </w:r>
            <w:r>
              <w:rPr>
                <w:rFonts w:hint="eastAsia"/>
                <w:color w:val="000000" w:themeColor="text1"/>
                <w:sz w:val="24"/>
                <w:lang w:val="en-US" w:eastAsia="zh-CN"/>
                <w14:textFill>
                  <w14:solidFill>
                    <w14:schemeClr w14:val="tx1"/>
                  </w14:solidFill>
                </w14:textFill>
              </w:rPr>
              <w:t>》</w:t>
            </w:r>
            <w:r>
              <w:rPr>
                <w:rFonts w:hint="eastAsia" w:cs="Times New Roman"/>
                <w:color w:val="000000" w:themeColor="text1"/>
                <w:kern w:val="0"/>
                <w:sz w:val="24"/>
                <w:szCs w:val="24"/>
                <w:lang w:val="en-US" w:eastAsia="zh-CN" w:bidi="ar"/>
                <w14:textFill>
                  <w14:solidFill>
                    <w14:schemeClr w14:val="tx1"/>
                  </w14:solidFill>
                </w14:textFill>
              </w:rPr>
              <w:t>的要求。</w:t>
            </w:r>
          </w:p>
          <w:p>
            <w:pPr>
              <w:numPr>
                <w:ilvl w:val="0"/>
                <w:numId w:val="0"/>
              </w:numPr>
              <w:spacing w:line="360" w:lineRule="auto"/>
              <w:ind w:leftChars="0" w:firstLine="480" w:firstLineChars="200"/>
              <w:rPr>
                <w:rFonts w:hint="eastAsia"/>
                <w:b/>
                <w:bCs/>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（5）与山西省相关规划符合性分析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①与《山西省主体功能区规划》符合性分析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根据《山西省主体功能区规划》，将山西省划分为重点开发区域、限制开发区域和禁止开发区域三类。</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勘查区涉及吕梁市和临汾市区域，属于黄土高原丘陵沟壑水土保持生态功能区（限制开发区域-国家级重点生态功能区）、吕梁山水源涵养及水土保持生态功能区（限制开发区域-省级重点生态功能区），吕梁市离石区属于省级重点开发区域。</w:t>
            </w:r>
          </w:p>
          <w:p>
            <w:p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勘查区内分布有</w:t>
            </w:r>
            <w:r>
              <w:rPr>
                <w:rFonts w:hint="eastAsia" w:cs="Times New Roman"/>
                <w:b w:val="0"/>
                <w:bCs w:val="0"/>
                <w:color w:val="000000" w:themeColor="text1"/>
                <w:kern w:val="2"/>
                <w:sz w:val="24"/>
                <w:szCs w:val="24"/>
                <w:lang w:val="en-US" w:eastAsia="zh-CN" w:bidi="ar-SA"/>
                <w14:textFill>
                  <w14:solidFill>
                    <w14:schemeClr w14:val="tx1"/>
                  </w14:solidFill>
                </w14:textFill>
              </w:rPr>
              <w:t>4个自然保护区（山西五鹿山国家级自然保护区、山西团圆山省级自然保护区、山西人祖山省级自然保护区、山西管头山省级自然保护区）、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3个风景名胜区（</w:t>
            </w:r>
            <w:r>
              <w:rPr>
                <w:rFonts w:hint="default"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姑射山省级风景名胜区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、南阳沟省级风景名胜区、云丘山省级风景名胜区）</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1个森林公园</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安国寺省级森林公园</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2个地质公园</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碛口省级地质公园、隰县午城黄土省级地质公园</w:t>
            </w:r>
            <w:r>
              <w:rPr>
                <w:rFonts w:hint="eastAsia" w:cs="Times New Roman"/>
                <w:b w:val="0"/>
                <w:bCs w:val="0"/>
                <w:color w:val="000000" w:themeColor="text1"/>
                <w:kern w:val="2"/>
                <w:sz w:val="24"/>
                <w:szCs w:val="24"/>
                <w:lang w:val="en-US" w:eastAsia="zh-CN" w:bidi="ar-SA"/>
                <w14:textFill>
                  <w14:solidFill>
                    <w14:schemeClr w14:val="tx1"/>
                  </w14:solidFill>
                </w14:textFill>
              </w:rPr>
              <w:t>），属于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禁止开发区。</w:t>
            </w:r>
          </w:p>
          <w:p>
            <w:pPr>
              <w:spacing w:line="360" w:lineRule="auto"/>
              <w:ind w:firstLine="480" w:firstLineChars="200"/>
              <w:rPr>
                <w:rFonts w:hint="default"/>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项目与《山西省主体功能区规划》相符性分析见下表1-14，勘查区</w:t>
            </w:r>
            <w:r>
              <w:rPr>
                <w:rFonts w:hint="default" w:ascii="Times New Roman" w:hAnsi="Times New Roman" w:cs="Times New Roman"/>
                <w:bCs/>
                <w:color w:val="000000" w:themeColor="text1"/>
                <w:sz w:val="24"/>
                <w:lang w:val="en-US" w:eastAsia="zh-CN"/>
                <w14:textFill>
                  <w14:solidFill>
                    <w14:schemeClr w14:val="tx1"/>
                  </w14:solidFill>
                </w14:textFill>
              </w:rPr>
              <w:t>与</w:t>
            </w:r>
            <w:r>
              <w:rPr>
                <w:rFonts w:hint="eastAsia" w:cs="Times New Roman"/>
                <w:bCs/>
                <w:color w:val="000000" w:themeColor="text1"/>
                <w:sz w:val="24"/>
                <w:lang w:val="en-US" w:eastAsia="zh-CN"/>
                <w14:textFill>
                  <w14:solidFill>
                    <w14:schemeClr w14:val="tx1"/>
                  </w14:solidFill>
                </w14:textFill>
              </w:rPr>
              <w:t>山西省</w:t>
            </w:r>
            <w:r>
              <w:rPr>
                <w:rFonts w:hint="default" w:ascii="Times New Roman" w:hAnsi="Times New Roman" w:cs="Times New Roman"/>
                <w:bCs/>
                <w:color w:val="000000" w:themeColor="text1"/>
                <w:sz w:val="24"/>
                <w:lang w:val="en-US" w:eastAsia="zh-CN"/>
                <w14:textFill>
                  <w14:solidFill>
                    <w14:schemeClr w14:val="tx1"/>
                  </w14:solidFill>
                </w14:textFill>
              </w:rPr>
              <w:t>主体功能区规划关系见附图</w:t>
            </w:r>
            <w:r>
              <w:rPr>
                <w:rFonts w:hint="eastAsia" w:cs="Times New Roman"/>
                <w:bCs/>
                <w:color w:val="000000" w:themeColor="text1"/>
                <w:sz w:val="24"/>
                <w:lang w:val="en-US" w:eastAsia="zh-CN"/>
                <w14:textFill>
                  <w14:solidFill>
                    <w14:schemeClr w14:val="tx1"/>
                  </w14:solidFill>
                </w14:textFill>
              </w:rPr>
              <w:t>10</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表1-14  </w:t>
            </w:r>
            <w:r>
              <w:rPr>
                <w:rFonts w:hint="eastAsia"/>
                <w:bCs/>
                <w:color w:val="000000" w:themeColor="text1"/>
                <w:sz w:val="24"/>
                <w:lang w:val="en-US" w:eastAsia="zh-CN"/>
                <w14:textFill>
                  <w14:solidFill>
                    <w14:schemeClr w14:val="tx1"/>
                  </w14:solidFill>
                </w14:textFill>
              </w:rPr>
              <w:t>项目与《山西省主体功能区规划》相符性分析表</w:t>
            </w:r>
          </w:p>
          <w:tbl>
            <w:tblPr>
              <w:tblStyle w:val="15"/>
              <w:tblW w:w="4998"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77"/>
              <w:gridCol w:w="4772"/>
              <w:gridCol w:w="2463"/>
              <w:gridCol w:w="13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455"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1267"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669" w:type="pct"/>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restar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default"/>
                      <w:color w:val="000000" w:themeColor="text1"/>
                      <w:sz w:val="21"/>
                      <w:szCs w:val="21"/>
                      <w:vertAlign w:val="baseline"/>
                      <w:lang w:val="en-US" w:eastAsia="zh-CN"/>
                      <w14:textFill>
                        <w14:solidFill>
                          <w14:schemeClr w14:val="tx1"/>
                        </w14:solidFill>
                      </w14:textFill>
                    </w:rPr>
                    <w:t>《</w:t>
                  </w:r>
                  <w:r>
                    <w:rPr>
                      <w:rFonts w:hint="eastAsia"/>
                      <w:color w:val="000000" w:themeColor="text1"/>
                      <w:sz w:val="21"/>
                      <w:szCs w:val="21"/>
                      <w:vertAlign w:val="baseline"/>
                      <w:lang w:val="en-US" w:eastAsia="zh-CN"/>
                      <w14:textFill>
                        <w14:solidFill>
                          <w14:schemeClr w14:val="tx1"/>
                        </w14:solidFill>
                      </w14:textFill>
                    </w:rPr>
                    <w:t>山西省</w:t>
                  </w:r>
                  <w:r>
                    <w:rPr>
                      <w:rFonts w:hint="default"/>
                      <w:color w:val="000000" w:themeColor="text1"/>
                      <w:sz w:val="21"/>
                      <w:szCs w:val="21"/>
                      <w:vertAlign w:val="baseline"/>
                      <w:lang w:val="en-US" w:eastAsia="zh-CN"/>
                      <w14:textFill>
                        <w14:solidFill>
                          <w14:schemeClr w14:val="tx1"/>
                        </w14:solidFill>
                      </w14:textFill>
                    </w:rPr>
                    <w:t>主体功能区</w:t>
                  </w:r>
                  <w:r>
                    <w:rPr>
                      <w:rFonts w:hint="eastAsia"/>
                      <w:color w:val="000000" w:themeColor="text1"/>
                      <w:sz w:val="21"/>
                      <w:szCs w:val="21"/>
                      <w:vertAlign w:val="baseline"/>
                      <w:lang w:val="en-US" w:eastAsia="zh-CN"/>
                      <w14:textFill>
                        <w14:solidFill>
                          <w14:schemeClr w14:val="tx1"/>
                        </w14:solidFill>
                      </w14:textFill>
                    </w:rPr>
                    <w:t>规划</w:t>
                  </w:r>
                  <w:r>
                    <w:rPr>
                      <w:rFonts w:hint="default"/>
                      <w:color w:val="000000" w:themeColor="text1"/>
                      <w:sz w:val="21"/>
                      <w:szCs w:val="21"/>
                      <w:vertAlign w:val="baseline"/>
                      <w:lang w:val="en-US" w:eastAsia="zh-CN"/>
                      <w14:textFill>
                        <w14:solidFill>
                          <w14:schemeClr w14:val="tx1"/>
                        </w14:solidFill>
                      </w14:textFill>
                    </w:rPr>
                    <w:t>》</w:t>
                  </w:r>
                </w:p>
              </w:tc>
              <w:tc>
                <w:tcPr>
                  <w:tcW w:w="2455" w:type="pct"/>
                  <w:tcBorders>
                    <w:tl2br w:val="nil"/>
                    <w:tr2bl w:val="nil"/>
                  </w:tcBorders>
                </w:tcPr>
                <w:p>
                  <w:pPr>
                    <w:spacing w:line="240" w:lineRule="auto"/>
                    <w:ind w:firstLine="420" w:firstLineChars="200"/>
                    <w:jc w:val="left"/>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重</w:t>
                  </w:r>
                  <w:r>
                    <w:rPr>
                      <w:rFonts w:hint="default"/>
                      <w:color w:val="000000" w:themeColor="text1"/>
                      <w:sz w:val="21"/>
                      <w:szCs w:val="21"/>
                      <w:vertAlign w:val="baseline"/>
                      <w:lang w:val="en-US" w:eastAsia="zh-CN"/>
                      <w14:textFill>
                        <w14:solidFill>
                          <w14:schemeClr w14:val="tx1"/>
                        </w14:solidFill>
                      </w14:textFill>
                    </w:rPr>
                    <w:t>点开发区域</w:t>
                  </w:r>
                  <w:r>
                    <w:rPr>
                      <w:rFonts w:hint="eastAsia"/>
                      <w:color w:val="000000" w:themeColor="text1"/>
                      <w:sz w:val="21"/>
                      <w:szCs w:val="21"/>
                      <w:vertAlign w:val="baseline"/>
                      <w:lang w:val="en-US" w:eastAsia="zh-CN"/>
                      <w14:textFill>
                        <w14:solidFill>
                          <w14:schemeClr w14:val="tx1"/>
                        </w14:solidFill>
                      </w14:textFill>
                    </w:rPr>
                    <w:t>：代支撑全省 至全国经济发展的重要增长极，提升综合实力和产业竞争力的核心区，引领科技创新和推动经济发展方式转变的示范区，全省重要的人口和经济密集区。</w:t>
                  </w:r>
                </w:p>
                <w:p>
                  <w:pPr>
                    <w:spacing w:line="240" w:lineRule="auto"/>
                    <w:ind w:firstLine="420" w:firstLineChars="200"/>
                    <w:jc w:val="left"/>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发展方向：统筹国土空间、加快产业发展、提升城镇功能、促进人口聚集、完善基础设施、保护生态环境、加强灾害防御。</w:t>
                  </w:r>
                </w:p>
              </w:tc>
              <w:tc>
                <w:tcPr>
                  <w:tcW w:w="1267" w:type="pct"/>
                  <w:tcBorders>
                    <w:tl2br w:val="nil"/>
                    <w:tr2bl w:val="nil"/>
                  </w:tcBorders>
                  <w:vAlign w:val="center"/>
                </w:tcPr>
                <w:p>
                  <w:pPr>
                    <w:spacing w:line="240" w:lineRule="auto"/>
                    <w:jc w:val="left"/>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本项目属铀矿地质勘查，</w:t>
                  </w:r>
                  <w:r>
                    <w:rPr>
                      <w:rFonts w:hint="eastAsia" w:cs="Times New Roman"/>
                      <w:color w:val="000000" w:themeColor="text1"/>
                      <w:sz w:val="21"/>
                      <w:szCs w:val="21"/>
                      <w:vertAlign w:val="baseline"/>
                      <w:lang w:val="en-US" w:eastAsia="zh-CN"/>
                      <w14:textFill>
                        <w14:solidFill>
                          <w14:schemeClr w14:val="tx1"/>
                        </w14:solidFill>
                      </w14:textFill>
                    </w:rPr>
                    <w:t>勘查区涉及的</w:t>
                  </w: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吕梁市离石区属于省级重点开发区域</w:t>
                  </w:r>
                </w:p>
              </w:tc>
              <w:tc>
                <w:tcPr>
                  <w:tcW w:w="669"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p>
              </w:tc>
              <w:tc>
                <w:tcPr>
                  <w:tcW w:w="2455" w:type="pct"/>
                  <w:tcBorders>
                    <w:tl2br w:val="nil"/>
                    <w:tr2bl w:val="nil"/>
                  </w:tcBorders>
                </w:tcPr>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限制开发的重点生态功能区</w:t>
                  </w:r>
                  <w:r>
                    <w:rPr>
                      <w:rFonts w:hint="eastAsia"/>
                      <w:color w:val="000000" w:themeColor="text1"/>
                      <w:sz w:val="21"/>
                      <w:szCs w:val="21"/>
                      <w:lang w:val="en-US" w:eastAsia="zh-CN"/>
                      <w14:textFill>
                        <w14:solidFill>
                          <w14:schemeClr w14:val="tx1"/>
                        </w14:solidFill>
                      </w14:textFill>
                    </w:rPr>
                    <w:t>：</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①国家级</w:t>
                  </w:r>
                  <w:r>
                    <w:rPr>
                      <w:rFonts w:hint="default"/>
                      <w:color w:val="000000" w:themeColor="text1"/>
                      <w:sz w:val="21"/>
                      <w:szCs w:val="21"/>
                      <w:lang w:val="en-US" w:eastAsia="zh-CN"/>
                      <w14:textFill>
                        <w14:solidFill>
                          <w14:schemeClr w14:val="tx1"/>
                        </w14:solidFill>
                      </w14:textFill>
                    </w:rPr>
                    <w:t>限制开发的重点生态功能区</w:t>
                  </w:r>
                  <w:r>
                    <w:rPr>
                      <w:rFonts w:hint="eastAsia"/>
                      <w:color w:val="000000" w:themeColor="text1"/>
                      <w:sz w:val="21"/>
                      <w:szCs w:val="21"/>
                      <w:lang w:val="en-US" w:eastAsia="zh-CN"/>
                      <w14:textFill>
                        <w14:solidFill>
                          <w14:schemeClr w14:val="tx1"/>
                        </w14:solidFill>
                      </w14:textFill>
                    </w:rPr>
                    <w:t>：河中心干流水土流失控制的核心区域，曲河中下过生态安全保障的关键区域，曲土高原水土流失治理的重点区域。</w:t>
                  </w:r>
                </w:p>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②省级</w:t>
                  </w:r>
                  <w:r>
                    <w:rPr>
                      <w:rFonts w:hint="default"/>
                      <w:color w:val="000000" w:themeColor="text1"/>
                      <w:sz w:val="21"/>
                      <w:szCs w:val="21"/>
                      <w:lang w:val="en-US" w:eastAsia="zh-CN"/>
                      <w14:textFill>
                        <w14:solidFill>
                          <w14:schemeClr w14:val="tx1"/>
                        </w14:solidFill>
                      </w14:textFill>
                    </w:rPr>
                    <w:t>限制开发的重点生态功能区</w:t>
                  </w:r>
                  <w:r>
                    <w:rPr>
                      <w:rFonts w:hint="eastAsia"/>
                      <w:color w:val="000000" w:themeColor="text1"/>
                      <w:sz w:val="21"/>
                      <w:szCs w:val="21"/>
                      <w:lang w:val="en-US" w:eastAsia="zh-CN"/>
                      <w14:textFill>
                        <w14:solidFill>
                          <w14:schemeClr w14:val="tx1"/>
                        </w14:solidFill>
                      </w14:textFill>
                    </w:rPr>
                    <w:t>：全省森林、草地、湿地等自然、人工生态系统保护的关还区域，持全省及周边省区可持续水资源供给系统的重要区域，山西省水土流失控制的主要区域。</w:t>
                  </w:r>
                </w:p>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吕梁山水源涵养及水土保持生态功能区</w:t>
                  </w:r>
                  <w:r>
                    <w:rPr>
                      <w:rFonts w:hint="eastAsia"/>
                      <w:color w:val="000000" w:themeColor="text1"/>
                      <w:sz w:val="21"/>
                      <w:szCs w:val="21"/>
                      <w:lang w:val="en-US" w:eastAsia="zh-CN"/>
                      <w14:textFill>
                        <w14:solidFill>
                          <w14:schemeClr w14:val="tx1"/>
                        </w14:solidFill>
                      </w14:textFill>
                    </w:rPr>
                    <w:t>：实施天然林保护工程，全面保护森林及草地，根据南北地东西生态特征，采取不同的管护措施。管涔山建立以水源涵养林为主体的生态公益林体系；东展南部加强吕梁山林区的保护，林养木造水土保持林和水源涵养林；低山丘陵地区适当发展经济果木。</w:t>
                  </w:r>
                </w:p>
              </w:tc>
              <w:tc>
                <w:tcPr>
                  <w:tcW w:w="1267" w:type="pct"/>
                  <w:tcBorders>
                    <w:tl2br w:val="nil"/>
                    <w:tr2bl w:val="nil"/>
                  </w:tcBorders>
                  <w:vAlign w:val="center"/>
                </w:tcPr>
                <w:p>
                  <w:pPr>
                    <w:spacing w:line="240" w:lineRule="auto"/>
                    <w:jc w:val="left"/>
                    <w:rPr>
                      <w:rFonts w:hint="default"/>
                      <w:color w:val="000000" w:themeColor="text1"/>
                      <w:sz w:val="21"/>
                      <w:szCs w:val="21"/>
                      <w:vertAlign w:val="baseline"/>
                      <w:lang w:val="en-US" w:eastAsia="zh-CN"/>
                      <w14:textFill>
                        <w14:solidFill>
                          <w14:schemeClr w14:val="tx1"/>
                        </w14:solidFill>
                      </w14:textFill>
                    </w:rPr>
                  </w:pPr>
                  <w:r>
                    <w:rPr>
                      <w:rFonts w:hint="default" w:ascii="Times New Roman" w:hAnsi="Times New Roman" w:cs="Times New Roman"/>
                      <w:color w:val="000000" w:themeColor="text1"/>
                      <w:sz w:val="21"/>
                      <w:szCs w:val="21"/>
                      <w:vertAlign w:val="baseline"/>
                      <w:lang w:val="en-US" w:eastAsia="zh-CN"/>
                      <w14:textFill>
                        <w14:solidFill>
                          <w14:schemeClr w14:val="tx1"/>
                        </w14:solidFill>
                      </w14:textFill>
                    </w:rPr>
                    <w:t>本项目属铀矿地质勘查，污染物产生量小，开发活动均为临时占地，采取生态保护与恢复措施，不会损害生态系统的稳定性和完整性，基本不会影响区域水源涵养功能</w:t>
                  </w:r>
                </w:p>
              </w:tc>
              <w:tc>
                <w:tcPr>
                  <w:tcW w:w="669" w:type="pct"/>
                  <w:tcBorders>
                    <w:tl2br w:val="nil"/>
                    <w:tr2bl w:val="nil"/>
                  </w:tcBorders>
                  <w:vAlign w:val="center"/>
                </w:tcPr>
                <w:p>
                  <w:pPr>
                    <w:spacing w:line="360" w:lineRule="auto"/>
                    <w:jc w:val="center"/>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06" w:type="pct"/>
                  <w:vMerge w:val="continue"/>
                  <w:tcBorders>
                    <w:tl2br w:val="nil"/>
                    <w:tr2bl w:val="nil"/>
                  </w:tcBorders>
                </w:tcPr>
                <w:p>
                  <w:pPr>
                    <w:spacing w:line="360" w:lineRule="auto"/>
                    <w:jc w:val="center"/>
                    <w:rPr>
                      <w:rFonts w:hint="default"/>
                      <w:color w:val="000000" w:themeColor="text1"/>
                      <w:sz w:val="21"/>
                      <w:szCs w:val="21"/>
                      <w:vertAlign w:val="baseline"/>
                      <w:lang w:val="en-US" w:eastAsia="zh-CN"/>
                      <w14:textFill>
                        <w14:solidFill>
                          <w14:schemeClr w14:val="tx1"/>
                        </w14:solidFill>
                      </w14:textFill>
                    </w:rPr>
                  </w:pPr>
                </w:p>
              </w:tc>
              <w:tc>
                <w:tcPr>
                  <w:tcW w:w="2455" w:type="pct"/>
                  <w:tcBorders>
                    <w:tl2br w:val="nil"/>
                    <w:tr2bl w:val="nil"/>
                  </w:tcBorders>
                </w:tcPr>
                <w:p>
                  <w:pPr>
                    <w:spacing w:line="240" w:lineRule="auto"/>
                    <w:ind w:firstLine="420" w:firstLineChars="200"/>
                    <w:rPr>
                      <w:rFonts w:hint="eastAsia"/>
                      <w:color w:val="000000" w:themeColor="text1"/>
                      <w:sz w:val="21"/>
                      <w:szCs w:val="21"/>
                      <w:lang w:val="en-US" w:eastAsia="zh-CN"/>
                      <w14:textFill>
                        <w14:solidFill>
                          <w14:schemeClr w14:val="tx1"/>
                        </w14:solidFill>
                      </w14:textFill>
                    </w:rPr>
                  </w:pPr>
                  <w:r>
                    <w:rPr>
                      <w:rFonts w:hint="default"/>
                      <w:color w:val="000000" w:themeColor="text1"/>
                      <w:sz w:val="21"/>
                      <w:szCs w:val="21"/>
                      <w:lang w:val="en-US" w:eastAsia="zh-CN"/>
                      <w14:textFill>
                        <w14:solidFill>
                          <w14:schemeClr w14:val="tx1"/>
                        </w14:solidFill>
                      </w14:textFill>
                    </w:rPr>
                    <w:t>禁止开发区域</w:t>
                  </w:r>
                  <w:r>
                    <w:rPr>
                      <w:rFonts w:hint="eastAsia"/>
                      <w:color w:val="000000" w:themeColor="text1"/>
                      <w:sz w:val="21"/>
                      <w:szCs w:val="21"/>
                      <w:lang w:val="en-US" w:eastAsia="zh-CN"/>
                      <w14:textFill>
                        <w14:solidFill>
                          <w14:schemeClr w14:val="tx1"/>
                        </w14:solidFill>
                      </w14:textFill>
                    </w:rPr>
                    <w:t>：主要包括各级自然保护区、文化自然遗产、风景名胜区、森林公园、地质公园、水产种质资源保护区、重要湿地（湿地公园）、重要水源地等；</w:t>
                  </w:r>
                </w:p>
                <w:p>
                  <w:pPr>
                    <w:spacing w:line="240" w:lineRule="auto"/>
                    <w:ind w:firstLine="420" w:firstLineChars="200"/>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保护自然文化资源的重要区域，珍贵动植物基因资源保护地。</w:t>
                  </w:r>
                </w:p>
              </w:tc>
              <w:tc>
                <w:tcPr>
                  <w:tcW w:w="1267" w:type="pct"/>
                  <w:tcBorders>
                    <w:tl2br w:val="nil"/>
                    <w:tr2bl w:val="nil"/>
                  </w:tcBorders>
                  <w:vAlign w:val="center"/>
                </w:tcPr>
                <w:p>
                  <w:pPr>
                    <w:spacing w:line="240" w:lineRule="auto"/>
                    <w:jc w:val="left"/>
                    <w:rPr>
                      <w:rFonts w:hint="default"/>
                      <w:color w:val="000000" w:themeColor="text1"/>
                      <w:sz w:val="21"/>
                      <w:szCs w:val="21"/>
                      <w:vertAlign w:val="baseline"/>
                      <w:lang w:val="en-US" w:eastAsia="zh-CN"/>
                      <w14:textFill>
                        <w14:solidFill>
                          <w14:schemeClr w14:val="tx1"/>
                        </w14:solidFill>
                      </w14:textFill>
                    </w:rPr>
                  </w:pPr>
                  <w:r>
                    <w:rPr>
                      <w:rFonts w:hint="default"/>
                      <w:color w:val="000000" w:themeColor="text1"/>
                      <w:sz w:val="21"/>
                      <w:szCs w:val="21"/>
                      <w:vertAlign w:val="baseline"/>
                      <w:lang w:val="en-US" w:eastAsia="zh-CN"/>
                      <w14:textFill>
                        <w14:solidFill>
                          <w14:schemeClr w14:val="tx1"/>
                        </w14:solidFill>
                      </w14:textFill>
                    </w:rPr>
                    <w:t>本</w:t>
                  </w:r>
                  <w:r>
                    <w:rPr>
                      <w:rFonts w:hint="default"/>
                      <w:color w:val="000000" w:themeColor="text1"/>
                      <w:sz w:val="21"/>
                      <w:szCs w:val="21"/>
                      <w:lang w:val="en-US" w:eastAsia="zh-CN"/>
                      <w14:textFill>
                        <w14:solidFill>
                          <w14:schemeClr w14:val="tx1"/>
                        </w14:solidFill>
                      </w14:textFill>
                    </w:rPr>
                    <w:t>项目</w:t>
                  </w:r>
                  <w:r>
                    <w:rPr>
                      <w:rFonts w:hint="eastAsia"/>
                      <w:color w:val="000000" w:themeColor="text1"/>
                      <w:sz w:val="21"/>
                      <w:szCs w:val="21"/>
                      <w:lang w:val="en-US" w:eastAsia="zh-CN"/>
                      <w14:textFill>
                        <w14:solidFill>
                          <w14:schemeClr w14:val="tx1"/>
                        </w14:solidFill>
                      </w14:textFill>
                    </w:rPr>
                    <w:t>勘查</w:t>
                  </w:r>
                  <w:r>
                    <w:rPr>
                      <w:rFonts w:hint="default"/>
                      <w:color w:val="000000" w:themeColor="text1"/>
                      <w:sz w:val="21"/>
                      <w:szCs w:val="21"/>
                      <w:lang w:val="en-US" w:eastAsia="zh-CN"/>
                      <w14:textFill>
                        <w14:solidFill>
                          <w14:schemeClr w14:val="tx1"/>
                        </w14:solidFill>
                      </w14:textFill>
                    </w:rPr>
                    <w:t>工程不在禁止开发区域内</w:t>
                  </w:r>
                  <w:r>
                    <w:rPr>
                      <w:rFonts w:hint="eastAsia"/>
                      <w:color w:val="000000" w:themeColor="text1"/>
                      <w:sz w:val="21"/>
                      <w:szCs w:val="21"/>
                      <w:lang w:val="en-US" w:eastAsia="zh-CN"/>
                      <w14:textFill>
                        <w14:solidFill>
                          <w14:schemeClr w14:val="tx1"/>
                        </w14:solidFill>
                      </w14:textFill>
                    </w:rPr>
                    <w:t>布置</w:t>
                  </w:r>
                </w:p>
              </w:tc>
              <w:tc>
                <w:tcPr>
                  <w:tcW w:w="669" w:type="pct"/>
                  <w:tcBorders>
                    <w:tl2br w:val="nil"/>
                    <w:tr2bl w:val="nil"/>
                  </w:tcBorders>
                  <w:vAlign w:val="center"/>
                </w:tcPr>
                <w:p>
                  <w:pPr>
                    <w:spacing w:line="360" w:lineRule="auto"/>
                    <w:jc w:val="center"/>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符合</w:t>
                  </w:r>
                </w:p>
              </w:tc>
            </w:tr>
          </w:tbl>
          <w:p>
            <w:pPr>
              <w:keepNext w:val="0"/>
              <w:keepLines w:val="0"/>
              <w:widowControl/>
              <w:suppressLineNumbers w:val="0"/>
              <w:spacing w:line="360" w:lineRule="auto"/>
              <w:ind w:firstLine="480" w:firstLineChars="200"/>
              <w:jc w:val="left"/>
              <w:rPr>
                <w:rFonts w:hint="eastAsia" w:ascii="宋体" w:hAnsi="宋体" w:eastAsia="宋体" w:cs="宋体"/>
                <w:color w:val="000000" w:themeColor="text1"/>
                <w:kern w:val="0"/>
                <w:sz w:val="24"/>
                <w:szCs w:val="24"/>
                <w:lang w:val="en-US" w:eastAsia="zh-CN" w:bidi="ar"/>
                <w14:textFill>
                  <w14:solidFill>
                    <w14:schemeClr w14:val="tx1"/>
                  </w14:solidFill>
                </w14:textFill>
              </w:rPr>
            </w:pPr>
            <w:r>
              <w:rPr>
                <w:rFonts w:hint="eastAsia" w:ascii="宋体" w:hAnsi="宋体" w:cs="宋体"/>
                <w:color w:val="000000" w:themeColor="text1"/>
                <w:kern w:val="0"/>
                <w:sz w:val="24"/>
                <w:szCs w:val="24"/>
                <w:lang w:val="en-US" w:eastAsia="zh-CN" w:bidi="ar"/>
                <w14:textFill>
                  <w14:solidFill>
                    <w14:schemeClr w14:val="tx1"/>
                  </w14:solidFill>
                </w14:textFill>
              </w:rPr>
              <w:t>②</w:t>
            </w:r>
            <w:r>
              <w:rPr>
                <w:rFonts w:hint="eastAsia" w:ascii="宋体" w:hAnsi="宋体" w:eastAsia="宋体" w:cs="宋体"/>
                <w:color w:val="000000" w:themeColor="text1"/>
                <w:kern w:val="0"/>
                <w:sz w:val="24"/>
                <w:szCs w:val="24"/>
                <w:lang w:val="en-US" w:eastAsia="zh-CN" w:bidi="ar"/>
                <w14:textFill>
                  <w14:solidFill>
                    <w14:schemeClr w14:val="tx1"/>
                  </w14:solidFill>
                </w14:textFill>
              </w:rPr>
              <w:t>与《</w:t>
            </w:r>
            <w:r>
              <w:rPr>
                <w:rFonts w:hint="eastAsia" w:ascii="宋体" w:hAnsi="宋体" w:cs="宋体"/>
                <w:color w:val="000000" w:themeColor="text1"/>
                <w:kern w:val="0"/>
                <w:sz w:val="24"/>
                <w:szCs w:val="24"/>
                <w:lang w:val="en-US" w:eastAsia="zh-CN" w:bidi="ar"/>
                <w14:textFill>
                  <w14:solidFill>
                    <w14:schemeClr w14:val="tx1"/>
                  </w14:solidFill>
                </w14:textFill>
              </w:rPr>
              <w:t>山西省</w:t>
            </w:r>
            <w:r>
              <w:rPr>
                <w:rFonts w:hint="eastAsia" w:ascii="宋体" w:hAnsi="宋体" w:eastAsia="宋体" w:cs="宋体"/>
                <w:color w:val="000000" w:themeColor="text1"/>
                <w:kern w:val="0"/>
                <w:sz w:val="24"/>
                <w:szCs w:val="24"/>
                <w:lang w:val="en-US" w:eastAsia="zh-CN" w:bidi="ar"/>
                <w14:textFill>
                  <w14:solidFill>
                    <w14:schemeClr w14:val="tx1"/>
                  </w14:solidFill>
                </w14:textFill>
              </w:rPr>
              <w:t>矿产资源总体规划（</w:t>
            </w:r>
            <w:r>
              <w:rPr>
                <w:rFonts w:ascii="TimesNewRomanPSMT" w:hAnsi="TimesNewRomanPSMT" w:eastAsia="TimesNewRomanPSMT" w:cs="TimesNewRomanPSMT"/>
                <w:color w:val="000000" w:themeColor="text1"/>
                <w:kern w:val="0"/>
                <w:sz w:val="24"/>
                <w:szCs w:val="24"/>
                <w:lang w:val="en-US" w:eastAsia="zh-CN" w:bidi="ar"/>
                <w14:textFill>
                  <w14:solidFill>
                    <w14:schemeClr w14:val="tx1"/>
                  </w14:solidFill>
                </w14:textFill>
              </w:rPr>
              <w:t>2016-2020</w:t>
            </w:r>
            <w:r>
              <w:rPr>
                <w:rFonts w:hint="eastAsia" w:ascii="宋体" w:hAnsi="宋体" w:eastAsia="宋体" w:cs="宋体"/>
                <w:color w:val="000000" w:themeColor="text1"/>
                <w:kern w:val="0"/>
                <w:sz w:val="24"/>
                <w:szCs w:val="24"/>
                <w:lang w:val="en-US" w:eastAsia="zh-CN" w:bidi="ar"/>
                <w14:textFill>
                  <w14:solidFill>
                    <w14:schemeClr w14:val="tx1"/>
                  </w14:solidFill>
                </w14:textFill>
              </w:rPr>
              <w:t>）》的符合性分析</w:t>
            </w:r>
          </w:p>
          <w:p>
            <w:pPr>
              <w:keepNext w:val="0"/>
              <w:keepLines w:val="0"/>
              <w:widowControl/>
              <w:suppressLineNumbers w:val="0"/>
              <w:spacing w:line="360" w:lineRule="auto"/>
              <w:ind w:firstLine="480" w:firstLineChars="200"/>
              <w:jc w:val="left"/>
              <w:rPr>
                <w:rFonts w:hint="default" w:ascii="Times New Roman" w:hAnsi="Times New Roman" w:cs="Times New Roman"/>
                <w:color w:val="000000" w:themeColor="text1"/>
                <w:lang w:val="en-US"/>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w:t>
            </w:r>
            <w:r>
              <w:rPr>
                <w:rFonts w:hint="eastAsia" w:cs="Times New Roman"/>
                <w:color w:val="000000" w:themeColor="text1"/>
                <w:kern w:val="0"/>
                <w:sz w:val="24"/>
                <w:szCs w:val="24"/>
                <w:lang w:val="en-US" w:eastAsia="zh-CN" w:bidi="ar"/>
                <w14:textFill>
                  <w14:solidFill>
                    <w14:schemeClr w14:val="tx1"/>
                  </w14:solidFill>
                </w14:textFill>
              </w:rPr>
              <w:t>山西省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见下</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表</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1-</w:t>
            </w:r>
            <w:r>
              <w:rPr>
                <w:rFonts w:hint="eastAsia" w:cs="Times New Roman"/>
                <w:color w:val="000000" w:themeColor="text1"/>
                <w:kern w:val="0"/>
                <w:sz w:val="24"/>
                <w:szCs w:val="24"/>
                <w:lang w:val="en-US" w:eastAsia="zh-CN" w:bidi="ar"/>
                <w14:textFill>
                  <w14:solidFill>
                    <w14:schemeClr w14:val="tx1"/>
                  </w14:solidFill>
                </w14:textFill>
              </w:rPr>
              <w:t>15</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w:t>
            </w:r>
          </w:p>
          <w:p>
            <w:pPr>
              <w:spacing w:line="24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表1-15  </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项目与《</w:t>
            </w:r>
            <w:r>
              <w:rPr>
                <w:rFonts w:hint="eastAsia" w:cs="Times New Roman"/>
                <w:color w:val="000000" w:themeColor="text1"/>
                <w:kern w:val="0"/>
                <w:sz w:val="24"/>
                <w:szCs w:val="24"/>
                <w:lang w:val="en-US" w:eastAsia="zh-CN" w:bidi="ar"/>
                <w14:textFill>
                  <w14:solidFill>
                    <w14:schemeClr w14:val="tx1"/>
                  </w14:solidFill>
                </w14:textFill>
              </w:rPr>
              <w:t>山西省</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4"/>
                <w:szCs w:val="24"/>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）》相符性分析</w:t>
            </w:r>
            <w:r>
              <w:rPr>
                <w:rFonts w:hint="eastAsia" w:cs="Times New Roman"/>
                <w:color w:val="000000" w:themeColor="text1"/>
                <w:kern w:val="0"/>
                <w:sz w:val="24"/>
                <w:szCs w:val="24"/>
                <w:lang w:val="en-US" w:eastAsia="zh-CN" w:bidi="ar"/>
                <w14:textFill>
                  <w14:solidFill>
                    <w14:schemeClr w14:val="tx1"/>
                  </w14:solidFill>
                </w14:textFill>
              </w:rPr>
              <w:t>表</w:t>
            </w:r>
          </w:p>
          <w:tbl>
            <w:tblPr>
              <w:tblStyle w:val="15"/>
              <w:tblW w:w="4994"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56"/>
              <w:gridCol w:w="5071"/>
              <w:gridCol w:w="1542"/>
              <w:gridCol w:w="13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5" w:type="pct"/>
                  <w:tcBorders>
                    <w:tl2br w:val="nil"/>
                    <w:tr2bl w:val="nil"/>
                  </w:tcBorders>
                  <w:vAlign w:val="center"/>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名称</w:t>
                  </w:r>
                </w:p>
              </w:tc>
              <w:tc>
                <w:tcPr>
                  <w:tcW w:w="2632"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相关内容</w:t>
                  </w:r>
                </w:p>
              </w:tc>
              <w:tc>
                <w:tcPr>
                  <w:tcW w:w="814"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项目情况</w:t>
                  </w:r>
                </w:p>
              </w:tc>
              <w:tc>
                <w:tcPr>
                  <w:tcW w:w="707" w:type="pct"/>
                  <w:tcBorders>
                    <w:tl2br w:val="nil"/>
                    <w:tr2bl w:val="nil"/>
                  </w:tcBorders>
                </w:tcPr>
                <w:p>
                  <w:pPr>
                    <w:spacing w:line="240" w:lineRule="auto"/>
                    <w:jc w:val="center"/>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5" w:type="pct"/>
                  <w:vMerge w:val="restart"/>
                  <w:tcBorders>
                    <w:tl2br w:val="nil"/>
                    <w:tr2bl w:val="nil"/>
                  </w:tcBorders>
                  <w:vAlign w:val="center"/>
                </w:tcPr>
                <w:p>
                  <w:pPr>
                    <w:spacing w:line="240" w:lineRule="auto"/>
                    <w:jc w:val="center"/>
                    <w:rPr>
                      <w:rFonts w:hint="eastAsia"/>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r>
                    <w:rPr>
                      <w:rFonts w:hint="eastAsia" w:cs="Times New Roman"/>
                      <w:color w:val="000000" w:themeColor="text1"/>
                      <w:kern w:val="0"/>
                      <w:sz w:val="21"/>
                      <w:szCs w:val="21"/>
                      <w:lang w:val="en-US" w:eastAsia="zh-CN" w:bidi="ar"/>
                      <w14:textFill>
                        <w14:solidFill>
                          <w14:schemeClr w14:val="tx1"/>
                        </w14:solidFill>
                      </w14:textFill>
                    </w:rPr>
                    <w:t>山西省</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矿产资源总体规划（</w:t>
                  </w:r>
                  <w:r>
                    <w:rPr>
                      <w:rFonts w:hint="default" w:ascii="Times New Roman" w:hAnsi="Times New Roman" w:eastAsia="TimesNewRomanPSMT" w:cs="Times New Roman"/>
                      <w:color w:val="000000" w:themeColor="text1"/>
                      <w:kern w:val="0"/>
                      <w:sz w:val="21"/>
                      <w:szCs w:val="21"/>
                      <w:lang w:val="en-US" w:eastAsia="zh-CN" w:bidi="ar"/>
                      <w14:textFill>
                        <w14:solidFill>
                          <w14:schemeClr w14:val="tx1"/>
                        </w14:solidFill>
                      </w14:textFill>
                    </w:rPr>
                    <w:t>2016-2020</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2632" w:type="pct"/>
                  <w:tcBorders>
                    <w:tl2br w:val="nil"/>
                    <w:tr2bl w:val="nil"/>
                  </w:tcBorders>
                </w:tcPr>
                <w:p>
                  <w:pPr>
                    <w:spacing w:line="240" w:lineRule="auto"/>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vertAlign w:val="baseline"/>
                      <w:lang w:val="en-US" w:eastAsia="zh-CN"/>
                      <w14:textFill>
                        <w14:solidFill>
                          <w14:schemeClr w14:val="tx1"/>
                        </w14:solidFill>
                      </w14:textFill>
                    </w:rPr>
                    <w:t>重点加强煤层气、页岩气、地热、浅层地温能、干热岩等清洁能源和锂、铌、钽、晶质石墨等战略性新兴产业所需矿产资源的勘查力度；进一步勘查煤炭、铁、铝土矿、金、铜、铅、锌、钼、银、锰、金红石、冶镁白云岩、石膏、高岭岩、矿泉水等矿产；加强煤炭、铝土矿资源的综合勘查、综合评价及综合利用</w:t>
                  </w:r>
                </w:p>
              </w:tc>
              <w:tc>
                <w:tcPr>
                  <w:tcW w:w="814" w:type="pct"/>
                  <w:tcBorders>
                    <w:tl2br w:val="nil"/>
                    <w:tr2bl w:val="nil"/>
                  </w:tcBorders>
                  <w:vAlign w:val="center"/>
                </w:tcPr>
                <w:p>
                  <w:pPr>
                    <w:spacing w:line="240" w:lineRule="auto"/>
                    <w:jc w:val="both"/>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14:textFill>
                        <w14:solidFill>
                          <w14:schemeClr w14:val="tx1"/>
                        </w14:solidFill>
                      </w14:textFill>
                    </w:rPr>
                    <w:t>本项目属于砂岩型铀矿勘查</w:t>
                  </w:r>
                </w:p>
              </w:tc>
              <w:tc>
                <w:tcPr>
                  <w:tcW w:w="707" w:type="pct"/>
                  <w:tcBorders>
                    <w:tl2br w:val="nil"/>
                    <w:tr2bl w:val="nil"/>
                  </w:tcBorders>
                  <w:vAlign w:val="center"/>
                </w:tcPr>
                <w:p>
                  <w:pPr>
                    <w:spacing w:line="240" w:lineRule="auto"/>
                    <w:jc w:val="center"/>
                    <w:rPr>
                      <w:rFonts w:hint="default"/>
                      <w:color w:val="000000" w:themeColor="text1"/>
                      <w:sz w:val="24"/>
                      <w:vertAlign w:val="baseline"/>
                      <w:lang w:val="en-US" w:eastAsia="zh-CN"/>
                      <w14:textFill>
                        <w14:solidFill>
                          <w14:schemeClr w14:val="tx1"/>
                        </w14:solidFill>
                      </w14:textFill>
                    </w:rPr>
                  </w:pPr>
                  <w:r>
                    <w:rPr>
                      <w:rFonts w:hint="eastAsia"/>
                      <w:color w:val="000000" w:themeColor="text1"/>
                      <w:sz w:val="24"/>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845"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632" w:type="pct"/>
                  <w:tcBorders>
                    <w:tl2br w:val="nil"/>
                    <w:tr2bl w:val="nil"/>
                  </w:tcBorders>
                  <w:vAlign w:val="center"/>
                </w:tcPr>
                <w:p>
                  <w:pPr>
                    <w:keepNext w:val="0"/>
                    <w:keepLines w:val="0"/>
                    <w:widowControl/>
                    <w:suppressLineNumbers w:val="0"/>
                    <w:jc w:val="left"/>
                    <w:rPr>
                      <w:rFonts w:hint="eastAsia"/>
                      <w:color w:val="000000" w:themeColor="text1"/>
                      <w:sz w:val="21"/>
                      <w:szCs w:val="21"/>
                      <w:vertAlign w:val="baseline"/>
                      <w:lang w:val="en-US" w:eastAsia="zh-CN"/>
                      <w14:textFill>
                        <w14:solidFill>
                          <w14:schemeClr w14:val="tx1"/>
                        </w14:solidFill>
                      </w14:textFill>
                    </w:rPr>
                  </w:pPr>
                  <w:r>
                    <w:rPr>
                      <w:rFonts w:ascii="宋体" w:hAnsi="宋体" w:eastAsia="宋体" w:cs="宋体"/>
                      <w:color w:val="000000" w:themeColor="text1"/>
                      <w:sz w:val="21"/>
                      <w:szCs w:val="21"/>
                      <w14:textFill>
                        <w14:solidFill>
                          <w14:schemeClr w14:val="tx1"/>
                        </w14:solidFill>
                      </w14:textFill>
                    </w:rPr>
                    <w:t>规划期内，根据国家产业政策、经济社会发展及资源环境保护的要求或国家特殊需要等，受经济、技术、安全、环境等多种因素的制约，对矿产资源开发利用活动实行一定限制的区域。我省将太原东、西山绿化带内的石灰岩区划定为限制开采区。</w:t>
                  </w:r>
                </w:p>
              </w:tc>
              <w:tc>
                <w:tcPr>
                  <w:tcW w:w="814" w:type="pct"/>
                  <w:tcBorders>
                    <w:tl2br w:val="nil"/>
                    <w:tr2bl w:val="nil"/>
                  </w:tcBorders>
                  <w:vAlign w:val="center"/>
                </w:tcPr>
                <w:p>
                  <w:pPr>
                    <w:spacing w:line="240" w:lineRule="auto"/>
                    <w:jc w:val="both"/>
                    <w:rPr>
                      <w:rFonts w:hint="default"/>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14:textFill>
                        <w14:solidFill>
                          <w14:schemeClr w14:val="tx1"/>
                        </w14:solidFill>
                      </w14:textFill>
                    </w:rPr>
                    <w:t>本项目勘探工程尽量避让限制勘查区，确需勘察的，批准后进行</w:t>
                  </w:r>
                </w:p>
              </w:tc>
              <w:tc>
                <w:tcPr>
                  <w:tcW w:w="707"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color w:val="000000" w:themeColor="text1"/>
                      <w:sz w:val="24"/>
                      <w:vertAlign w:val="baseline"/>
                      <w:lang w:val="en-US" w:eastAsia="zh-CN"/>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5" w:type="pct"/>
                  <w:vMerge w:val="continue"/>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p>
              </w:tc>
              <w:tc>
                <w:tcPr>
                  <w:tcW w:w="2632" w:type="pct"/>
                  <w:tcBorders>
                    <w:tl2br w:val="nil"/>
                    <w:tr2bl w:val="nil"/>
                  </w:tcBorders>
                </w:tcPr>
                <w:p>
                  <w:pPr>
                    <w:keepNext w:val="0"/>
                    <w:keepLines w:val="0"/>
                    <w:widowControl/>
                    <w:suppressLineNumbers w:val="0"/>
                    <w:jc w:val="left"/>
                    <w:rPr>
                      <w:rFonts w:hint="eastAsia"/>
                      <w:color w:val="000000" w:themeColor="text1"/>
                      <w:sz w:val="21"/>
                      <w:szCs w:val="21"/>
                      <w:vertAlign w:val="baseline"/>
                      <w:lang w:val="en-US" w:eastAsia="zh-CN"/>
                      <w14:textFill>
                        <w14:solidFill>
                          <w14:schemeClr w14:val="tx1"/>
                        </w14:solidFill>
                      </w14:textFill>
                    </w:rPr>
                  </w:pPr>
                  <w:r>
                    <w:rPr>
                      <w:rFonts w:ascii="宋体" w:hAnsi="宋体" w:eastAsia="宋体" w:cs="宋体"/>
                      <w:color w:val="000000" w:themeColor="text1"/>
                      <w:sz w:val="21"/>
                      <w:szCs w:val="21"/>
                      <w14:textFill>
                        <w14:solidFill>
                          <w14:schemeClr w14:val="tx1"/>
                        </w14:solidFill>
                      </w14:textFill>
                    </w:rPr>
                    <w:t>禁止在我省世界文化遗产地范围、古生物化石产地、自然保护区、风景名胜区、地质公园、国家级水产种质资源保护区、岩溶大泉、饮用水水源地、水利风景区、国家级森林公园、省级森林公园、县级森林公园、省级以上湿地公园、省级以上文物保护单位的保护范围及建设控制地带、带压开采突水危险区、水库、河道下部及补水区域、汾河上中游干流及岚河等九大支流两侧、城镇规划区范围内新设矿业权。严禁在Ⅰ级保护林地、国家一级公益林、山西省永久性生态公益林非法露天采煤、采矿。禁止在铁路、高速公路、重要旅游线路、石油天然气管道中心线两侧一定范围内露天采矿（其范围由有关部门确定），采矿过程中相关主管部门应加强监督管理，坚决制止和打击越界等非法开采行为。</w:t>
                  </w:r>
                </w:p>
              </w:tc>
              <w:tc>
                <w:tcPr>
                  <w:tcW w:w="814" w:type="pct"/>
                  <w:tcBorders>
                    <w:tl2br w:val="nil"/>
                    <w:tr2bl w:val="nil"/>
                  </w:tcBorders>
                  <w:vAlign w:val="center"/>
                </w:tcPr>
                <w:p>
                  <w:pPr>
                    <w:keepNext w:val="0"/>
                    <w:keepLines w:val="0"/>
                    <w:widowControl/>
                    <w:suppressLineNumbers w:val="0"/>
                    <w:jc w:val="both"/>
                    <w:rPr>
                      <w:rFonts w:hint="eastAsia"/>
                      <w:color w:val="000000" w:themeColor="text1"/>
                      <w:sz w:val="21"/>
                      <w:szCs w:val="21"/>
                      <w:vertAlign w:val="baseline"/>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本项目勘查工程</w:t>
                  </w:r>
                  <w:r>
                    <w:rPr>
                      <w:rFonts w:hint="eastAsia"/>
                      <w:color w:val="000000" w:themeColor="text1"/>
                      <w:sz w:val="21"/>
                      <w:szCs w:val="21"/>
                      <w14:textFill>
                        <w14:solidFill>
                          <w14:schemeClr w14:val="tx1"/>
                        </w14:solidFill>
                      </w14:textFill>
                    </w:rPr>
                    <w:t>不在禁止勘查区内布置</w:t>
                  </w:r>
                </w:p>
              </w:tc>
              <w:tc>
                <w:tcPr>
                  <w:tcW w:w="707" w:type="pct"/>
                  <w:tcBorders>
                    <w:tl2br w:val="nil"/>
                    <w:tr2bl w:val="nil"/>
                  </w:tcBorders>
                  <w:vAlign w:val="center"/>
                </w:tcPr>
                <w:p>
                  <w:pPr>
                    <w:spacing w:line="360" w:lineRule="auto"/>
                    <w:jc w:val="center"/>
                    <w:rPr>
                      <w:rFonts w:hint="eastAsia"/>
                      <w:color w:val="000000" w:themeColor="text1"/>
                      <w:sz w:val="24"/>
                      <w:vertAlign w:val="baseline"/>
                      <w:lang w:val="en-US" w:eastAsia="zh-CN"/>
                      <w14:textFill>
                        <w14:solidFill>
                          <w14:schemeClr w14:val="tx1"/>
                        </w14:solidFill>
                      </w14:textFill>
                    </w:rPr>
                  </w:pPr>
                  <w:r>
                    <w:rPr>
                      <w:rFonts w:hint="eastAsia"/>
                      <w:color w:val="000000" w:themeColor="text1"/>
                      <w:sz w:val="24"/>
                      <w:vertAlign w:val="baseline"/>
                      <w:lang w:val="en-US" w:eastAsia="zh-CN"/>
                      <w14:textFill>
                        <w14:solidFill>
                          <w14:schemeClr w14:val="tx1"/>
                        </w14:solidFill>
                      </w14:textFill>
                    </w:rPr>
                    <w:t>符合</w:t>
                  </w:r>
                </w:p>
              </w:tc>
            </w:tr>
          </w:tbl>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③与《山西省“三线一单”生态环境分区管控》符合性分析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1）相关内容</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根据《山西省人民政府关于实施“三线一单”生态环境分区管控的意见》（晋政发[2020]26号），将甘肃省划定为优先保护单元、重点管控单元和一般管控单元三类。</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优先保护单元主要包括生态保护红线、自然保护地、饮用水水源保护区、泉域重点保护区,以及生态功能重要和生态环境敏感脆弱的区域等。主要分布在太行山、吕梁山等生态屏障带，以及沿黄水土流失生态脆弱区域。重点管控单元主要包括城市建成区、省级以上经济技术开发区和产业园区、大气环境布局敏感区和弱扩散区，以及开发强度高、污染物排放量大、环境问题相对集中的区域等。主要分布在“一主三副六市域中心”等城镇化以及工业化区域。一般管控单元指优先保护单元和重点管控单元之外的其他区域。</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2）本项目所属单元分析</w:t>
            </w:r>
          </w:p>
          <w:p>
            <w:pPr>
              <w:spacing w:line="360" w:lineRule="auto"/>
              <w:ind w:firstLine="480" w:firstLineChars="200"/>
              <w:rPr>
                <w:rFonts w:hint="default" w:ascii="Times New Roman" w:hAnsi="Times New Roman" w:eastAsia="宋体" w:cs="Times New Roman"/>
                <w:color w:val="000000" w:themeColor="text1"/>
                <w:kern w:val="0"/>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项目</w:t>
            </w:r>
            <w:r>
              <w:rPr>
                <w:rFonts w:hint="eastAsia" w:cs="Times New Roman"/>
                <w:color w:val="000000" w:themeColor="text1"/>
                <w:sz w:val="24"/>
                <w:lang w:val="en-US" w:eastAsia="zh-CN"/>
                <w14:textFill>
                  <w14:solidFill>
                    <w14:schemeClr w14:val="tx1"/>
                  </w14:solidFill>
                </w14:textFill>
              </w:rPr>
              <w:t>与山西</w:t>
            </w:r>
            <w:r>
              <w:rPr>
                <w:rFonts w:hint="default" w:ascii="Times New Roman" w:hAnsi="Times New Roman" w:cs="Times New Roman"/>
                <w:color w:val="000000" w:themeColor="text1"/>
                <w:sz w:val="24"/>
                <w:lang w:val="en-US" w:eastAsia="zh-CN"/>
                <w14:textFill>
                  <w14:solidFill>
                    <w14:schemeClr w14:val="tx1"/>
                  </w14:solidFill>
                </w14:textFill>
              </w:rPr>
              <w:t>省“三线一单”</w:t>
            </w:r>
            <w:r>
              <w:rPr>
                <w:rFonts w:hint="default" w:ascii="Times New Roman" w:hAnsi="Times New Roman" w:eastAsia="宋体" w:cs="Times New Roman"/>
                <w:color w:val="000000" w:themeColor="text1"/>
                <w:sz w:val="24"/>
                <w:lang w:val="en-US" w:eastAsia="zh-CN"/>
                <w14:textFill>
                  <w14:solidFill>
                    <w14:schemeClr w14:val="tx1"/>
                  </w14:solidFill>
                </w14:textFill>
              </w:rPr>
              <w:t>生态环境管控</w:t>
            </w:r>
            <w:r>
              <w:rPr>
                <w:rFonts w:hint="eastAsia" w:cs="Times New Roman"/>
                <w:color w:val="000000" w:themeColor="text1"/>
                <w:sz w:val="24"/>
                <w:lang w:val="en-US" w:eastAsia="zh-CN"/>
                <w14:textFill>
                  <w14:solidFill>
                    <w14:schemeClr w14:val="tx1"/>
                  </w14:solidFill>
                </w14:textFill>
              </w:rPr>
              <w:t>单元关系</w:t>
            </w:r>
            <w:r>
              <w:rPr>
                <w:rFonts w:hint="default" w:ascii="Times New Roman" w:hAnsi="Times New Roman" w:cs="Times New Roman"/>
                <w:color w:val="000000" w:themeColor="text1"/>
                <w:sz w:val="24"/>
                <w:lang w:val="en-US" w:eastAsia="zh-CN"/>
                <w14:textFill>
                  <w14:solidFill>
                    <w14:schemeClr w14:val="tx1"/>
                  </w14:solidFill>
                </w14:textFill>
              </w:rPr>
              <w:t>见附图</w:t>
            </w:r>
            <w:r>
              <w:rPr>
                <w:rFonts w:hint="eastAsia" w:cs="Times New Roman"/>
                <w:color w:val="000000" w:themeColor="text1"/>
                <w:sz w:val="24"/>
                <w:lang w:val="en-US" w:eastAsia="zh-CN"/>
                <w14:textFill>
                  <w14:solidFill>
                    <w14:schemeClr w14:val="tx1"/>
                  </w14:solidFill>
                </w14:textFill>
              </w:rPr>
              <w:t>11</w:t>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项目</w:t>
            </w:r>
            <w:r>
              <w:rPr>
                <w:rFonts w:hint="eastAsia" w:cs="Times New Roman"/>
                <w:color w:val="000000" w:themeColor="text1"/>
                <w:kern w:val="0"/>
                <w:sz w:val="24"/>
                <w:lang w:val="en-US" w:eastAsia="zh-CN"/>
                <w14:textFill>
                  <w14:solidFill>
                    <w14:schemeClr w14:val="tx1"/>
                  </w14:solidFill>
                </w14:textFill>
              </w:rPr>
              <w:t>勘查区</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涉及</w:t>
            </w:r>
            <w:r>
              <w:rPr>
                <w:rFonts w:hint="default" w:ascii="Times New Roman" w:hAnsi="Times New Roman" w:cs="Times New Roman"/>
                <w:color w:val="000000" w:themeColor="text1"/>
                <w:kern w:val="0"/>
                <w:sz w:val="24"/>
                <w:lang w:val="en-US" w:eastAsia="zh-CN"/>
                <w14:textFill>
                  <w14:solidFill>
                    <w14:schemeClr w14:val="tx1"/>
                  </w14:solidFill>
                </w14:textFill>
              </w:rPr>
              <w:t>甘肃省划定的</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优先保护单元、</w:t>
            </w:r>
            <w:r>
              <w:rPr>
                <w:rFonts w:hint="default" w:ascii="Times New Roman" w:hAnsi="Times New Roman" w:cs="Times New Roman"/>
                <w:color w:val="000000" w:themeColor="text1"/>
                <w:kern w:val="0"/>
                <w:sz w:val="24"/>
                <w:lang w:val="en-US" w:eastAsia="zh-CN"/>
                <w14:textFill>
                  <w14:solidFill>
                    <w14:schemeClr w14:val="tx1"/>
                  </w14:solidFill>
                </w14:textFill>
              </w:rPr>
              <w:t>重点管控单元和一般管控单元</w:t>
            </w:r>
            <w:r>
              <w:rPr>
                <w:rFonts w:hint="eastAsia" w:cs="Times New Roman"/>
                <w:color w:val="000000" w:themeColor="text1"/>
                <w:kern w:val="0"/>
                <w:sz w:val="24"/>
                <w:lang w:val="en-US" w:eastAsia="zh-CN"/>
                <w14:textFill>
                  <w14:solidFill>
                    <w14:schemeClr w14:val="tx1"/>
                  </w14:solidFill>
                </w14:textFill>
              </w:rPr>
              <w:t>，2022年钻孔未在该区域设置；</w:t>
            </w:r>
            <w:r>
              <w:rPr>
                <w:rFonts w:hint="eastAsia" w:cs="Times New Roman"/>
                <w:color w:val="000000" w:themeColor="text1"/>
                <w:kern w:val="2"/>
                <w:sz w:val="24"/>
                <w:szCs w:val="24"/>
                <w:lang w:val="en-US" w:eastAsia="zh-CN" w:bidi="ar-SA"/>
                <w14:textFill>
                  <w14:solidFill>
                    <w14:schemeClr w14:val="tx1"/>
                  </w14:solidFill>
                </w14:textFill>
              </w:rPr>
              <w:t>本次</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评价要求2023-2026</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年拟布设的钻孔不占用优先保护单元内的生态红线，也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项目与《山西省“三线一单”生态环境分区管控》</w:t>
            </w:r>
            <w:r>
              <w:rPr>
                <w:rFonts w:hint="eastAsia"/>
                <w:color w:val="000000" w:themeColor="text1"/>
                <w:sz w:val="24"/>
                <w:lang w:eastAsia="zh-CN"/>
                <w14:textFill>
                  <w14:solidFill>
                    <w14:schemeClr w14:val="tx1"/>
                  </w14:solidFill>
                </w14:textFill>
              </w:rPr>
              <w:t>相符性分析见下表</w:t>
            </w:r>
            <w:r>
              <w:rPr>
                <w:rFonts w:hint="eastAsia"/>
                <w:color w:val="000000" w:themeColor="text1"/>
                <w:sz w:val="24"/>
                <w:lang w:val="en-US" w:eastAsia="zh-CN"/>
                <w14:textFill>
                  <w14:solidFill>
                    <w14:schemeClr w14:val="tx1"/>
                  </w14:solidFill>
                </w14:textFill>
              </w:rPr>
              <w:t>1-16</w:t>
            </w:r>
            <w:r>
              <w:rPr>
                <w:rFonts w:hint="eastAsia"/>
                <w:color w:val="000000" w:themeColor="text1"/>
                <w:sz w:val="24"/>
                <w:lang w:eastAsia="zh-CN"/>
                <w14:textFill>
                  <w14:solidFill>
                    <w14:schemeClr w14:val="tx1"/>
                  </w14:solidFill>
                </w14:textFill>
              </w:rPr>
              <w:t>。</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表1-16  项目与《山西省“三线一单”生态环境分区管控》</w:t>
            </w:r>
            <w:r>
              <w:rPr>
                <w:rFonts w:hint="eastAsia"/>
                <w:color w:val="000000" w:themeColor="text1"/>
                <w:sz w:val="24"/>
                <w:lang w:eastAsia="zh-CN"/>
                <w14:textFill>
                  <w14:solidFill>
                    <w14:schemeClr w14:val="tx1"/>
                  </w14:solidFill>
                </w14:textFill>
              </w:rPr>
              <w:t>相符性分析</w:t>
            </w:r>
            <w:r>
              <w:rPr>
                <w:rFonts w:hint="eastAsia"/>
                <w:color w:val="000000" w:themeColor="text1"/>
                <w:sz w:val="24"/>
                <w:lang w:val="en-US" w:eastAsia="zh-CN"/>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942"/>
              <w:gridCol w:w="4374"/>
              <w:gridCol w:w="1975"/>
              <w:gridCol w:w="14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名 称</w:t>
                  </w:r>
                </w:p>
              </w:tc>
              <w:tc>
                <w:tcPr>
                  <w:tcW w:w="2250"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 w:val="21"/>
                      <w:szCs w:val="21"/>
                      <w:lang w:eastAsia="zh-CN" w:bidi="ar-SA"/>
                      <w14:textFill>
                        <w14:solidFill>
                          <w14:schemeClr w14:val="tx1"/>
                        </w14:solidFill>
                      </w14:textFill>
                    </w:rPr>
                  </w:pPr>
                  <w:r>
                    <w:rPr>
                      <w:rFonts w:hint="eastAsia"/>
                      <w:color w:val="000000" w:themeColor="text1"/>
                      <w:sz w:val="21"/>
                      <w:szCs w:val="21"/>
                      <w:lang w:eastAsia="zh-CN" w:bidi="ar-SA"/>
                      <w14:textFill>
                        <w14:solidFill>
                          <w14:schemeClr w14:val="tx1"/>
                        </w14:solidFill>
                      </w14:textFill>
                    </w:rPr>
                    <w:t>相关内容</w:t>
                  </w:r>
                </w:p>
              </w:tc>
              <w:tc>
                <w:tcPr>
                  <w:tcW w:w="1016"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项目情况</w:t>
                  </w:r>
                </w:p>
              </w:tc>
              <w:tc>
                <w:tcPr>
                  <w:tcW w:w="733" w:type="pc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相符性结论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6" w:hRule="atLeast"/>
                <w:tblHeader/>
                <w:jc w:val="center"/>
              </w:trPr>
              <w:tc>
                <w:tcPr>
                  <w:tcW w:w="999"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ascii="宋体" w:hAnsi="宋体" w:eastAsia="宋体" w:cs="宋体"/>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山西省“三线一单”生态环境分区管控</w:t>
                  </w:r>
                  <w:r>
                    <w:rPr>
                      <w:rFonts w:hint="eastAsia" w:ascii="宋体" w:hAnsi="宋体" w:eastAsia="宋体" w:cs="宋体"/>
                      <w:color w:val="000000" w:themeColor="text1"/>
                      <w:sz w:val="21"/>
                      <w:szCs w:val="21"/>
                      <w:lang w:eastAsia="zh-CN"/>
                      <w14:textFill>
                        <w14:solidFill>
                          <w14:schemeClr w14:val="tx1"/>
                        </w14:solidFill>
                      </w14:textFill>
                    </w:rPr>
                    <w:t>》</w:t>
                  </w: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jc w:val="both"/>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优先保护单元：依法禁止或限制大规模、高强度的工业和城镇开发建设,在功能受损的优先保护单元优先开展生态保护修复活动,恢复生态系统服务功能。</w:t>
                  </w:r>
                </w:p>
              </w:tc>
              <w:tc>
                <w:tcPr>
                  <w:tcW w:w="1016" w:type="pct"/>
                  <w:vMerge w:val="restart"/>
                  <w:tcBorders>
                    <w:tl2br w:val="nil"/>
                    <w:tr2bl w:val="nil"/>
                  </w:tcBorders>
                  <w:noWrap w:val="0"/>
                  <w:tcMar>
                    <w:top w:w="15" w:type="dxa"/>
                    <w:left w:w="15" w:type="dxa"/>
                    <w:bottom w:w="0" w:type="dxa"/>
                    <w:right w:w="15" w:type="dxa"/>
                  </w:tcMar>
                  <w:vAlign w:val="center"/>
                </w:tcPr>
                <w:p>
                  <w:pPr>
                    <w:pStyle w:val="26"/>
                    <w:jc w:val="both"/>
                    <w:rPr>
                      <w:rFonts w:hint="default" w:hAnsi="宋体" w:eastAsia="宋体"/>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本次评价要求2023-2026年拟布设的钻孔不占用优先保护单元内的生态红线，也不占用国家和自治区级自然保护区、风景名胜区、水源保护地、国家级森林公园、地质公园等环境敏感区</w:t>
                  </w:r>
                </w:p>
              </w:tc>
              <w:tc>
                <w:tcPr>
                  <w:tcW w:w="733" w:type="pct"/>
                  <w:vMerge w:val="restart"/>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55"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default"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重点管控单元：进一步优化空间布局,加强污染物排放控制和环境风险防控,不断提升资源能源利用效率,解决生态环境质量不达标、生态环境风险高等问题,实现减污降碳协同效应。</w:t>
                  </w:r>
                </w:p>
              </w:tc>
              <w:tc>
                <w:tcPr>
                  <w:tcW w:w="1016" w:type="pct"/>
                  <w:vMerge w:val="continue"/>
                  <w:tcBorders>
                    <w:tl2br w:val="nil"/>
                    <w:tr2bl w:val="nil"/>
                  </w:tcBorders>
                  <w:noWrap w:val="0"/>
                  <w:tcMar>
                    <w:top w:w="15" w:type="dxa"/>
                    <w:left w:w="15" w:type="dxa"/>
                    <w:bottom w:w="0" w:type="dxa"/>
                    <w:right w:w="15" w:type="dxa"/>
                  </w:tcMar>
                  <w:vAlign w:val="center"/>
                </w:tcPr>
                <w:p>
                  <w:pPr>
                    <w:pStyle w:val="26"/>
                    <w:rPr>
                      <w:rFonts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kern w:val="2"/>
                      <w:sz w:val="21"/>
                      <w:szCs w:val="21"/>
                      <w:lang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0" w:hRule="atLeast"/>
                <w:tblHeader/>
                <w:jc w:val="center"/>
              </w:trPr>
              <w:tc>
                <w:tcPr>
                  <w:tcW w:w="999"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14:textFill>
                        <w14:solidFill>
                          <w14:schemeClr w14:val="tx1"/>
                        </w14:solidFill>
                      </w14:textFill>
                    </w:rPr>
                  </w:pPr>
                </w:p>
              </w:tc>
              <w:tc>
                <w:tcPr>
                  <w:tcW w:w="2250" w:type="pct"/>
                  <w:tcBorders>
                    <w:tl2br w:val="nil"/>
                    <w:tr2bl w:val="nil"/>
                  </w:tcBorders>
                  <w:noWrap w:val="0"/>
                  <w:tcMar>
                    <w:top w:w="15" w:type="dxa"/>
                    <w:left w:w="15" w:type="dxa"/>
                    <w:bottom w:w="0" w:type="dxa"/>
                    <w:right w:w="15" w:type="dxa"/>
                  </w:tcMar>
                  <w:vAlign w:val="center"/>
                </w:tcPr>
                <w:p>
                  <w:pPr>
                    <w:keepNext w:val="0"/>
                    <w:keepLines w:val="0"/>
                    <w:pageBreakBefore w:val="0"/>
                    <w:widowControl w:val="0"/>
                    <w:kinsoku/>
                    <w:wordWrap/>
                    <w:overflowPunct/>
                    <w:topLinePunct w:val="0"/>
                    <w:autoSpaceDE w:val="0"/>
                    <w:autoSpaceDN w:val="0"/>
                    <w:bidi w:val="0"/>
                    <w:snapToGrid/>
                    <w:spacing w:line="240" w:lineRule="auto"/>
                    <w:ind w:right="0"/>
                    <w:textAlignment w:val="auto"/>
                    <w:rPr>
                      <w:rFonts w:hint="eastAsia" w:ascii="宋体" w:hAnsi="宋体" w:eastAsia="宋体" w:cs="宋体"/>
                      <w:color w:val="000000" w:themeColor="text1"/>
                      <w:sz w:val="21"/>
                      <w:szCs w:val="21"/>
                      <w:lang w:val="en-US" w:eastAsia="zh-CN" w:bidi="ar-SA"/>
                      <w14:textFill>
                        <w14:solidFill>
                          <w14:schemeClr w14:val="tx1"/>
                        </w14:solidFill>
                      </w14:textFill>
                    </w:rPr>
                  </w:pPr>
                  <w:r>
                    <w:rPr>
                      <w:rFonts w:hint="eastAsia" w:ascii="宋体" w:hAnsi="宋体" w:cs="宋体"/>
                      <w:color w:val="000000" w:themeColor="text1"/>
                      <w:sz w:val="21"/>
                      <w:szCs w:val="21"/>
                      <w:lang w:val="en-US" w:eastAsia="zh-CN" w:bidi="ar-SA"/>
                      <w14:textFill>
                        <w14:solidFill>
                          <w14:schemeClr w14:val="tx1"/>
                        </w14:solidFill>
                      </w14:textFill>
                    </w:rPr>
                    <w:t>一般管控单元：主要落实生态环境保护基本要求,执行国家及我省相关产业准入、总量控制、排放标准等管理规定,推动区域生态环境质量持续改善。</w:t>
                  </w:r>
                </w:p>
              </w:tc>
              <w:tc>
                <w:tcPr>
                  <w:tcW w:w="1016" w:type="pct"/>
                  <w:vMerge w:val="continue"/>
                  <w:tcBorders>
                    <w:tl2br w:val="nil"/>
                    <w:tr2bl w:val="nil"/>
                  </w:tcBorders>
                  <w:noWrap w:val="0"/>
                  <w:tcMar>
                    <w:top w:w="15" w:type="dxa"/>
                    <w:left w:w="15" w:type="dxa"/>
                    <w:bottom w:w="0" w:type="dxa"/>
                    <w:right w:w="15" w:type="dxa"/>
                  </w:tcMar>
                  <w:vAlign w:val="center"/>
                </w:tcPr>
                <w:p>
                  <w:pPr>
                    <w:pStyle w:val="26"/>
                    <w:rPr>
                      <w:rFonts w:hint="eastAsia" w:hAnsi="宋体"/>
                      <w:color w:val="000000" w:themeColor="text1"/>
                      <w:sz w:val="21"/>
                      <w:szCs w:val="21"/>
                      <w14:textFill>
                        <w14:solidFill>
                          <w14:schemeClr w14:val="tx1"/>
                        </w14:solidFill>
                      </w14:textFill>
                    </w:rPr>
                  </w:pPr>
                </w:p>
              </w:tc>
              <w:tc>
                <w:tcPr>
                  <w:tcW w:w="733" w:type="pct"/>
                  <w:vMerge w:val="continue"/>
                  <w:tcBorders>
                    <w:tl2br w:val="nil"/>
                    <w:tr2bl w:val="nil"/>
                  </w:tcBorders>
                  <w:noWrap w:val="0"/>
                  <w:tcMar>
                    <w:top w:w="15" w:type="dxa"/>
                    <w:left w:w="15" w:type="dxa"/>
                    <w:bottom w:w="0" w:type="dxa"/>
                    <w:right w:w="15" w:type="dxa"/>
                  </w:tcMar>
                  <w:vAlign w:val="center"/>
                </w:tcPr>
                <w:p>
                  <w:pPr>
                    <w:jc w:val="center"/>
                    <w:rPr>
                      <w:rFonts w:hint="eastAsia"/>
                      <w:color w:val="000000" w:themeColor="text1"/>
                      <w:szCs w:val="21"/>
                      <w:lang w:eastAsia="zh-CN"/>
                      <w14:textFill>
                        <w14:solidFill>
                          <w14:schemeClr w14:val="tx1"/>
                        </w14:solidFill>
                      </w14:textFill>
                    </w:rPr>
                  </w:pPr>
                </w:p>
              </w:tc>
            </w:tr>
          </w:tbl>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综上所述，本项目符合《山西省主体功能区规划》</w:t>
            </w:r>
            <w:r>
              <w:rPr>
                <w:rFonts w:hint="eastAsia"/>
                <w:bCs/>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山西省</w:t>
            </w:r>
            <w:r>
              <w:rPr>
                <w:rFonts w:hint="eastAsia"/>
                <w:color w:val="000000" w:themeColor="text1"/>
                <w:sz w:val="24"/>
                <w14:textFill>
                  <w14:solidFill>
                    <w14:schemeClr w14:val="tx1"/>
                  </w14:solidFill>
                </w14:textFill>
              </w:rPr>
              <w:t>矿产资源总体规划（2016-2020年）》</w:t>
            </w:r>
            <w:r>
              <w:rPr>
                <w:rFonts w:hint="eastAsia"/>
                <w:color w:val="000000" w:themeColor="text1"/>
                <w:sz w:val="24"/>
                <w:lang w:val="en-US" w:eastAsia="zh-CN"/>
                <w14:textFill>
                  <w14:solidFill>
                    <w14:schemeClr w14:val="tx1"/>
                  </w14:solidFill>
                </w14:textFill>
              </w:rPr>
              <w:t>和《山西省“三线一单”生态环境分区管控》</w:t>
            </w:r>
            <w:r>
              <w:rPr>
                <w:rFonts w:hint="eastAsia" w:cs="Times New Roman"/>
                <w:color w:val="000000" w:themeColor="text1"/>
                <w:kern w:val="0"/>
                <w:sz w:val="24"/>
                <w:szCs w:val="24"/>
                <w:lang w:val="en-US" w:eastAsia="zh-CN" w:bidi="ar"/>
                <w14:textFill>
                  <w14:solidFill>
                    <w14:schemeClr w14:val="tx1"/>
                  </w14:solidFill>
                </w14:textFill>
              </w:rPr>
              <w:t>的要求。</w:t>
            </w:r>
          </w:p>
          <w:p>
            <w:pPr>
              <w:numPr>
                <w:ilvl w:val="0"/>
                <w:numId w:val="0"/>
              </w:numPr>
              <w:spacing w:line="360" w:lineRule="auto"/>
              <w:ind w:leftChars="0"/>
              <w:rPr>
                <w:b/>
                <w:bCs/>
                <w:color w:val="000000" w:themeColor="text1"/>
                <w:sz w:val="24"/>
                <w:lang w:val="en-GB"/>
                <w14:textFill>
                  <w14:solidFill>
                    <w14:schemeClr w14:val="tx1"/>
                  </w14:solidFill>
                </w14:textFill>
              </w:rPr>
            </w:pPr>
            <w:r>
              <w:rPr>
                <w:rFonts w:hint="eastAsia"/>
                <w:b/>
                <w:bCs/>
                <w:color w:val="000000" w:themeColor="text1"/>
                <w:sz w:val="24"/>
                <w:lang w:val="en-US" w:eastAsia="zh-CN"/>
                <w14:textFill>
                  <w14:solidFill>
                    <w14:schemeClr w14:val="tx1"/>
                  </w14:solidFill>
                </w14:textFill>
              </w:rPr>
              <w:t>2.4</w:t>
            </w:r>
            <w:r>
              <w:rPr>
                <w:rFonts w:hint="eastAsia"/>
                <w:b/>
                <w:bCs/>
                <w:color w:val="000000" w:themeColor="text1"/>
                <w:sz w:val="24"/>
                <w:lang w:val="en-GB"/>
                <w14:textFill>
                  <w14:solidFill>
                    <w14:schemeClr w14:val="tx1"/>
                  </w14:solidFill>
                </w14:textFill>
              </w:rPr>
              <w:t>选址可行性分析</w:t>
            </w:r>
          </w:p>
          <w:p>
            <w:pPr>
              <w:spacing w:line="360" w:lineRule="auto"/>
              <w:ind w:firstLine="480" w:firstLineChars="200"/>
              <w:rPr>
                <w:rFonts w:hint="default" w:ascii="Times New Roman" w:hAnsi="Times New Roman" w:cs="Times New Roman"/>
                <w:color w:val="000000" w:themeColor="text1"/>
                <w:kern w:val="2"/>
                <w:sz w:val="24"/>
                <w:szCs w:val="24"/>
                <w:lang w:eastAsia="zh-CN" w:bidi="ar-SA"/>
                <w14:textFill>
                  <w14:solidFill>
                    <w14:schemeClr w14:val="tx1"/>
                  </w14:solidFill>
                </w14:textFill>
              </w:rPr>
            </w:pPr>
            <w:r>
              <w:rPr>
                <w:rFonts w:hint="default" w:ascii="Times New Roman" w:hAnsi="Times New Roman" w:eastAsia="宋体" w:cs="Times New Roman"/>
                <w:color w:val="000000" w:themeColor="text1"/>
                <w:kern w:val="0"/>
                <w:sz w:val="24"/>
                <w:lang w:val="en-US" w:eastAsia="zh-CN"/>
                <w14:textFill>
                  <w14:solidFill>
                    <w14:schemeClr w14:val="tx1"/>
                  </w14:solidFill>
                </w14:textFill>
              </w:rPr>
              <w:t>本项目2022年的钻孔不</w:t>
            </w:r>
            <w:r>
              <w:rPr>
                <w:rFonts w:hint="eastAsia" w:ascii="Times New Roman" w:hAnsi="Times New Roman" w:eastAsia="宋体" w:cs="Times New Roman"/>
                <w:color w:val="000000" w:themeColor="text1"/>
                <w:kern w:val="0"/>
                <w:sz w:val="24"/>
                <w:lang w:val="en-US" w:eastAsia="zh-CN"/>
                <w14:textFill>
                  <w14:solidFill>
                    <w14:schemeClr w14:val="tx1"/>
                  </w14:solidFill>
                </w14:textFill>
              </w:rPr>
              <w:t>涉及陕西省、甘肃省、宁夏回族自治区、内蒙古自治区和山西省</w:t>
            </w:r>
            <w:r>
              <w:rPr>
                <w:rFonts w:hint="default" w:ascii="Times New Roman" w:hAnsi="Times New Roman" w:eastAsia="宋体" w:cs="Times New Roman"/>
                <w:color w:val="000000" w:themeColor="text1"/>
                <w:kern w:val="0"/>
                <w:sz w:val="24"/>
                <w:lang w:val="en-US" w:eastAsia="zh-CN"/>
                <w14:textFill>
                  <w14:solidFill>
                    <w14:schemeClr w14:val="tx1"/>
                  </w14:solidFill>
                </w14:textFill>
              </w:rPr>
              <w:t>优先保护单元内的生态红线，也</w:t>
            </w:r>
            <w:r>
              <w:rPr>
                <w:rFonts w:hint="default" w:ascii="Times New Roman" w:hAnsi="Times New Roman" w:cs="Times New Roman"/>
                <w:color w:val="000000" w:themeColor="text1"/>
                <w:kern w:val="2"/>
                <w:sz w:val="24"/>
                <w:szCs w:val="24"/>
                <w:lang w:eastAsia="zh-CN" w:bidi="ar-SA"/>
                <w14:textFill>
                  <w14:solidFill>
                    <w14:schemeClr w14:val="tx1"/>
                  </w14:solidFill>
                </w14:textFill>
              </w:rPr>
              <w:t>不占用国家和自治区级自然保护区、风景名胜区、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Times New Roman" w:hAnsi="Times New Roman" w:cs="Times New Roman"/>
                <w:color w:val="000000" w:themeColor="text1"/>
                <w:kern w:val="2"/>
                <w:sz w:val="24"/>
                <w:szCs w:val="24"/>
                <w:lang w:eastAsia="zh-CN" w:bidi="ar-SA"/>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2022年初步拟布设的钻</w:t>
            </w:r>
            <w:r>
              <w:rPr>
                <w:rFonts w:hint="eastAsia"/>
                <w:color w:val="000000" w:themeColor="text1"/>
                <w:sz w:val="24"/>
                <w:lang w:eastAsia="zh-CN"/>
                <w14:textFill>
                  <w14:solidFill>
                    <w14:schemeClr w14:val="tx1"/>
                  </w14:solidFill>
                </w14:textFill>
              </w:rPr>
              <w:t>探施工对周边环境敏感保护目标造成影响较小，从环保角度分析，本项目选址可行。</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因铀矿地质勘查过程中，钻孔位置在勘查区内一般按照“边施工、边研究、边调整”的原则布置，具有不确定性。因此，评价针对拟设钻孔等工程选址提出以下原则性要求：</w:t>
            </w:r>
          </w:p>
          <w:p>
            <w:pPr>
              <w:spacing w:line="360" w:lineRule="auto"/>
              <w:ind w:firstLine="480" w:firstLineChars="200"/>
              <w:rPr>
                <w:rFonts w:hint="eastAsia" w:ascii="宋体" w:hAnsi="宋体" w:cs="宋体"/>
                <w:color w:val="000000" w:themeColor="text1"/>
                <w:sz w:val="24"/>
                <w:szCs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w:t>
            </w:r>
            <w:r>
              <w:rPr>
                <w:rFonts w:hint="eastAsia" w:ascii="宋体" w:hAnsi="宋体" w:eastAsia="宋体" w:cs="宋体"/>
                <w:b w:val="0"/>
                <w:bCs w:val="0"/>
                <w:color w:val="000000" w:themeColor="text1"/>
                <w:sz w:val="24"/>
                <w:lang w:eastAsia="zh-CN"/>
                <w14:textFill>
                  <w14:solidFill>
                    <w14:schemeClr w14:val="tx1"/>
                  </w14:solidFill>
                </w14:textFill>
              </w:rPr>
              <w:t>经调查，</w:t>
            </w:r>
            <w:r>
              <w:rPr>
                <w:rFonts w:hint="eastAsia" w:ascii="宋体" w:hAnsi="宋体" w:cs="宋体"/>
                <w:b w:val="0"/>
                <w:bCs w:val="0"/>
                <w:color w:val="000000" w:themeColor="text1"/>
                <w:sz w:val="24"/>
                <w:lang w:val="en-US" w:eastAsia="zh-CN"/>
                <w14:textFill>
                  <w14:solidFill>
                    <w14:schemeClr w14:val="tx1"/>
                  </w14:solidFill>
                </w14:textFill>
              </w:rPr>
              <w:t>勘查区</w:t>
            </w:r>
            <w:r>
              <w:rPr>
                <w:rFonts w:hint="eastAsia" w:ascii="宋体" w:hAnsi="宋体" w:eastAsia="宋体" w:cs="宋体"/>
                <w:b w:val="0"/>
                <w:bCs w:val="0"/>
                <w:color w:val="000000" w:themeColor="text1"/>
                <w:sz w:val="24"/>
                <w:lang w:val="en-US" w:eastAsia="zh-CN"/>
                <w14:textFill>
                  <w14:solidFill>
                    <w14:schemeClr w14:val="tx1"/>
                  </w14:solidFill>
                </w14:textFill>
              </w:rPr>
              <w:t>内</w:t>
            </w:r>
            <w:r>
              <w:rPr>
                <w:rFonts w:hint="eastAsia" w:ascii="宋体" w:hAnsi="宋体" w:cs="宋体"/>
                <w:b w:val="0"/>
                <w:bCs w:val="0"/>
                <w:color w:val="000000" w:themeColor="text1"/>
                <w:sz w:val="24"/>
                <w:lang w:val="en-US" w:eastAsia="zh-CN"/>
                <w14:textFill>
                  <w14:solidFill>
                    <w14:schemeClr w14:val="tx1"/>
                  </w14:solidFill>
                </w14:textFill>
              </w:rPr>
              <w:t>分布的</w:t>
            </w:r>
            <w:r>
              <w:rPr>
                <w:rFonts w:hint="eastAsia" w:cs="Times New Roman"/>
                <w:color w:val="000000" w:themeColor="text1"/>
                <w:kern w:val="2"/>
                <w:sz w:val="24"/>
                <w:szCs w:val="24"/>
                <w:lang w:val="en-US" w:eastAsia="zh-CN" w:bidi="ar-SA"/>
                <w14:textFill>
                  <w14:solidFill>
                    <w14:schemeClr w14:val="tx1"/>
                  </w14:solidFill>
                </w14:textFill>
              </w:rPr>
              <w:t>各</w:t>
            </w:r>
            <w:r>
              <w:rPr>
                <w:rFonts w:hint="default" w:ascii="Times New Roman" w:hAnsi="Times New Roman" w:cs="Times New Roman"/>
                <w:color w:val="000000" w:themeColor="text1"/>
                <w:kern w:val="2"/>
                <w:sz w:val="24"/>
                <w:szCs w:val="24"/>
                <w:lang w:eastAsia="zh-CN" w:bidi="ar-SA"/>
                <w14:textFill>
                  <w14:solidFill>
                    <w14:schemeClr w14:val="tx1"/>
                  </w14:solidFill>
                </w14:textFill>
              </w:rPr>
              <w:t>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宋体" w:hAnsi="宋体" w:cs="宋体"/>
                <w:color w:val="000000" w:themeColor="text1"/>
                <w:sz w:val="24"/>
                <w:szCs w:val="24"/>
                <w:lang w:eastAsia="zh-CN"/>
                <w14:textFill>
                  <w14:solidFill>
                    <w14:schemeClr w14:val="tx1"/>
                  </w14:solidFill>
                </w14:textFill>
              </w:rPr>
              <w:t>，</w:t>
            </w:r>
            <w:r>
              <w:rPr>
                <w:rFonts w:hint="eastAsia" w:ascii="宋体" w:hAnsi="宋体" w:cs="宋体"/>
                <w:color w:val="000000" w:themeColor="text1"/>
                <w:sz w:val="24"/>
                <w:szCs w:val="24"/>
                <w:lang w:val="en-US" w:eastAsia="zh-CN"/>
                <w14:textFill>
                  <w14:solidFill>
                    <w14:schemeClr w14:val="tx1"/>
                  </w14:solidFill>
                </w14:textFill>
              </w:rPr>
              <w:t>建议调整的钻孔、临时道路修建等工程对上述环境敏感区进行避让；</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default" w:eastAsia="宋体"/>
                <w:color w:val="000000" w:themeColor="text1"/>
                <w:sz w:val="24"/>
                <w:lang w:val="en-US" w:eastAsia="zh-CN"/>
                <w14:textFill>
                  <w14:solidFill>
                    <w14:schemeClr w14:val="tx1"/>
                  </w14:solidFill>
                </w14:textFill>
              </w:rPr>
              <w:t>因2023-2026年钻孔位置尚未确定，为贯彻落实国家、地方生态保护的各项规定，最大限度减小项目</w:t>
            </w:r>
            <w:r>
              <w:rPr>
                <w:rFonts w:hint="eastAsia"/>
                <w:color w:val="000000" w:themeColor="text1"/>
                <w:sz w:val="24"/>
                <w:lang w:val="en-US" w:eastAsia="zh-CN"/>
                <w14:textFill>
                  <w14:solidFill>
                    <w14:schemeClr w14:val="tx1"/>
                  </w14:solidFill>
                </w14:textFill>
              </w:rPr>
              <w:t>对</w:t>
            </w:r>
            <w:r>
              <w:rPr>
                <w:rFonts w:hint="default" w:eastAsia="宋体"/>
                <w:color w:val="000000" w:themeColor="text1"/>
                <w:sz w:val="24"/>
                <w:lang w:val="en-US" w:eastAsia="zh-CN"/>
                <w14:textFill>
                  <w14:solidFill>
                    <w14:schemeClr w14:val="tx1"/>
                  </w14:solidFill>
                </w14:textFill>
              </w:rPr>
              <w:t>生态环境的影响，2023-2026年钻孔选址应对上述敏感区及生态红线进行避让，钻孔位置明确后及时向审批部门及属地监管部门进行报备。</w:t>
            </w:r>
          </w:p>
          <w:p>
            <w:pPr>
              <w:spacing w:line="360" w:lineRule="auto"/>
              <w:ind w:firstLine="480" w:firstLineChars="200"/>
              <w:rPr>
                <w:rFonts w:hint="eastAsia"/>
                <w:color w:val="000000" w:themeColor="text1"/>
                <w:kern w:val="2"/>
                <w:sz w:val="24"/>
                <w:szCs w:val="24"/>
                <w:lang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②</w:t>
            </w:r>
            <w:r>
              <w:rPr>
                <w:rFonts w:hint="eastAsia"/>
                <w:color w:val="000000" w:themeColor="text1"/>
                <w:kern w:val="2"/>
                <w:sz w:val="24"/>
                <w:szCs w:val="24"/>
                <w:lang w:eastAsia="zh-CN" w:bidi="ar-SA"/>
                <w14:textFill>
                  <w14:solidFill>
                    <w14:schemeClr w14:val="tx1"/>
                  </w14:solidFill>
                </w14:textFill>
              </w:rPr>
              <w:t>拟设钻孔、临时道路修建等还应对勘查区内基本农田保护区、城乡规划区等保护目标进行避让，建议钻孔与周边村庄集中居住区距离不小于250m；</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对</w:t>
            </w:r>
            <w:r>
              <w:rPr>
                <w:rFonts w:hint="eastAsia"/>
                <w:color w:val="000000" w:themeColor="text1"/>
                <w:sz w:val="24"/>
                <w:lang w:val="en-US" w:eastAsia="zh-CN"/>
                <w14:textFill>
                  <w14:solidFill>
                    <w14:schemeClr w14:val="tx1"/>
                  </w14:solidFill>
                </w14:textFill>
              </w:rPr>
              <w:t>陕西省、甘肃省、宁夏回族自治区、内蒙古自治区和山西省</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numPr>
                <w:ilvl w:val="0"/>
                <w:numId w:val="0"/>
              </w:numPr>
              <w:spacing w:line="360" w:lineRule="auto"/>
              <w:rPr>
                <w:rFonts w:hint="eastAsia" w:eastAsia="黑体"/>
                <w:color w:val="000000" w:themeColor="text1"/>
                <w:sz w:val="24"/>
                <w:lang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3、</w:t>
            </w:r>
            <w:r>
              <w:rPr>
                <w:rFonts w:hint="eastAsia" w:eastAsia="黑体"/>
                <w:color w:val="000000" w:themeColor="text1"/>
                <w:sz w:val="24"/>
                <w14:textFill>
                  <w14:solidFill>
                    <w14:schemeClr w14:val="tx1"/>
                  </w14:solidFill>
                </w14:textFill>
              </w:rPr>
              <w:t>本项目情况</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.1项目基本情况</w:t>
            </w:r>
          </w:p>
          <w:p>
            <w:pPr>
              <w:spacing w:line="360" w:lineRule="auto"/>
              <w:ind w:firstLine="480" w:firstLineChars="200"/>
              <w:rPr>
                <w:color w:val="000000" w:themeColor="text1"/>
                <w:sz w:val="24"/>
                <w14:textFill>
                  <w14:solidFill>
                    <w14:schemeClr w14:val="tx1"/>
                  </w14:solidFill>
                </w14:textFill>
              </w:rPr>
            </w:pPr>
            <w:bookmarkStart w:id="2" w:name="_Hlk96353093"/>
            <w:r>
              <w:rPr>
                <w:rFonts w:hint="eastAsia"/>
                <w:color w:val="000000" w:themeColor="text1"/>
                <w:sz w:val="24"/>
                <w14:textFill>
                  <w14:solidFill>
                    <w14:schemeClr w14:val="tx1"/>
                  </w14:solidFill>
                </w14:textFill>
              </w:rPr>
              <w:t>项目名称：鄂尔多斯盆地南部旬邑－盐池地区铀矿资源调查评价与勘查</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工作性质：区域评价</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普查</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工作年限：2</w:t>
            </w:r>
            <w:r>
              <w:rPr>
                <w:color w:val="000000" w:themeColor="text1"/>
                <w:sz w:val="24"/>
                <w14:textFill>
                  <w14:solidFill>
                    <w14:schemeClr w14:val="tx1"/>
                  </w14:solidFill>
                </w14:textFill>
              </w:rPr>
              <w:t>02</w:t>
            </w:r>
            <w:r>
              <w:rPr>
                <w:rFonts w:hint="eastAsia"/>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6年</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3</w:t>
            </w:r>
            <w:r>
              <w:rPr>
                <w:rFonts w:hint="eastAsia"/>
                <w:b/>
                <w:bCs/>
                <w:color w:val="000000" w:themeColor="text1"/>
                <w:sz w:val="24"/>
                <w14:textFill>
                  <w14:solidFill>
                    <w14:schemeClr w14:val="tx1"/>
                  </w14:solidFill>
                </w14:textFill>
              </w:rPr>
              <w:t>.2</w:t>
            </w:r>
            <w:r>
              <w:rPr>
                <w:rFonts w:hint="eastAsia"/>
                <w:b/>
                <w:bCs/>
                <w:color w:val="000000" w:themeColor="text1"/>
                <w:sz w:val="24"/>
                <w:lang w:val="en-US" w:eastAsia="zh-CN"/>
                <w14:textFill>
                  <w14:solidFill>
                    <w14:schemeClr w14:val="tx1"/>
                  </w14:solidFill>
                </w14:textFill>
              </w:rPr>
              <w:t>勘查区</w:t>
            </w:r>
            <w:r>
              <w:rPr>
                <w:rFonts w:hint="eastAsia"/>
                <w:b/>
                <w:bCs/>
                <w:color w:val="000000" w:themeColor="text1"/>
                <w:sz w:val="24"/>
                <w14:textFill>
                  <w14:solidFill>
                    <w14:schemeClr w14:val="tx1"/>
                  </w14:solidFill>
                </w14:textFill>
              </w:rPr>
              <w:t>范围</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w:t>
            </w:r>
            <w:r>
              <w:rPr>
                <w:rFonts w:hint="default" w:ascii="Times New Roman" w:hAnsi="Times New Roman" w:cs="Times New Roman"/>
                <w:bCs/>
                <w:color w:val="000000" w:themeColor="text1"/>
                <w:sz w:val="24"/>
                <w:szCs w:val="20"/>
                <w:lang w:val="en-US" w:eastAsia="zh-CN"/>
                <w14:textFill>
                  <w14:solidFill>
                    <w14:schemeClr w14:val="tx1"/>
                  </w14:solidFill>
                </w14:textFill>
              </w:rPr>
              <w:t>位于鄂尔多斯盆地南部，</w:t>
            </w:r>
            <w:r>
              <w:rPr>
                <w:rFonts w:hint="eastAsia" w:cs="Times New Roman"/>
                <w:bCs/>
                <w:color w:val="000000" w:themeColor="text1"/>
                <w:sz w:val="24"/>
                <w:szCs w:val="20"/>
                <w:lang w:val="en-US" w:eastAsia="zh-CN"/>
                <w14:textFill>
                  <w14:solidFill>
                    <w14:schemeClr w14:val="tx1"/>
                  </w14:solidFill>
                </w14:textFill>
              </w:rPr>
              <w:t>北起横山－鄂托克前旗，南止宝鸡市－凤翔县，西起六盘山东麓，东止山西省-吕梁市，地跨陕西省、甘肃省、宁夏回族自治区、内蒙古自治区、山西省</w:t>
            </w:r>
            <w:r>
              <w:rPr>
                <w:rFonts w:hint="default" w:ascii="Times New Roman" w:hAnsi="Times New Roman" w:cs="Times New Roman"/>
                <w:bCs/>
                <w:color w:val="000000" w:themeColor="text1"/>
                <w:sz w:val="24"/>
                <w:szCs w:val="20"/>
                <w:lang w:val="en-US" w:eastAsia="zh-CN"/>
                <w14:textFill>
                  <w14:solidFill>
                    <w14:schemeClr w14:val="tx1"/>
                  </w14:solidFill>
                </w14:textFill>
              </w:rPr>
              <w:t>，总面积约1</w:t>
            </w:r>
            <w:r>
              <w:rPr>
                <w:rFonts w:hint="eastAsia" w:ascii="Times New Roman" w:hAnsi="Times New Roman" w:cs="Times New Roman"/>
                <w:bCs/>
                <w:color w:val="000000" w:themeColor="text1"/>
                <w:sz w:val="24"/>
                <w:szCs w:val="20"/>
                <w:lang w:val="en-US" w:eastAsia="zh-CN"/>
                <w14:textFill>
                  <w14:solidFill>
                    <w14:schemeClr w14:val="tx1"/>
                  </w14:solidFill>
                </w14:textFill>
              </w:rPr>
              <w:t>42820</w:t>
            </w:r>
            <w:r>
              <w:rPr>
                <w:rFonts w:hint="default" w:ascii="Times New Roman" w:hAnsi="Times New Roman" w:cs="Times New Roman"/>
                <w:bCs/>
                <w:color w:val="000000" w:themeColor="text1"/>
                <w:sz w:val="24"/>
                <w:szCs w:val="20"/>
                <w:lang w:val="en-US" w:eastAsia="zh-CN"/>
                <w14:textFill>
                  <w14:solidFill>
                    <w14:schemeClr w14:val="tx1"/>
                  </w14:solidFill>
                </w14:textFill>
              </w:rPr>
              <w:t>km</w:t>
            </w:r>
            <w:r>
              <w:rPr>
                <w:rFonts w:hint="default" w:ascii="Times New Roman" w:hAnsi="Times New Roman" w:cs="Times New Roman"/>
                <w:bCs/>
                <w:color w:val="000000" w:themeColor="text1"/>
                <w:sz w:val="24"/>
                <w:szCs w:val="20"/>
                <w:vertAlign w:val="superscript"/>
                <w:lang w:val="en-US" w:eastAsia="zh-CN"/>
                <w14:textFill>
                  <w14:solidFill>
                    <w14:schemeClr w14:val="tx1"/>
                  </w14:solidFill>
                </w14:textFill>
              </w:rPr>
              <w:t>2</w:t>
            </w:r>
            <w:r>
              <w:rPr>
                <w:rFonts w:hint="eastAsia" w:cs="Times New Roman"/>
                <w:bCs/>
                <w:color w:val="000000" w:themeColor="text1"/>
                <w:sz w:val="24"/>
                <w:szCs w:val="20"/>
                <w:lang w:val="en-US" w:eastAsia="zh-CN"/>
                <w14:textFill>
                  <w14:solidFill>
                    <w14:schemeClr w14:val="tx1"/>
                  </w14:solidFill>
                </w14:textFill>
              </w:rPr>
              <w:t>。本项目勘查区拐点坐标见表1-17</w:t>
            </w:r>
            <w:r>
              <w:rPr>
                <w:rFonts w:hint="eastAsia"/>
                <w:bCs/>
                <w:color w:val="000000" w:themeColor="text1"/>
                <w:sz w:val="24"/>
                <w:szCs w:val="20"/>
                <w:lang w:val="en-US" w:eastAsia="zh-CN"/>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勘查区地理位置见附图12。</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表1-17  本项目勘查区拐点坐标</w:t>
            </w:r>
          </w:p>
          <w:tbl>
            <w:tblPr>
              <w:tblStyle w:val="14"/>
              <w:tblW w:w="4991"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35"/>
              <w:gridCol w:w="2338"/>
              <w:gridCol w:w="2573"/>
              <w:gridCol w:w="34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6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序号</w:t>
                  </w:r>
                </w:p>
              </w:tc>
              <w:tc>
                <w:tcPr>
                  <w:tcW w:w="120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经度</w:t>
                  </w:r>
                </w:p>
              </w:tc>
              <w:tc>
                <w:tcPr>
                  <w:tcW w:w="13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纬度</w:t>
                  </w:r>
                </w:p>
              </w:tc>
              <w:tc>
                <w:tcPr>
                  <w:tcW w:w="17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主要行政区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106°25′30.00000″</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35°5′30.00000″</w:t>
                  </w:r>
                </w:p>
              </w:tc>
              <w:tc>
                <w:tcPr>
                  <w:tcW w:w="1779" w:type="pct"/>
                  <w:vMerge w:val="restart"/>
                  <w:tcBorders>
                    <w:tl2br w:val="nil"/>
                    <w:tr2bl w:val="nil"/>
                  </w:tcBorders>
                  <w:vAlign w:val="center"/>
                </w:tcPr>
                <w:p>
                  <w:pPr>
                    <w:snapToGrid w:val="0"/>
                    <w:jc w:val="left"/>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陕西省（榆林市、延安市、渭南市、铜川市、咸阳市和宝鸡市）、甘肃省（平凉市和庆阳市）、宁夏回族自治区（银川市、吴忠市和固原市）、内蒙古自治区鄂尔多斯市（鄂托克前旗和乌审旗）、山西省（吕梁市和临汾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107°7′60.00000″</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34°33′30.00000″</w:t>
                  </w:r>
                </w:p>
              </w:tc>
              <w:tc>
                <w:tcPr>
                  <w:tcW w:w="1779" w:type="pct"/>
                  <w:vMerge w:val="continue"/>
                  <w:tcBorders>
                    <w:tl2br w:val="nil"/>
                    <w:tr2bl w:val="nil"/>
                  </w:tcBorders>
                  <w:vAlign w:val="center"/>
                </w:tcPr>
                <w:p>
                  <w:pPr>
                    <w:snapToGrid w:val="0"/>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3</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110°13′30.00000″</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35°16′45.00000″</w:t>
                  </w:r>
                </w:p>
              </w:tc>
              <w:tc>
                <w:tcPr>
                  <w:tcW w:w="1779" w:type="pct"/>
                  <w:vMerge w:val="continue"/>
                  <w:tcBorders>
                    <w:tl2br w:val="nil"/>
                    <w:tr2bl w:val="nil"/>
                  </w:tcBorders>
                  <w:vAlign w:val="center"/>
                </w:tcPr>
                <w:p>
                  <w:pPr>
                    <w:snapToGrid w:val="0"/>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4</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111°12′30.00000″</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36°16′0.00000″</w:t>
                  </w:r>
                </w:p>
              </w:tc>
              <w:tc>
                <w:tcPr>
                  <w:tcW w:w="1779" w:type="pct"/>
                  <w:vMerge w:val="continue"/>
                  <w:tcBorders>
                    <w:tl2br w:val="nil"/>
                    <w:tr2bl w:val="nil"/>
                  </w:tcBorders>
                  <w:vAlign w:val="center"/>
                </w:tcPr>
                <w:p>
                  <w:pPr>
                    <w:snapToGrid w:val="0"/>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111°12′30.00000″</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38°0′0.00000″</w:t>
                  </w:r>
                </w:p>
              </w:tc>
              <w:tc>
                <w:tcPr>
                  <w:tcW w:w="1779" w:type="pct"/>
                  <w:vMerge w:val="continue"/>
                  <w:tcBorders>
                    <w:tl2br w:val="nil"/>
                    <w:tr2bl w:val="nil"/>
                  </w:tcBorders>
                  <w:vAlign w:val="center"/>
                </w:tcPr>
                <w:p>
                  <w:pPr>
                    <w:snapToGrid w:val="0"/>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6</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106°25′30.00000″</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38°0′0.00000″</w:t>
                  </w:r>
                </w:p>
              </w:tc>
              <w:tc>
                <w:tcPr>
                  <w:tcW w:w="1779" w:type="pct"/>
                  <w:vMerge w:val="continue"/>
                  <w:tcBorders>
                    <w:tl2br w:val="nil"/>
                    <w:tr2bl w:val="nil"/>
                  </w:tcBorders>
                  <w:vAlign w:val="center"/>
                </w:tcPr>
                <w:p>
                  <w:pPr>
                    <w:snapToGrid w:val="0"/>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 w:hRule="atLeast"/>
              </w:trPr>
              <w:tc>
                <w:tcPr>
                  <w:tcW w:w="688" w:type="pct"/>
                  <w:tcBorders>
                    <w:tl2br w:val="nil"/>
                    <w:tr2bl w:val="nil"/>
                  </w:tcBorders>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7</w:t>
                  </w:r>
                </w:p>
              </w:tc>
              <w:tc>
                <w:tcPr>
                  <w:tcW w:w="1205"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108°3′14.25965″</w:t>
                  </w:r>
                </w:p>
              </w:tc>
              <w:tc>
                <w:tcPr>
                  <w:tcW w:w="1326" w:type="pct"/>
                  <w:tcBorders>
                    <w:tl2br w:val="nil"/>
                    <w:tr2bl w:val="nil"/>
                  </w:tcBorders>
                  <w:vAlign w:val="center"/>
                </w:tcPr>
                <w:p>
                  <w:pPr>
                    <w:snapToGrid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34°33′22.80244″</w:t>
                  </w:r>
                </w:p>
              </w:tc>
              <w:tc>
                <w:tcPr>
                  <w:tcW w:w="1779" w:type="pct"/>
                  <w:vMerge w:val="continue"/>
                  <w:tcBorders>
                    <w:tl2br w:val="nil"/>
                    <w:tr2bl w:val="nil"/>
                  </w:tcBorders>
                  <w:vAlign w:val="center"/>
                </w:tcPr>
                <w:p>
                  <w:pPr>
                    <w:snapToGrid w:val="0"/>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bl>
          <w:p>
            <w:pPr>
              <w:numPr>
                <w:ilvl w:val="0"/>
                <w:numId w:val="0"/>
              </w:numPr>
              <w:spacing w:line="360" w:lineRule="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4、工作内容</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2022年拟定</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35</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58</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val="en-US" w:eastAsia="zh-CN"/>
                <w14:textFill>
                  <w14:solidFill>
                    <w14:schemeClr w14:val="tx1"/>
                  </w14:solidFill>
                </w14:textFill>
              </w:rPr>
              <w:t>；2023-2026年预估</w:t>
            </w:r>
            <w:r>
              <w:rPr>
                <w:rFonts w:ascii="Times New Roman" w:hAnsi="Times New Roman" w:cs="Times New Roman"/>
                <w:b w:val="0"/>
                <w:bCs w:val="0"/>
                <w:color w:val="000000" w:themeColor="text1"/>
                <w:sz w:val="24"/>
                <w:lang w:eastAsia="zh-CN"/>
                <w14:textFill>
                  <w14:solidFill>
                    <w14:schemeClr w14:val="tx1"/>
                  </w14:solidFill>
                </w14:textFill>
              </w:rPr>
              <w:t>机械岩心</w:t>
            </w:r>
            <w:r>
              <w:rPr>
                <w:rFonts w:hint="eastAsia" w:cs="Times New Roman"/>
                <w:b w:val="0"/>
                <w:bCs w:val="0"/>
                <w:color w:val="000000" w:themeColor="text1"/>
                <w:sz w:val="24"/>
                <w:lang w:val="en-US" w:eastAsia="zh-CN"/>
                <w14:textFill>
                  <w14:solidFill>
                    <w14:schemeClr w14:val="tx1"/>
                  </w14:solidFill>
                </w14:textFill>
              </w:rPr>
              <w:t>钻探工作量140000m，</w:t>
            </w:r>
            <w:r>
              <w:rPr>
                <w:rFonts w:hint="eastAsia" w:cs="Times New Roman"/>
                <w:bCs/>
                <w:color w:val="000000" w:themeColor="text1"/>
                <w:sz w:val="24"/>
                <w:szCs w:val="20"/>
                <w:lang w:val="en-US" w:eastAsia="zh-CN"/>
                <w14:textFill>
                  <w14:solidFill>
                    <w14:schemeClr w14:val="tx1"/>
                  </w14:solidFill>
                </w14:textFill>
              </w:rPr>
              <w:t>共布设钻孔240个。</w:t>
            </w:r>
          </w:p>
          <w:p>
            <w:pPr>
              <w:numPr>
                <w:ilvl w:val="0"/>
                <w:numId w:val="0"/>
              </w:numPr>
              <w:spacing w:line="360" w:lineRule="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5、钻探布置</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（1）工作部署</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2022年度在勘查区内拟定</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35</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58</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2022年度钻孔布置情况见表1-18。</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表1-18  2022年钻探布置情况一览表</w:t>
            </w:r>
          </w:p>
          <w:tbl>
            <w:tblPr>
              <w:tblStyle w:val="14"/>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75"/>
              <w:gridCol w:w="1855"/>
              <w:gridCol w:w="2119"/>
              <w:gridCol w:w="1779"/>
              <w:gridCol w:w="23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vMerge w:val="restar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序号</w:t>
                  </w:r>
                </w:p>
              </w:tc>
              <w:tc>
                <w:tcPr>
                  <w:tcW w:w="955" w:type="pct"/>
                  <w:vMerge w:val="restar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线号</w:t>
                  </w:r>
                </w:p>
              </w:tc>
              <w:tc>
                <w:tcPr>
                  <w:tcW w:w="1091" w:type="pct"/>
                  <w:vMerge w:val="restar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设计钻孔</w:t>
                  </w:r>
                </w:p>
              </w:tc>
              <w:tc>
                <w:tcPr>
                  <w:tcW w:w="916" w:type="pct"/>
                  <w:vMerge w:val="restar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设计孔深（m）</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取心位置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916"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（起~止）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w:t>
                  </w:r>
                </w:p>
              </w:tc>
              <w:tc>
                <w:tcPr>
                  <w:tcW w:w="955"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G21</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ZKG21-1</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330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30~330m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w:t>
                  </w:r>
                </w:p>
              </w:tc>
              <w:tc>
                <w:tcPr>
                  <w:tcW w:w="95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G65</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ZKG65-2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360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150~360m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ZKG65-3</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350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140~350m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4</w:t>
                  </w:r>
                </w:p>
              </w:tc>
              <w:tc>
                <w:tcPr>
                  <w:tcW w:w="95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G111</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ZKG111-2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340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10~340m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ZKG111-3</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330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20~330m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w:t>
                  </w:r>
                </w:p>
              </w:tc>
              <w:tc>
                <w:tcPr>
                  <w:tcW w:w="955"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G141</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ZKG141-2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240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10~240m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w:t>
                  </w:r>
                </w:p>
              </w:tc>
              <w:tc>
                <w:tcPr>
                  <w:tcW w:w="95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G205</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ZKG205-1</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360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20~360m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8</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ZKG205-2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370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70~370m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9</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ZKG205-3</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370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70~370m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w:t>
                  </w:r>
                </w:p>
              </w:tc>
              <w:tc>
                <w:tcPr>
                  <w:tcW w:w="95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G333</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ZKG333-1</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350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70~350m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11</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ZKG333-2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360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70~360m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12</w:t>
                  </w:r>
                </w:p>
              </w:tc>
              <w:tc>
                <w:tcPr>
                  <w:tcW w:w="955"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G102</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ZKG102-1</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210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10~210m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13</w:t>
                  </w:r>
                </w:p>
              </w:tc>
              <w:tc>
                <w:tcPr>
                  <w:tcW w:w="95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C1</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ZKC1-1</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570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100~570m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14</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ZKC1-2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610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100~610m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15</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ZKC1-3</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620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100~620m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16</w:t>
                  </w:r>
                </w:p>
              </w:tc>
              <w:tc>
                <w:tcPr>
                  <w:tcW w:w="955" w:type="pct"/>
                  <w:vMerge w:val="restar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C2</w:t>
                  </w: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ZKC2-1</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610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120~610m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81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17</w:t>
                  </w:r>
                </w:p>
              </w:tc>
              <w:tc>
                <w:tcPr>
                  <w:tcW w:w="955" w:type="pct"/>
                  <w:vMerge w:val="continue"/>
                  <w:tcBorders>
                    <w:tl2br w:val="nil"/>
                    <w:tr2bl w:val="nil"/>
                  </w:tcBorders>
                  <w:vAlign w:val="center"/>
                </w:tcPr>
                <w:p>
                  <w:pPr>
                    <w:widowControl/>
                    <w:jc w:val="left"/>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ZKC2-2</w:t>
                  </w:r>
                </w:p>
              </w:tc>
              <w:tc>
                <w:tcPr>
                  <w:tcW w:w="916"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620</w:t>
                  </w:r>
                </w:p>
              </w:tc>
              <w:tc>
                <w:tcPr>
                  <w:tcW w:w="1224" w:type="pct"/>
                  <w:tcBorders>
                    <w:tl2br w:val="nil"/>
                    <w:tr2bl w:val="nil"/>
                  </w:tcBorders>
                  <w:shd w:val="clear" w:color="auto" w:fill="auto"/>
                  <w:noWrap/>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120~620m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1</w:t>
                  </w:r>
                  <w:r>
                    <w:rPr>
                      <w:rFonts w:hint="eastAsia" w:cs="Times New Roman"/>
                      <w:b w:val="0"/>
                      <w:bCs w:val="0"/>
                      <w:color w:val="000000" w:themeColor="text1"/>
                      <w:sz w:val="21"/>
                      <w:szCs w:val="21"/>
                      <w:lang w:val="en-US" w:eastAsia="zh-CN"/>
                      <w14:textFill>
                        <w14:solidFill>
                          <w14:schemeClr w14:val="tx1"/>
                        </w14:solidFill>
                      </w14:textFill>
                    </w:rPr>
                    <w:t>8</w:t>
                  </w:r>
                </w:p>
              </w:tc>
              <w:tc>
                <w:tcPr>
                  <w:tcW w:w="955" w:type="pct"/>
                  <w:vMerge w:val="restar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H2</w:t>
                  </w:r>
                </w:p>
              </w:tc>
              <w:tc>
                <w:tcPr>
                  <w:tcW w:w="1091" w:type="pct"/>
                  <w:tcBorders>
                    <w:tl2br w:val="nil"/>
                    <w:tr2bl w:val="nil"/>
                  </w:tcBorders>
                  <w:vAlign w:val="center"/>
                </w:tcPr>
                <w:p>
                  <w:pPr>
                    <w:widowControl/>
                    <w:spacing w:line="240" w:lineRule="atLeast"/>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ZKH2-6</w:t>
                  </w:r>
                </w:p>
              </w:tc>
              <w:tc>
                <w:tcPr>
                  <w:tcW w:w="916" w:type="pct"/>
                  <w:tcBorders>
                    <w:tl2br w:val="nil"/>
                    <w:tr2bl w:val="nil"/>
                  </w:tcBorders>
                  <w:vAlign w:val="center"/>
                </w:tcPr>
                <w:p>
                  <w:pPr>
                    <w:widowControl/>
                    <w:spacing w:line="240" w:lineRule="atLeast"/>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680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150～700m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19</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spacing w:line="240" w:lineRule="atLeast"/>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ZKH2-7</w:t>
                  </w:r>
                </w:p>
              </w:tc>
              <w:tc>
                <w:tcPr>
                  <w:tcW w:w="916" w:type="pct"/>
                  <w:tcBorders>
                    <w:tl2br w:val="nil"/>
                    <w:tr2bl w:val="nil"/>
                  </w:tcBorders>
                  <w:vAlign w:val="center"/>
                </w:tcPr>
                <w:p>
                  <w:pPr>
                    <w:widowControl/>
                    <w:spacing w:line="240" w:lineRule="atLeast"/>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720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180～720m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20</w:t>
                  </w:r>
                </w:p>
              </w:tc>
              <w:tc>
                <w:tcPr>
                  <w:tcW w:w="955"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eastAsia" w:ascii="Times New Roman" w:hAnsi="Times New Roman" w:eastAsia="仿宋_GB2312"/>
                      <w:color w:val="000000" w:themeColor="text1"/>
                      <w:kern w:val="0"/>
                      <w:sz w:val="21"/>
                      <w:szCs w:val="21"/>
                      <w14:textFill>
                        <w14:solidFill>
                          <w14:schemeClr w14:val="tx1"/>
                        </w14:solidFill>
                      </w14:textFill>
                    </w:rPr>
                    <w:t>X1</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ascii="Times New Roman" w:hAnsi="Times New Roman" w:eastAsia="仿宋_GB2312"/>
                      <w:color w:val="000000" w:themeColor="text1"/>
                      <w:kern w:val="0"/>
                      <w:sz w:val="21"/>
                      <w:szCs w:val="21"/>
                      <w14:textFill>
                        <w14:solidFill>
                          <w14:schemeClr w14:val="tx1"/>
                        </w14:solidFill>
                      </w14:textFill>
                    </w:rPr>
                    <w:t>ZK</w:t>
                  </w:r>
                  <w:r>
                    <w:rPr>
                      <w:rFonts w:hint="eastAsia" w:ascii="Times New Roman" w:hAnsi="Times New Roman" w:eastAsia="仿宋_GB2312"/>
                      <w:color w:val="000000" w:themeColor="text1"/>
                      <w:kern w:val="0"/>
                      <w:sz w:val="21"/>
                      <w:szCs w:val="21"/>
                      <w14:textFill>
                        <w14:solidFill>
                          <w14:schemeClr w14:val="tx1"/>
                        </w14:solidFill>
                      </w14:textFill>
                    </w:rPr>
                    <w:t>X1-4</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200～680m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21</w:t>
                  </w:r>
                </w:p>
              </w:tc>
              <w:tc>
                <w:tcPr>
                  <w:tcW w:w="955"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X2</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ZKX2-5</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780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35～780 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22</w:t>
                  </w:r>
                </w:p>
              </w:tc>
              <w:tc>
                <w:tcPr>
                  <w:tcW w:w="955" w:type="pct"/>
                  <w:vMerge w:val="restar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B180</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ZKB180-2</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650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120～650m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23</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ZKB180-3</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710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140～710m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24</w:t>
                  </w:r>
                </w:p>
              </w:tc>
              <w:tc>
                <w:tcPr>
                  <w:tcW w:w="955" w:type="pct"/>
                  <w:vMerge w:val="restar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B56</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ZKB56-7</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740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10～740 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25</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ZKB56-8</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750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70～750 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26</w:t>
                  </w:r>
                </w:p>
              </w:tc>
              <w:tc>
                <w:tcPr>
                  <w:tcW w:w="955"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B251</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ZKB251-3</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780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70～780 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27</w:t>
                  </w:r>
                </w:p>
              </w:tc>
              <w:tc>
                <w:tcPr>
                  <w:tcW w:w="955" w:type="pct"/>
                  <w:vMerge w:val="restar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X6</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ZKX6-2</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360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10～360 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28</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ZKX6-3</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640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10～550m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29</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ZKX6-4</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400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10～400m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30</w:t>
                  </w:r>
                </w:p>
              </w:tc>
              <w:tc>
                <w:tcPr>
                  <w:tcW w:w="955" w:type="pct"/>
                  <w:vMerge w:val="restart"/>
                  <w:tcBorders>
                    <w:tl2br w:val="nil"/>
                    <w:tr2bl w:val="nil"/>
                  </w:tcBorders>
                  <w:vAlign w:val="center"/>
                </w:tcPr>
                <w:p>
                  <w:pPr>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X7</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ZKX7-1</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570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30～570m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31</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ZKX7-2</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600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30～600m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32</w:t>
                  </w:r>
                </w:p>
              </w:tc>
              <w:tc>
                <w:tcPr>
                  <w:tcW w:w="955" w:type="pct"/>
                  <w:vMerge w:val="restar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X8</w:t>
                  </w: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ZKX8-1</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420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10～420m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1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cs="Times New Roman"/>
                      <w:b w:val="0"/>
                      <w:bCs w:val="0"/>
                      <w:color w:val="000000" w:themeColor="text1"/>
                      <w:sz w:val="21"/>
                      <w:szCs w:val="21"/>
                      <w:lang w:val="en-US" w:eastAsia="zh-CN"/>
                      <w14:textFill>
                        <w14:solidFill>
                          <w14:schemeClr w14:val="tx1"/>
                        </w14:solidFill>
                      </w14:textFill>
                    </w:rPr>
                    <w:t>33</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ZKX8-2</w:t>
                  </w:r>
                </w:p>
              </w:tc>
              <w:tc>
                <w:tcPr>
                  <w:tcW w:w="916"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500</w:t>
                  </w:r>
                </w:p>
              </w:tc>
              <w:tc>
                <w:tcPr>
                  <w:tcW w:w="1224" w:type="pct"/>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25～500m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4"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34</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Y1</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ZKY1-5</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750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35</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ZKY1-6</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660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50-660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36</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ZKY1-7</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640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37</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ZKY1-8</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480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50-480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38</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Y2</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ZKY2-1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680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100-680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39</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ZKY2-2</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690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100-690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40</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Y3</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ZKY3-4</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640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41</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ZKY3-5</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640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50-640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42</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ZKY3-6</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620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50-620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8"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43</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Y5</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ZKY5-2</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100-680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44</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ZKY5-3</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690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100-690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6"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45</w:t>
                  </w:r>
                </w:p>
              </w:tc>
              <w:tc>
                <w:tcPr>
                  <w:tcW w:w="955"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Z10</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ZKZ10-1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700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100-820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2"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56</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Z9</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ZKZ9-1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780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9"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47</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ZKZ9-2</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780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48</w:t>
                  </w:r>
                </w:p>
              </w:tc>
              <w:tc>
                <w:tcPr>
                  <w:tcW w:w="955"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Z8</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ZKZ8-1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780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49</w:t>
                  </w:r>
                </w:p>
              </w:tc>
              <w:tc>
                <w:tcPr>
                  <w:tcW w:w="955"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Z7</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ZKZ7-1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840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3"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50</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Z6</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ZKZ6-1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750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200-950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2"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51</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ZKZ6-2</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760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100-800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52</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Z4</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ZKZ4-4</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850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100-900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7"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53</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ZKZ4-6</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900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100-900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54</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ZKZ4-7</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820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100-820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5"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55</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ZKZ4-8</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580</w:t>
                  </w:r>
                </w:p>
              </w:tc>
              <w:tc>
                <w:tcPr>
                  <w:tcW w:w="1224" w:type="pct"/>
                  <w:tcBorders>
                    <w:tl2br w:val="nil"/>
                    <w:tr2bl w:val="nil"/>
                  </w:tcBorders>
                  <w:shd w:val="clear" w:color="auto" w:fill="auto"/>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100-580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56</w:t>
                  </w:r>
                </w:p>
              </w:tc>
              <w:tc>
                <w:tcPr>
                  <w:tcW w:w="955" w:type="pct"/>
                  <w:vMerge w:val="restar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Z5</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Z5-1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750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57</w:t>
                  </w:r>
                </w:p>
              </w:tc>
              <w:tc>
                <w:tcPr>
                  <w:tcW w:w="955" w:type="pct"/>
                  <w:vMerge w:val="continue"/>
                  <w:tcBorders>
                    <w:tl2br w:val="nil"/>
                    <w:tr2bl w:val="nil"/>
                  </w:tcBorders>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Z5-2</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760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100-790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1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lang w:val="en-US" w:eastAsia="zh-CN"/>
                      <w14:textFill>
                        <w14:solidFill>
                          <w14:schemeClr w14:val="tx1"/>
                        </w14:solidFill>
                      </w14:textFill>
                    </w:rPr>
                  </w:pPr>
                  <w:r>
                    <w:rPr>
                      <w:rFonts w:hint="eastAsia" w:cs="Times New Roman"/>
                      <w:b w:val="0"/>
                      <w:bCs w:val="0"/>
                      <w:color w:val="000000" w:themeColor="text1"/>
                      <w:kern w:val="0"/>
                      <w:sz w:val="21"/>
                      <w:szCs w:val="21"/>
                      <w:lang w:val="en-US" w:eastAsia="zh-CN"/>
                      <w14:textFill>
                        <w14:solidFill>
                          <w14:schemeClr w14:val="tx1"/>
                        </w14:solidFill>
                      </w14:textFill>
                    </w:rPr>
                    <w:t>58</w:t>
                  </w:r>
                </w:p>
              </w:tc>
              <w:tc>
                <w:tcPr>
                  <w:tcW w:w="955"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Z3</w:t>
                  </w:r>
                </w:p>
              </w:tc>
              <w:tc>
                <w:tcPr>
                  <w:tcW w:w="1091"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ZKZ3-1</w:t>
                  </w:r>
                </w:p>
              </w:tc>
              <w:tc>
                <w:tcPr>
                  <w:tcW w:w="916"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740</w:t>
                  </w:r>
                </w:p>
              </w:tc>
              <w:tc>
                <w:tcPr>
                  <w:tcW w:w="1224" w:type="pct"/>
                  <w:tcBorders>
                    <w:tl2br w:val="nil"/>
                    <w:tr2bl w:val="nil"/>
                  </w:tcBorders>
                  <w:shd w:val="clear" w:color="000000" w:fill="FFFFFF"/>
                  <w:vAlign w:val="center"/>
                </w:tcPr>
                <w:p>
                  <w:pPr>
                    <w:widowControl/>
                    <w:jc w:val="center"/>
                    <w:rPr>
                      <w:rFonts w:hint="default" w:ascii="Times New Roman" w:hAnsi="Times New Roman" w:eastAsia="宋体" w:cs="Times New Roman"/>
                      <w:b w:val="0"/>
                      <w:bCs w:val="0"/>
                      <w:color w:val="000000" w:themeColor="text1"/>
                      <w:kern w:val="0"/>
                      <w:sz w:val="21"/>
                      <w:szCs w:val="21"/>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14:textFill>
                        <w14:solidFill>
                          <w14:schemeClr w14:val="tx1"/>
                        </w14:solidFill>
                      </w14:textFill>
                    </w:rPr>
                    <w:t>150-790</w:t>
                  </w:r>
                </w:p>
              </w:tc>
            </w:tr>
          </w:tbl>
          <w:p>
            <w:pPr>
              <w:spacing w:line="360" w:lineRule="auto"/>
              <w:ind w:firstLine="480" w:firstLineChars="200"/>
              <w:rPr>
                <w:rFonts w:hint="default"/>
                <w:b w:val="0"/>
                <w:bCs w:val="0"/>
                <w:color w:val="000000" w:themeColor="text1"/>
                <w:sz w:val="24"/>
                <w:lang w:val="en-US"/>
                <w14:textFill>
                  <w14:solidFill>
                    <w14:schemeClr w14:val="tx1"/>
                  </w14:solidFill>
                </w14:textFill>
              </w:rPr>
            </w:pPr>
            <w:r>
              <w:rPr>
                <w:rFonts w:hint="eastAsia"/>
                <w:b w:val="0"/>
                <w:bCs w:val="0"/>
                <w:color w:val="000000" w:themeColor="text1"/>
                <w:sz w:val="24"/>
                <w:lang w:val="en-US" w:eastAsia="zh-CN"/>
                <w14:textFill>
                  <w14:solidFill>
                    <w14:schemeClr w14:val="tx1"/>
                  </w14:solidFill>
                </w14:textFill>
              </w:rPr>
              <w:t>（2）典型钻井场地平面布置</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本项目单个钻井井场长为</w:t>
            </w:r>
            <w:r>
              <w:rPr>
                <w:color w:val="000000" w:themeColor="text1"/>
                <w:sz w:val="24"/>
                <w:lang w:val="en-GB"/>
                <w14:textFill>
                  <w14:solidFill>
                    <w14:schemeClr w14:val="tx1"/>
                  </w14:solidFill>
                </w14:textFill>
              </w:rPr>
              <w:t>15</w:t>
            </w:r>
            <w:r>
              <w:rPr>
                <w:rFonts w:hint="eastAsia"/>
                <w:color w:val="000000" w:themeColor="text1"/>
                <w:sz w:val="24"/>
                <w:lang w:val="en-GB"/>
                <w14:textFill>
                  <w14:solidFill>
                    <w14:schemeClr w14:val="tx1"/>
                  </w14:solidFill>
                </w14:textFill>
              </w:rPr>
              <w:t>m，宽为1</w:t>
            </w:r>
            <w:r>
              <w:rPr>
                <w:color w:val="000000" w:themeColor="text1"/>
                <w:sz w:val="24"/>
                <w:lang w:val="en-GB"/>
                <w14:textFill>
                  <w14:solidFill>
                    <w14:schemeClr w14:val="tx1"/>
                  </w14:solidFill>
                </w14:textFill>
              </w:rPr>
              <w:t>0</w:t>
            </w:r>
            <w:r>
              <w:rPr>
                <w:rFonts w:hint="eastAsia"/>
                <w:color w:val="000000" w:themeColor="text1"/>
                <w:sz w:val="24"/>
                <w:lang w:val="en-GB"/>
                <w14:textFill>
                  <w14:solidFill>
                    <w14:schemeClr w14:val="tx1"/>
                  </w14:solidFill>
                </w14:textFill>
              </w:rPr>
              <w:t>m，面积</w:t>
            </w:r>
            <w:r>
              <w:rPr>
                <w:color w:val="000000" w:themeColor="text1"/>
                <w:sz w:val="24"/>
                <w:lang w:val="en-GB"/>
                <w14:textFill>
                  <w14:solidFill>
                    <w14:schemeClr w14:val="tx1"/>
                  </w14:solidFill>
                </w14:textFill>
              </w:rPr>
              <w:t>150</w:t>
            </w:r>
            <w:r>
              <w:rPr>
                <w:rFonts w:hint="eastAsia"/>
                <w:color w:val="000000" w:themeColor="text1"/>
                <w:sz w:val="24"/>
                <w:lang w:val="en-GB"/>
                <w14:textFill>
                  <w14:solidFill>
                    <w14:schemeClr w14:val="tx1"/>
                  </w14:solidFill>
                </w14:textFill>
              </w:rPr>
              <w:t>m</w:t>
            </w:r>
            <w:r>
              <w:rPr>
                <w:rFonts w:hint="eastAsia"/>
                <w:color w:val="000000" w:themeColor="text1"/>
                <w:sz w:val="24"/>
                <w:vertAlign w:val="superscript"/>
                <w:lang w:val="en-GB"/>
                <w14:textFill>
                  <w14:solidFill>
                    <w14:schemeClr w14:val="tx1"/>
                  </w14:solidFill>
                </w14:textFill>
              </w:rPr>
              <w:t>2</w:t>
            </w:r>
            <w:r>
              <w:rPr>
                <w:rFonts w:hint="eastAsia"/>
                <w:color w:val="000000" w:themeColor="text1"/>
                <w:sz w:val="24"/>
                <w:lang w:val="en-GB"/>
                <w14:textFill>
                  <w14:solidFill>
                    <w14:schemeClr w14:val="tx1"/>
                  </w14:solidFill>
                </w14:textFill>
              </w:rPr>
              <w:t>。井场布置机台、泥浆机、钻具区、发电机、油料储存区等，布局满足生产要求前提下，符合国家现行的防火、防爆、安全、卫生及环保规范要求。全部测试工作完成后进行封孔，场地平整并进行生态恢复。钻探井场平面布置示意图见图</w:t>
            </w:r>
            <w:r>
              <w:rPr>
                <w:color w:val="000000" w:themeColor="text1"/>
                <w:sz w:val="24"/>
                <w:lang w:val="en-GB"/>
                <w14:textFill>
                  <w14:solidFill>
                    <w14:schemeClr w14:val="tx1"/>
                  </w14:solidFill>
                </w14:textFill>
              </w:rPr>
              <w:t>1-1</w:t>
            </w:r>
            <w:r>
              <w:rPr>
                <w:rFonts w:hint="eastAsia"/>
                <w:color w:val="000000" w:themeColor="text1"/>
                <w:sz w:val="24"/>
                <w:lang w:val="en-GB"/>
                <w14:textFill>
                  <w14:solidFill>
                    <w14:schemeClr w14:val="tx1"/>
                  </w14:solidFill>
                </w14:textFill>
              </w:rPr>
              <w:t>。</w:t>
            </w:r>
          </w:p>
          <w:p>
            <w:pPr>
              <w:spacing w:line="360" w:lineRule="auto"/>
              <w:rPr>
                <w:color w:val="000000" w:themeColor="text1"/>
                <w:sz w:val="24"/>
                <w:lang w:val="en-GB"/>
                <w14:textFill>
                  <w14:solidFill>
                    <w14:schemeClr w14:val="tx1"/>
                  </w14:solidFill>
                </w14:textFill>
              </w:rPr>
            </w:pPr>
            <w:r>
              <w:rPr>
                <w:color w:val="000000" w:themeColor="text1"/>
                <w14:textFill>
                  <w14:solidFill>
                    <w14:schemeClr w14:val="tx1"/>
                  </w14:solidFill>
                </w14:textFill>
              </w:rPr>
              <w:drawing>
                <wp:inline distT="0" distB="0" distL="0" distR="0">
                  <wp:extent cx="6188710" cy="3520440"/>
                  <wp:effectExtent l="0" t="0" r="889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6188710" cy="3520440"/>
                          </a:xfrm>
                          <a:prstGeom prst="rect">
                            <a:avLst/>
                          </a:prstGeom>
                          <a:noFill/>
                          <a:ln>
                            <a:noFill/>
                          </a:ln>
                        </pic:spPr>
                      </pic:pic>
                    </a:graphicData>
                  </a:graphic>
                </wp:inline>
              </w:drawing>
            </w:r>
          </w:p>
          <w:p>
            <w:pPr>
              <w:spacing w:line="240" w:lineRule="auto"/>
              <w:jc w:val="center"/>
              <w:rPr>
                <w:b w:val="0"/>
                <w:bCs w:val="0"/>
                <w:color w:val="000000" w:themeColor="text1"/>
                <w:sz w:val="24"/>
                <w:lang w:val="en-GB"/>
                <w14:textFill>
                  <w14:solidFill>
                    <w14:schemeClr w14:val="tx1"/>
                  </w14:solidFill>
                </w14:textFill>
              </w:rPr>
            </w:pPr>
            <w:r>
              <w:rPr>
                <w:rFonts w:hint="eastAsia"/>
                <w:b w:val="0"/>
                <w:bCs w:val="0"/>
                <w:color w:val="000000" w:themeColor="text1"/>
                <w:sz w:val="24"/>
                <w:lang w:val="en-GB"/>
                <w14:textFill>
                  <w14:solidFill>
                    <w14:schemeClr w14:val="tx1"/>
                  </w14:solidFill>
                </w14:textFill>
              </w:rPr>
              <w:t>图</w:t>
            </w:r>
            <w:r>
              <w:rPr>
                <w:b w:val="0"/>
                <w:bCs w:val="0"/>
                <w:color w:val="000000" w:themeColor="text1"/>
                <w:sz w:val="24"/>
                <w:lang w:val="en-GB"/>
                <w14:textFill>
                  <w14:solidFill>
                    <w14:schemeClr w14:val="tx1"/>
                  </w14:solidFill>
                </w14:textFill>
              </w:rPr>
              <w:t xml:space="preserve">1-1  </w:t>
            </w:r>
            <w:r>
              <w:rPr>
                <w:rFonts w:hint="eastAsia"/>
                <w:b w:val="0"/>
                <w:bCs w:val="0"/>
                <w:color w:val="000000" w:themeColor="text1"/>
                <w:sz w:val="24"/>
                <w:lang w:val="en-GB"/>
                <w14:textFill>
                  <w14:solidFill>
                    <w14:schemeClr w14:val="tx1"/>
                  </w14:solidFill>
                </w14:textFill>
              </w:rPr>
              <w:t>钻探井场平面布置示意图</w:t>
            </w:r>
          </w:p>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6、主要设备</w:t>
            </w:r>
          </w:p>
          <w:p>
            <w:pPr>
              <w:spacing w:line="360" w:lineRule="auto"/>
              <w:ind w:firstLine="480" w:firstLineChars="200"/>
              <w:rPr>
                <w:color w:val="000000" w:themeColor="text1"/>
                <w:sz w:val="24"/>
                <w:lang w:val="en-GB"/>
                <w14:textFill>
                  <w14:solidFill>
                    <w14:schemeClr w14:val="tx1"/>
                  </w14:solidFill>
                </w14:textFill>
              </w:rPr>
            </w:pPr>
            <w:r>
              <w:rPr>
                <w:color w:val="000000" w:themeColor="text1"/>
                <w:sz w:val="24"/>
                <w14:textFill>
                  <w14:solidFill>
                    <w14:schemeClr w14:val="tx1"/>
                  </w14:solidFill>
                </w14:textFill>
              </w:rPr>
              <w:t>项目主要设备清单见表</w:t>
            </w:r>
            <w:r>
              <w:rPr>
                <w:rFonts w:hint="eastAsia"/>
                <w:color w:val="000000" w:themeColor="text1"/>
                <w:sz w:val="24"/>
                <w:lang w:val="en-US" w:eastAsia="zh-CN"/>
                <w14:textFill>
                  <w14:solidFill>
                    <w14:schemeClr w14:val="tx1"/>
                  </w14:solidFill>
                </w14:textFill>
              </w:rPr>
              <w:t>1</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19</w:t>
            </w:r>
            <w:r>
              <w:rPr>
                <w:color w:val="000000" w:themeColor="text1"/>
                <w:sz w:val="24"/>
                <w14:textFill>
                  <w14:solidFill>
                    <w14:schemeClr w14:val="tx1"/>
                  </w14:solidFill>
                </w14:textFill>
              </w:rPr>
              <w:t>。</w:t>
            </w:r>
          </w:p>
          <w:p>
            <w:pPr>
              <w:spacing w:line="240" w:lineRule="auto"/>
              <w:jc w:val="center"/>
              <w:rPr>
                <w:b w:val="0"/>
                <w:bCs w:val="0"/>
                <w:color w:val="000000" w:themeColor="text1"/>
                <w:sz w:val="24"/>
                <w:lang w:val="en-GB"/>
                <w14:textFill>
                  <w14:solidFill>
                    <w14:schemeClr w14:val="tx1"/>
                  </w14:solidFill>
                </w14:textFill>
              </w:rPr>
            </w:pPr>
            <w:r>
              <w:rPr>
                <w:rFonts w:hint="eastAsia"/>
                <w:b w:val="0"/>
                <w:bCs w:val="0"/>
                <w:color w:val="000000" w:themeColor="text1"/>
                <w:sz w:val="24"/>
                <w:lang w:val="en-GB"/>
                <w14:textFill>
                  <w14:solidFill>
                    <w14:schemeClr w14:val="tx1"/>
                  </w14:solidFill>
                </w14:textFill>
              </w:rPr>
              <w:t>表</w:t>
            </w:r>
            <w:r>
              <w:rPr>
                <w:rFonts w:hint="eastAsia"/>
                <w:b w:val="0"/>
                <w:bCs w:val="0"/>
                <w:color w:val="000000" w:themeColor="text1"/>
                <w:sz w:val="24"/>
                <w:lang w:val="en-US" w:eastAsia="zh-CN"/>
                <w14:textFill>
                  <w14:solidFill>
                    <w14:schemeClr w14:val="tx1"/>
                  </w14:solidFill>
                </w14:textFill>
              </w:rPr>
              <w:t>1</w:t>
            </w:r>
            <w:r>
              <w:rPr>
                <w:b w:val="0"/>
                <w:bCs w:val="0"/>
                <w:color w:val="000000" w:themeColor="text1"/>
                <w:sz w:val="24"/>
                <w:lang w:val="en-GB"/>
                <w14:textFill>
                  <w14:solidFill>
                    <w14:schemeClr w14:val="tx1"/>
                  </w14:solidFill>
                </w14:textFill>
              </w:rPr>
              <w:t>-</w:t>
            </w:r>
            <w:r>
              <w:rPr>
                <w:rFonts w:hint="eastAsia"/>
                <w:b w:val="0"/>
                <w:bCs w:val="0"/>
                <w:color w:val="000000" w:themeColor="text1"/>
                <w:sz w:val="24"/>
                <w:lang w:val="en-US" w:eastAsia="zh-CN"/>
                <w14:textFill>
                  <w14:solidFill>
                    <w14:schemeClr w14:val="tx1"/>
                  </w14:solidFill>
                </w14:textFill>
              </w:rPr>
              <w:t>19</w:t>
            </w:r>
            <w:r>
              <w:rPr>
                <w:rFonts w:hint="eastAsia"/>
                <w:b w:val="0"/>
                <w:bCs w:val="0"/>
                <w:color w:val="000000" w:themeColor="text1"/>
                <w:sz w:val="24"/>
                <w:lang w:val="en-GB"/>
                <w14:textFill>
                  <w14:solidFill>
                    <w14:schemeClr w14:val="tx1"/>
                  </w14:solidFill>
                </w14:textFill>
              </w:rPr>
              <w:t xml:space="preserve"> </w:t>
            </w:r>
            <w:r>
              <w:rPr>
                <w:b w:val="0"/>
                <w:bCs w:val="0"/>
                <w:color w:val="000000" w:themeColor="text1"/>
                <w:sz w:val="24"/>
                <w:lang w:val="en-GB"/>
                <w14:textFill>
                  <w14:solidFill>
                    <w14:schemeClr w14:val="tx1"/>
                  </w14:solidFill>
                </w14:textFill>
              </w:rPr>
              <w:t xml:space="preserve"> </w:t>
            </w:r>
            <w:r>
              <w:rPr>
                <w:rFonts w:hint="eastAsia"/>
                <w:b w:val="0"/>
                <w:bCs w:val="0"/>
                <w:color w:val="000000" w:themeColor="text1"/>
                <w:sz w:val="24"/>
                <w:lang w:val="en-GB"/>
                <w14:textFill>
                  <w14:solidFill>
                    <w14:schemeClr w14:val="tx1"/>
                  </w14:solidFill>
                </w14:textFill>
              </w:rPr>
              <w:t>项目主要设备清单</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3"/>
              <w:gridCol w:w="1958"/>
              <w:gridCol w:w="2237"/>
              <w:gridCol w:w="1112"/>
              <w:gridCol w:w="1316"/>
              <w:gridCol w:w="212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规格型号</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单位</w:t>
                  </w:r>
                </w:p>
              </w:tc>
              <w:tc>
                <w:tcPr>
                  <w:tcW w:w="67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108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一、钻探设备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衡探</w:t>
                  </w:r>
                  <w:r>
                    <w:rPr>
                      <w:color w:val="000000" w:themeColor="text1"/>
                      <w:szCs w:val="21"/>
                      <w14:textFill>
                        <w14:solidFill>
                          <w14:schemeClr w14:val="tx1"/>
                        </w14:solidFill>
                      </w14:textFill>
                    </w:rPr>
                    <w:t>钻机</w:t>
                  </w:r>
                </w:p>
              </w:tc>
              <w:tc>
                <w:tcPr>
                  <w:tcW w:w="115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XY-5</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大部分情况单台钻机施工，个别情况下两台钻机同时施工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BW</w:t>
                  </w:r>
                  <w:r>
                    <w:rPr>
                      <w:color w:val="000000" w:themeColor="text1"/>
                      <w:szCs w:val="21"/>
                      <w14:textFill>
                        <w14:solidFill>
                          <w14:schemeClr w14:val="tx1"/>
                        </w14:solidFill>
                      </w14:textFill>
                    </w:rPr>
                    <w:t>-250</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2120"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钻塔</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13A36T</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付</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2120" w:type="dxa"/>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1.5m</w:t>
                  </w:r>
                  <w:r>
                    <w:rPr>
                      <w:color w:val="000000" w:themeColor="text1"/>
                      <w:szCs w:val="21"/>
                      <w:vertAlign w:val="superscript"/>
                      <w14:textFill>
                        <w14:solidFill>
                          <w14:schemeClr w14:val="tx1"/>
                        </w14:solidFill>
                      </w14:textFill>
                    </w:rPr>
                    <w:t>3</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1008"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除砂</w:t>
                  </w:r>
                  <w:r>
                    <w:rPr>
                      <w:rFonts w:hint="eastAsia"/>
                      <w:color w:val="000000" w:themeColor="text1"/>
                      <w:szCs w:val="21"/>
                      <w:lang w:val="en-US" w:eastAsia="zh-CN"/>
                      <w14:textFill>
                        <w14:solidFill>
                          <w14:schemeClr w14:val="tx1"/>
                        </w14:solidFill>
                      </w14:textFill>
                    </w:rPr>
                    <w:t>器</w:t>
                  </w:r>
                </w:p>
              </w:tc>
              <w:tc>
                <w:tcPr>
                  <w:tcW w:w="1151"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CS-150</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w:t>
                  </w:r>
                </w:p>
              </w:tc>
              <w:tc>
                <w:tcPr>
                  <w:tcW w:w="100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液压挖掘机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PC240LC-8</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渣浆泵</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50KZD-80</w:t>
                  </w:r>
                </w:p>
              </w:tc>
              <w:tc>
                <w:tcPr>
                  <w:tcW w:w="572"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台</w:t>
                  </w:r>
                </w:p>
              </w:tc>
              <w:tc>
                <w:tcPr>
                  <w:tcW w:w="67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二、运输设备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皮卡</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长城风骏5</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2</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水车</w:t>
                  </w:r>
                </w:p>
              </w:tc>
              <w:tc>
                <w:tcPr>
                  <w:tcW w:w="1151"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东风</w:t>
                  </w:r>
                </w:p>
              </w:tc>
              <w:tc>
                <w:tcPr>
                  <w:tcW w:w="572" w:type="pct"/>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辆</w:t>
                  </w:r>
                </w:p>
              </w:tc>
              <w:tc>
                <w:tcPr>
                  <w:tcW w:w="677" w:type="pct"/>
                  <w:vAlign w:val="center"/>
                </w:tcPr>
                <w:p>
                  <w:pPr>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08"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装载机</w:t>
                  </w:r>
                </w:p>
              </w:tc>
              <w:tc>
                <w:tcPr>
                  <w:tcW w:w="1151" w:type="pct"/>
                  <w:vAlign w:val="center"/>
                </w:tcPr>
                <w:p>
                  <w:pPr>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厦工50—</w:t>
                  </w:r>
                  <w:r>
                    <w:rPr>
                      <w:rFonts w:hint="eastAsia"/>
                      <w:color w:val="000000" w:themeColor="text1"/>
                      <w:szCs w:val="21"/>
                      <w:lang w:val="en-US" w:eastAsia="zh-CN"/>
                      <w14:textFill>
                        <w14:solidFill>
                          <w14:schemeClr w14:val="tx1"/>
                        </w14:solidFill>
                      </w14:textFill>
                    </w:rPr>
                    <w:fldChar w:fldCharType="begin"/>
                  </w:r>
                  <w:r>
                    <w:rPr>
                      <w:rFonts w:hint="eastAsia"/>
                      <w:color w:val="000000" w:themeColor="text1"/>
                      <w:szCs w:val="21"/>
                      <w:lang w:val="en-US" w:eastAsia="zh-CN"/>
                      <w14:textFill>
                        <w14:solidFill>
                          <w14:schemeClr w14:val="tx1"/>
                        </w14:solidFill>
                      </w14:textFill>
                    </w:rPr>
                    <w:instrText xml:space="preserve"> = 2 \* ROMAN </w:instrText>
                  </w:r>
                  <w:r>
                    <w:rPr>
                      <w:rFonts w:hint="eastAsia"/>
                      <w:color w:val="000000" w:themeColor="text1"/>
                      <w:szCs w:val="21"/>
                      <w:lang w:val="en-US" w:eastAsia="zh-CN"/>
                      <w14:textFill>
                        <w14:solidFill>
                          <w14:schemeClr w14:val="tx1"/>
                        </w14:solidFill>
                      </w14:textFill>
                    </w:rPr>
                    <w:fldChar w:fldCharType="separate"/>
                  </w:r>
                  <w:r>
                    <w:rPr>
                      <w:rFonts w:hint="eastAsia"/>
                      <w:color w:val="000000" w:themeColor="text1"/>
                      <w:szCs w:val="21"/>
                      <w:lang w:val="en-US" w:eastAsia="zh-CN"/>
                      <w14:textFill>
                        <w14:solidFill>
                          <w14:schemeClr w14:val="tx1"/>
                        </w14:solidFill>
                      </w14:textFill>
                    </w:rPr>
                    <w:t>II</w:t>
                  </w:r>
                  <w:r>
                    <w:rPr>
                      <w:rFonts w:hint="eastAsia"/>
                      <w:color w:val="000000" w:themeColor="text1"/>
                      <w:szCs w:val="21"/>
                      <w:lang w:val="en-US" w:eastAsia="zh-CN"/>
                      <w14:textFill>
                        <w14:solidFill>
                          <w14:schemeClr w14:val="tx1"/>
                        </w14:solidFill>
                      </w14:textFill>
                    </w:rPr>
                    <w:fldChar w:fldCharType="end"/>
                  </w:r>
                  <w:r>
                    <w:rPr>
                      <w:rFonts w:hint="eastAsia"/>
                      <w:color w:val="000000" w:themeColor="text1"/>
                      <w:szCs w:val="21"/>
                      <w:lang w:val="en-US" w:eastAsia="zh-CN"/>
                      <w14:textFill>
                        <w14:solidFill>
                          <w14:schemeClr w14:val="tx1"/>
                        </w14:solidFill>
                      </w14:textFill>
                    </w:rPr>
                    <w:t>956</w:t>
                  </w:r>
                </w:p>
              </w:tc>
              <w:tc>
                <w:tcPr>
                  <w:tcW w:w="1112" w:type="dxa"/>
                  <w:vAlign w:val="center"/>
                </w:tcPr>
                <w:p>
                  <w:pPr>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辆</w:t>
                  </w:r>
                </w:p>
              </w:tc>
              <w:tc>
                <w:tcPr>
                  <w:tcW w:w="1316" w:type="dxa"/>
                  <w:vAlign w:val="center"/>
                </w:tcPr>
                <w:p>
                  <w:pPr>
                    <w:jc w:val="center"/>
                    <w:rPr>
                      <w:rFonts w:hint="eastAsia" w:eastAsia="宋体"/>
                      <w:color w:val="000000" w:themeColor="text1"/>
                      <w:szCs w:val="21"/>
                      <w:lang w:eastAsia="zh-CN"/>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w:t>
                  </w:r>
                </w:p>
              </w:tc>
              <w:tc>
                <w:tcPr>
                  <w:tcW w:w="1008"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测井车</w:t>
                  </w:r>
                </w:p>
              </w:tc>
              <w:tc>
                <w:tcPr>
                  <w:tcW w:w="1151"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辆</w:t>
                  </w:r>
                </w:p>
              </w:tc>
              <w:tc>
                <w:tcPr>
                  <w:tcW w:w="677" w:type="pc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00" w:type="pct"/>
                  <w:gridSpan w:val="6"/>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三、动力设备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008"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发电机</w:t>
                  </w:r>
                </w:p>
              </w:tc>
              <w:tc>
                <w:tcPr>
                  <w:tcW w:w="115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lang w:val="en-US" w:eastAsia="zh-CN"/>
                      <w14:textFill>
                        <w14:solidFill>
                          <w14:schemeClr w14:val="tx1"/>
                        </w14:solidFill>
                      </w14:textFill>
                    </w:rPr>
                    <w:t>8</w:t>
                  </w:r>
                  <w:r>
                    <w:rPr>
                      <w:color w:val="000000" w:themeColor="text1"/>
                      <w:szCs w:val="21"/>
                      <w14:textFill>
                        <w14:solidFill>
                          <w14:schemeClr w14:val="tx1"/>
                        </w14:solidFill>
                      </w14:textFill>
                    </w:rPr>
                    <w:t>0</w:t>
                  </w:r>
                  <w:r>
                    <w:rPr>
                      <w:rFonts w:hint="eastAsia"/>
                      <w:color w:val="000000" w:themeColor="text1"/>
                      <w:szCs w:val="21"/>
                      <w:lang w:val="en-US" w:eastAsia="zh-CN"/>
                      <w14:textFill>
                        <w14:solidFill>
                          <w14:schemeClr w14:val="tx1"/>
                        </w14:solidFill>
                      </w14:textFill>
                    </w:rPr>
                    <w:t>kW</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0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1008"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配电柜</w:t>
                  </w:r>
                </w:p>
              </w:tc>
              <w:tc>
                <w:tcPr>
                  <w:tcW w:w="1151"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LSCP—86</w:t>
                  </w:r>
                </w:p>
              </w:tc>
              <w:tc>
                <w:tcPr>
                  <w:tcW w:w="572"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台</w:t>
                  </w:r>
                </w:p>
              </w:tc>
              <w:tc>
                <w:tcPr>
                  <w:tcW w:w="677"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w:t>
                  </w:r>
                </w:p>
              </w:tc>
              <w:tc>
                <w:tcPr>
                  <w:tcW w:w="1088" w:type="pct"/>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r>
          </w:tbl>
          <w:p>
            <w:pPr>
              <w:numPr>
                <w:ilvl w:val="0"/>
                <w:numId w:val="0"/>
              </w:numPr>
              <w:spacing w:line="360" w:lineRule="auto"/>
              <w:rPr>
                <w:rFonts w:hint="default"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7、公用工程</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7</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1供电</w:t>
            </w:r>
          </w:p>
          <w:p>
            <w:pPr>
              <w:spacing w:line="360" w:lineRule="auto"/>
              <w:ind w:firstLine="480" w:firstLineChars="200"/>
              <w:rPr>
                <w:rFonts w:hint="eastAsia" w:eastAsia="宋体"/>
                <w:b/>
                <w:bCs/>
                <w:color w:val="000000" w:themeColor="text1"/>
                <w:sz w:val="24"/>
                <w:lang w:val="en-US" w:eastAsia="zh-CN"/>
                <w14:textFill>
                  <w14:solidFill>
                    <w14:schemeClr w14:val="tx1"/>
                  </w14:solidFill>
                </w14:textFill>
              </w:rPr>
            </w:pPr>
            <w:r>
              <w:rPr>
                <w:rFonts w:hint="eastAsia"/>
                <w:color w:val="000000" w:themeColor="text1"/>
                <w:sz w:val="24"/>
                <w:lang w:val="en-GB"/>
                <w14:textFill>
                  <w14:solidFill>
                    <w14:schemeClr w14:val="tx1"/>
                  </w14:solidFill>
                </w14:textFill>
              </w:rPr>
              <w:t>施工作业由自备柴油发电机供电</w:t>
            </w:r>
            <w:r>
              <w:rPr>
                <w:rFonts w:hint="eastAsia"/>
                <w:color w:val="000000" w:themeColor="text1"/>
                <w:sz w:val="24"/>
                <w:lang w:val="en-GB" w:eastAsia="zh-CN"/>
                <w14:textFill>
                  <w14:solidFill>
                    <w14:schemeClr w14:val="tx1"/>
                  </w14:solidFill>
                </w14:textFill>
              </w:rPr>
              <w:t>。</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7</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2给、排水</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lang w:val="en-US" w:eastAsia="zh-CN"/>
                <w14:textFill>
                  <w14:solidFill>
                    <w14:schemeClr w14:val="tx1"/>
                  </w14:solidFill>
                </w14:textFill>
              </w:rPr>
              <w:t>附近</w:t>
            </w:r>
            <w:r>
              <w:rPr>
                <w:rFonts w:hint="eastAsia"/>
                <w:color w:val="000000" w:themeColor="text1"/>
                <w:sz w:val="24"/>
                <w:lang w:val="en-GB"/>
                <w14:textFill>
                  <w14:solidFill>
                    <w14:schemeClr w14:val="tx1"/>
                  </w14:solidFill>
                </w14:textFill>
              </w:rPr>
              <w:t>村庄，钻探</w:t>
            </w:r>
            <w:r>
              <w:rPr>
                <w:rFonts w:hint="eastAsia"/>
                <w:color w:val="000000" w:themeColor="text1"/>
                <w:sz w:val="24"/>
                <w:lang w:val="en-GB" w:eastAsia="zh-CN"/>
                <w14:textFill>
                  <w14:solidFill>
                    <w14:schemeClr w14:val="tx1"/>
                  </w14:solidFill>
                </w14:textFill>
              </w:rPr>
              <w:t>勘查区</w:t>
            </w:r>
            <w:r>
              <w:rPr>
                <w:rFonts w:hint="eastAsia"/>
                <w:color w:val="000000" w:themeColor="text1"/>
                <w:sz w:val="24"/>
                <w:lang w:val="en-GB"/>
                <w14:textFill>
                  <w14:solidFill>
                    <w14:schemeClr w14:val="tx1"/>
                  </w14:solidFill>
                </w14:textFill>
              </w:rPr>
              <w:t>施工及生活用水采用水车从附近村庄拉运。</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rPr>
                <w:rFonts w:ascii="Times New Roman" w:hAnsi="Times New Roman" w:cs="Times New Roman"/>
                <w:b/>
                <w:color w:val="000000" w:themeColor="text1"/>
                <w:sz w:val="24"/>
                <w:lang w:eastAsia="zh-CN"/>
                <w14:textFill>
                  <w14:solidFill>
                    <w14:schemeClr w14:val="tx1"/>
                  </w14:solidFill>
                </w14:textFill>
              </w:rPr>
            </w:pPr>
            <w:r>
              <w:rPr>
                <w:rFonts w:hint="eastAsia" w:ascii="Times New Roman" w:hAnsi="Times New Roman" w:cs="Times New Roman"/>
                <w:b/>
                <w:color w:val="000000" w:themeColor="text1"/>
                <w:sz w:val="24"/>
                <w:lang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.3</w:t>
            </w:r>
            <w:r>
              <w:rPr>
                <w:rFonts w:ascii="Times New Roman" w:cs="Times New Roman"/>
                <w:b/>
                <w:color w:val="000000" w:themeColor="text1"/>
                <w:sz w:val="24"/>
                <w:lang w:eastAsia="zh-CN"/>
                <w14:textFill>
                  <w14:solidFill>
                    <w14:schemeClr w14:val="tx1"/>
                  </w14:solidFill>
                </w14:textFill>
              </w:rPr>
              <w:t>采暖</w:t>
            </w:r>
          </w:p>
          <w:p>
            <w:pPr>
              <w:spacing w:line="360" w:lineRule="auto"/>
              <w:ind w:firstLine="480" w:firstLineChars="200"/>
              <w:rPr>
                <w:rFonts w:ascii="Times New Roman" w:cs="Times New Roman"/>
                <w:color w:val="000000" w:themeColor="text1"/>
                <w:sz w:val="24"/>
                <w:lang w:eastAsia="zh-CN"/>
                <w14:textFill>
                  <w14:solidFill>
                    <w14:schemeClr w14:val="tx1"/>
                  </w14:solidFill>
                </w14:textFill>
              </w:rPr>
            </w:pPr>
            <w:r>
              <w:rPr>
                <w:rFonts w:ascii="Times New Roman" w:cs="Times New Roman"/>
                <w:color w:val="000000" w:themeColor="text1"/>
                <w:sz w:val="24"/>
                <w:lang w:eastAsia="zh-CN"/>
                <w14:textFill>
                  <w14:solidFill>
                    <w14:schemeClr w14:val="tx1"/>
                  </w14:solidFill>
                </w14:textFill>
              </w:rPr>
              <w:t>施工营地、项目部均采用电暖气采暖。</w:t>
            </w:r>
          </w:p>
          <w:p>
            <w:pPr>
              <w:spacing w:line="360" w:lineRule="auto"/>
              <w:rPr>
                <w:rFonts w:ascii="Times New Roman" w:hAnsi="Times New Roman" w:cs="Times New Roman"/>
                <w:b/>
                <w:color w:val="000000" w:themeColor="text1"/>
                <w:sz w:val="24"/>
                <w:lang w:eastAsia="zh-CN"/>
                <w14:textFill>
                  <w14:solidFill>
                    <w14:schemeClr w14:val="tx1"/>
                  </w14:solidFill>
                </w14:textFill>
              </w:rPr>
            </w:pPr>
            <w:r>
              <w:rPr>
                <w:rFonts w:hint="eastAsia" w:ascii="Times New Roman" w:hAnsi="Times New Roman" w:cs="Times New Roman"/>
                <w:b/>
                <w:color w:val="000000" w:themeColor="text1"/>
                <w:sz w:val="24"/>
                <w:lang w:eastAsia="zh-CN"/>
                <w14:textFill>
                  <w14:solidFill>
                    <w14:schemeClr w14:val="tx1"/>
                  </w14:solidFill>
                </w14:textFill>
              </w:rPr>
              <w:t>7</w:t>
            </w:r>
            <w:r>
              <w:rPr>
                <w:rFonts w:ascii="Times New Roman" w:hAnsi="Times New Roman" w:cs="Times New Roman"/>
                <w:b/>
                <w:color w:val="000000" w:themeColor="text1"/>
                <w:sz w:val="24"/>
                <w:lang w:eastAsia="zh-CN"/>
                <w14:textFill>
                  <w14:solidFill>
                    <w14:schemeClr w14:val="tx1"/>
                  </w14:solidFill>
                </w14:textFill>
              </w:rPr>
              <w:t>.</w:t>
            </w:r>
            <w:r>
              <w:rPr>
                <w:rFonts w:hint="eastAsia" w:ascii="Times New Roman" w:hAnsi="Times New Roman" w:cs="Times New Roman"/>
                <w:b/>
                <w:color w:val="000000" w:themeColor="text1"/>
                <w:sz w:val="24"/>
                <w:lang w:eastAsia="zh-CN"/>
                <w14:textFill>
                  <w14:solidFill>
                    <w14:schemeClr w14:val="tx1"/>
                  </w14:solidFill>
                </w14:textFill>
              </w:rPr>
              <w:t>4</w:t>
            </w:r>
            <w:r>
              <w:rPr>
                <w:rFonts w:hint="eastAsia" w:ascii="Times New Roman" w:cs="Times New Roman"/>
                <w:b/>
                <w:color w:val="000000" w:themeColor="text1"/>
                <w:sz w:val="24"/>
                <w:lang w:eastAsia="zh-CN"/>
                <w14:textFill>
                  <w14:solidFill>
                    <w14:schemeClr w14:val="tx1"/>
                  </w14:solidFill>
                </w14:textFill>
              </w:rPr>
              <w:t>施工便道</w:t>
            </w:r>
          </w:p>
          <w:p>
            <w:pPr>
              <w:widowControl/>
              <w:autoSpaceDE/>
              <w:autoSpaceDN/>
              <w:spacing w:line="360" w:lineRule="auto"/>
              <w:ind w:firstLine="480" w:firstLineChars="200"/>
              <w:jc w:val="both"/>
              <w:rPr>
                <w:color w:val="000000" w:themeColor="text1"/>
                <w:sz w:val="24"/>
                <w:szCs w:val="24"/>
                <w:lang w:eastAsia="zh-CN"/>
                <w14:textFill>
                  <w14:solidFill>
                    <w14:schemeClr w14:val="tx1"/>
                  </w14:solidFill>
                </w14:textFill>
              </w:rPr>
            </w:pPr>
            <w:r>
              <w:rPr>
                <w:rFonts w:hint="eastAsia"/>
                <w:color w:val="000000" w:themeColor="text1"/>
                <w:sz w:val="24"/>
                <w:lang w:val="zh-CN" w:eastAsia="zh-CN"/>
                <w14:textFill>
                  <w14:solidFill>
                    <w14:schemeClr w14:val="tx1"/>
                  </w14:solidFill>
                </w14:textFill>
              </w:rPr>
              <w:t>充分利用当地现有公路、村道、居民区通道及农耕道等，</w:t>
            </w:r>
            <w:r>
              <w:rPr>
                <w:rFonts w:hint="eastAsia"/>
                <w:color w:val="000000" w:themeColor="text1"/>
                <w:sz w:val="24"/>
                <w:szCs w:val="24"/>
                <w:lang w:eastAsia="zh-CN"/>
                <w14:textFill>
                  <w14:solidFill>
                    <w14:schemeClr w14:val="tx1"/>
                  </w14:solidFill>
                </w14:textFill>
              </w:rPr>
              <w:t>勘查区钻探设备及车辆基本可直接可抵达，无需修建施工便道。</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8、劳动定员与工作制度</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（1）劳动定员</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本次勘查工作</w:t>
            </w:r>
            <w:r>
              <w:rPr>
                <w:rFonts w:hint="eastAsia"/>
                <w:color w:val="000000" w:themeColor="text1"/>
                <w:sz w:val="24"/>
                <w:szCs w:val="24"/>
                <w:lang w:eastAsia="zh-CN"/>
                <w14:textFill>
                  <w14:solidFill>
                    <w14:schemeClr w14:val="tx1"/>
                  </w14:solidFill>
                </w14:textFill>
              </w:rPr>
              <w:t>劳动定员</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80</w:t>
            </w:r>
            <w:r>
              <w:rPr>
                <w:rFonts w:hint="eastAsia"/>
                <w:color w:val="000000" w:themeColor="text1"/>
                <w:sz w:val="24"/>
                <w:lang w:eastAsia="zh-CN"/>
                <w14:textFill>
                  <w14:solidFill>
                    <w14:schemeClr w14:val="tx1"/>
                  </w14:solidFill>
                </w14:textFill>
              </w:rPr>
              <w:t>人。</w:t>
            </w:r>
          </w:p>
          <w:p>
            <w:pPr>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（2）工作制度</w:t>
            </w:r>
          </w:p>
          <w:p>
            <w:pPr>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工作制度为三班制，</w:t>
            </w:r>
            <w:r>
              <w:rPr>
                <w:rFonts w:hint="eastAsia"/>
                <w:color w:val="000000" w:themeColor="text1"/>
                <w:sz w:val="24"/>
                <w:szCs w:val="28"/>
                <w:lang w:eastAsia="zh-CN"/>
                <w14:textFill>
                  <w14:solidFill>
                    <w14:schemeClr w14:val="tx1"/>
                  </w14:solidFill>
                </w14:textFill>
              </w:rPr>
              <w:t>每班8h，年工作天数200天</w:t>
            </w:r>
            <w:r>
              <w:rPr>
                <w:rFonts w:hint="eastAsia"/>
                <w:color w:val="000000" w:themeColor="text1"/>
                <w:sz w:val="24"/>
                <w:lang w:eastAsia="zh-CN"/>
                <w14:textFill>
                  <w14:solidFill>
                    <w14:schemeClr w14:val="tx1"/>
                  </w14:solidFill>
                </w14:textFill>
              </w:rPr>
              <w:t>。</w:t>
            </w:r>
          </w:p>
          <w:p>
            <w:pPr>
              <w:spacing w:line="360" w:lineRule="auto"/>
              <w:rPr>
                <w:rFonts w:hint="default"/>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9、项目组成</w:t>
            </w:r>
          </w:p>
          <w:p>
            <w:pPr>
              <w:spacing w:line="360" w:lineRule="auto"/>
              <w:ind w:firstLine="480" w:firstLineChars="200"/>
              <w:rPr>
                <w:rFonts w:hint="eastAsia" w:hAnsi="宋体"/>
                <w:color w:val="000000" w:themeColor="text1"/>
                <w:sz w:val="24"/>
                <w:lang w:val="sq-AL"/>
                <w14:textFill>
                  <w14:solidFill>
                    <w14:schemeClr w14:val="tx1"/>
                  </w14:solidFill>
                </w14:textFill>
              </w:rPr>
            </w:pPr>
            <w:r>
              <w:rPr>
                <w:rFonts w:hint="eastAsia" w:hAnsi="宋体"/>
                <w:color w:val="000000" w:themeColor="text1"/>
                <w:sz w:val="24"/>
                <w:lang w:val="sq-AL"/>
                <w14:textFill>
                  <w14:solidFill>
                    <w14:schemeClr w14:val="tx1"/>
                  </w14:solidFill>
                </w14:textFill>
              </w:rPr>
              <w:t>本项目主要建设内容见表</w:t>
            </w:r>
            <w:r>
              <w:rPr>
                <w:rFonts w:hint="eastAsia" w:hAnsi="宋体"/>
                <w:color w:val="000000" w:themeColor="text1"/>
                <w:sz w:val="24"/>
                <w:lang w:val="en-US" w:eastAsia="zh-CN"/>
                <w14:textFill>
                  <w14:solidFill>
                    <w14:schemeClr w14:val="tx1"/>
                  </w14:solidFill>
                </w14:textFill>
              </w:rPr>
              <w:t>1</w:t>
            </w:r>
            <w:r>
              <w:rPr>
                <w:rFonts w:hAnsi="宋体"/>
                <w:color w:val="000000" w:themeColor="text1"/>
                <w:sz w:val="24"/>
                <w:lang w:val="sq-AL"/>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20</w:t>
            </w:r>
            <w:r>
              <w:rPr>
                <w:rFonts w:hint="eastAsia" w:hAnsi="宋体"/>
                <w:color w:val="000000" w:themeColor="text1"/>
                <w:sz w:val="24"/>
                <w:lang w:val="sq-AL"/>
                <w14:textFill>
                  <w14:solidFill>
                    <w14:schemeClr w14:val="tx1"/>
                  </w14:solidFill>
                </w14:textFill>
              </w:rPr>
              <w:t>。</w:t>
            </w:r>
          </w:p>
          <w:p>
            <w:pPr>
              <w:spacing w:line="240" w:lineRule="auto"/>
              <w:jc w:val="center"/>
              <w:rPr>
                <w:rFonts w:hint="eastAsia" w:hAnsi="宋体"/>
                <w:color w:val="000000" w:themeColor="text1"/>
                <w:sz w:val="24"/>
                <w:lang w:val="en-US" w:eastAsia="zh-CN"/>
                <w14:textFill>
                  <w14:solidFill>
                    <w14:schemeClr w14:val="tx1"/>
                  </w14:solidFill>
                </w14:textFill>
              </w:rPr>
            </w:pPr>
            <w:r>
              <w:rPr>
                <w:rFonts w:hint="eastAsia" w:hAnsi="宋体"/>
                <w:color w:val="000000" w:themeColor="text1"/>
                <w:sz w:val="24"/>
                <w:lang w:val="en-US" w:eastAsia="zh-CN"/>
                <w14:textFill>
                  <w14:solidFill>
                    <w14:schemeClr w14:val="tx1"/>
                  </w14:solidFill>
                </w14:textFill>
              </w:rPr>
              <w:t>表1-20  项目组成一览表</w:t>
            </w:r>
          </w:p>
          <w:tbl>
            <w:tblPr>
              <w:tblStyle w:val="14"/>
              <w:tblW w:w="4995"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101"/>
              <w:gridCol w:w="1693"/>
              <w:gridCol w:w="691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工程名称</w:t>
                  </w:r>
                </w:p>
              </w:tc>
              <w:tc>
                <w:tcPr>
                  <w:tcW w:w="3560"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工程内容及规模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612"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主体</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钻探工程</w:t>
                  </w:r>
                </w:p>
              </w:tc>
              <w:tc>
                <w:tcPr>
                  <w:tcW w:w="3560" w:type="pct"/>
                  <w:tcBorders>
                    <w:tl2br w:val="nil"/>
                    <w:tr2bl w:val="nil"/>
                  </w:tcBorders>
                  <w:vAlign w:val="center"/>
                </w:tcPr>
                <w:p>
                  <w:pPr>
                    <w:adjustRightInd w:val="0"/>
                    <w:snapToGrid w:val="0"/>
                    <w:rPr>
                      <w:rFonts w:hint="eastAsia"/>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lang w:val="en-US" w:eastAsia="zh-CN"/>
                      <w14:textFill>
                        <w14:solidFill>
                          <w14:schemeClr w14:val="tx1"/>
                        </w14:solidFill>
                      </w14:textFill>
                    </w:rPr>
                    <w:t>2</w:t>
                  </w:r>
                  <w:r>
                    <w:rPr>
                      <w:color w:val="000000" w:themeColor="text1"/>
                      <w:szCs w:val="21"/>
                      <w14:textFill>
                        <w14:solidFill>
                          <w14:schemeClr w14:val="tx1"/>
                        </w14:solidFill>
                      </w14:textFill>
                    </w:rPr>
                    <w:t>年钻探工程量</w:t>
                  </w:r>
                  <w:r>
                    <w:rPr>
                      <w:rFonts w:hint="eastAsia"/>
                      <w:color w:val="000000" w:themeColor="text1"/>
                      <w:szCs w:val="21"/>
                      <w:lang w:val="en-US" w:eastAsia="zh-CN"/>
                      <w14:textFill>
                        <w14:solidFill>
                          <w14:schemeClr w14:val="tx1"/>
                        </w14:solidFill>
                      </w14:textFill>
                    </w:rPr>
                    <w:t>35</w:t>
                  </w:r>
                  <w:r>
                    <w:rPr>
                      <w:color w:val="000000" w:themeColor="text1"/>
                      <w:szCs w:val="21"/>
                      <w14:textFill>
                        <w14:solidFill>
                          <w14:schemeClr w14:val="tx1"/>
                        </w14:solidFill>
                      </w14:textFill>
                    </w:rPr>
                    <w:t>000m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拟布设钻孔</w:t>
                  </w:r>
                  <w:r>
                    <w:rPr>
                      <w:rFonts w:hint="eastAsia"/>
                      <w:color w:val="000000" w:themeColor="text1"/>
                      <w:szCs w:val="21"/>
                      <w:lang w:val="en-US" w:eastAsia="zh-CN"/>
                      <w14:textFill>
                        <w14:solidFill>
                          <w14:schemeClr w14:val="tx1"/>
                        </w14:solidFill>
                      </w14:textFill>
                    </w:rPr>
                    <w:t>58</w:t>
                  </w:r>
                  <w:r>
                    <w:rPr>
                      <w:rFonts w:hint="eastAsia"/>
                      <w:color w:val="000000" w:themeColor="text1"/>
                      <w:szCs w:val="21"/>
                      <w14:textFill>
                        <w14:solidFill>
                          <w14:schemeClr w14:val="tx1"/>
                        </w14:solidFill>
                      </w14:textFill>
                    </w:rPr>
                    <w:t>个</w:t>
                  </w:r>
                  <w:r>
                    <w:rPr>
                      <w:rFonts w:hint="eastAsia"/>
                      <w:color w:val="000000" w:themeColor="text1"/>
                      <w:szCs w:val="21"/>
                      <w:lang w:eastAsia="zh-CN"/>
                      <w14:textFill>
                        <w14:solidFill>
                          <w14:schemeClr w14:val="tx1"/>
                        </w14:solidFill>
                      </w14:textFill>
                    </w:rPr>
                    <w:t>；</w:t>
                  </w:r>
                </w:p>
                <w:p>
                  <w:pPr>
                    <w:adjustRightInd w:val="0"/>
                    <w:snapToGrid w:val="0"/>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202</w:t>
                  </w:r>
                  <w:r>
                    <w:rPr>
                      <w:rFonts w:hint="eastAsia"/>
                      <w:color w:val="000000" w:themeColor="text1"/>
                      <w:szCs w:val="21"/>
                      <w:lang w:val="en-US" w:eastAsia="zh-CN"/>
                      <w14:textFill>
                        <w14:solidFill>
                          <w14:schemeClr w14:val="tx1"/>
                        </w14:solidFill>
                      </w14:textFill>
                    </w:rPr>
                    <w:t>3-2026</w:t>
                  </w:r>
                  <w:r>
                    <w:rPr>
                      <w:color w:val="000000" w:themeColor="text1"/>
                      <w:szCs w:val="21"/>
                      <w14:textFill>
                        <w14:solidFill>
                          <w14:schemeClr w14:val="tx1"/>
                        </w14:solidFill>
                      </w14:textFill>
                    </w:rPr>
                    <w:t>年</w:t>
                  </w:r>
                  <w:r>
                    <w:rPr>
                      <w:rFonts w:hint="eastAsia"/>
                      <w:color w:val="000000" w:themeColor="text1"/>
                      <w:szCs w:val="21"/>
                      <w:lang w:val="en-US" w:eastAsia="zh-CN"/>
                      <w14:textFill>
                        <w14:solidFill>
                          <w14:schemeClr w14:val="tx1"/>
                        </w14:solidFill>
                      </w14:textFill>
                    </w:rPr>
                    <w:t>预估</w:t>
                  </w:r>
                  <w:r>
                    <w:rPr>
                      <w:color w:val="000000" w:themeColor="text1"/>
                      <w:szCs w:val="21"/>
                      <w14:textFill>
                        <w14:solidFill>
                          <w14:schemeClr w14:val="tx1"/>
                        </w14:solidFill>
                      </w14:textFill>
                    </w:rPr>
                    <w:t>钻探工程量</w:t>
                  </w:r>
                  <w:r>
                    <w:rPr>
                      <w:rFonts w:hint="eastAsia"/>
                      <w:color w:val="000000" w:themeColor="text1"/>
                      <w:szCs w:val="21"/>
                      <w:lang w:val="en-US" w:eastAsia="zh-CN"/>
                      <w14:textFill>
                        <w14:solidFill>
                          <w14:schemeClr w14:val="tx1"/>
                        </w14:solidFill>
                      </w14:textFill>
                    </w:rPr>
                    <w:t>1400</w:t>
                  </w:r>
                  <w:r>
                    <w:rPr>
                      <w:color w:val="000000" w:themeColor="text1"/>
                      <w:szCs w:val="21"/>
                      <w14:textFill>
                        <w14:solidFill>
                          <w14:schemeClr w14:val="tx1"/>
                        </w14:solidFill>
                      </w14:textFill>
                    </w:rPr>
                    <w:t>00m</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拟布设钻孔</w:t>
                  </w:r>
                  <w:r>
                    <w:rPr>
                      <w:rFonts w:hint="eastAsia"/>
                      <w:color w:val="000000" w:themeColor="text1"/>
                      <w:szCs w:val="21"/>
                      <w:lang w:val="en-US" w:eastAsia="zh-CN"/>
                      <w14:textFill>
                        <w14:solidFill>
                          <w14:schemeClr w14:val="tx1"/>
                        </w14:solidFill>
                      </w14:textFill>
                    </w:rPr>
                    <w:t>240</w:t>
                  </w:r>
                  <w:r>
                    <w:rPr>
                      <w:rFonts w:hint="eastAsia"/>
                      <w:color w:val="000000" w:themeColor="text1"/>
                      <w:szCs w:val="21"/>
                      <w14:textFill>
                        <w14:solidFill>
                          <w14:schemeClr w14:val="tx1"/>
                        </w14:solidFill>
                      </w14:textFill>
                    </w:rPr>
                    <w:t>个</w:t>
                  </w:r>
                  <w:r>
                    <w:rPr>
                      <w:rFonts w:hint="eastAsia"/>
                      <w:color w:val="000000" w:themeColor="text1"/>
                      <w:szCs w:val="21"/>
                      <w:lang w:eastAsia="zh-CN"/>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样品采集及化验</w:t>
                  </w:r>
                </w:p>
              </w:tc>
              <w:tc>
                <w:tcPr>
                  <w:tcW w:w="3560" w:type="pct"/>
                  <w:tcBorders>
                    <w:tl2br w:val="nil"/>
                    <w:tr2bl w:val="nil"/>
                  </w:tcBorders>
                  <w:vAlign w:val="center"/>
                </w:tcPr>
                <w:p>
                  <w:pPr>
                    <w:contextualSpacing/>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岩矿芯样品、岩矿鉴定标本制作光、薄片样</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辅助</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钻井井场</w:t>
                  </w:r>
                </w:p>
              </w:tc>
              <w:tc>
                <w:tcPr>
                  <w:tcW w:w="3560" w:type="pct"/>
                  <w:tcBorders>
                    <w:tl2br w:val="nil"/>
                    <w:tr2bl w:val="nil"/>
                  </w:tcBorders>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井场布置钻井、泥浆机、钻具区、发电机、生活帐篷、油料储存区等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adjustRightInd w:val="0"/>
                    <w:snapToGrid w:val="0"/>
                    <w:jc w:val="center"/>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w:t>
                  </w:r>
                </w:p>
              </w:tc>
              <w:tc>
                <w:tcPr>
                  <w:tcW w:w="3560" w:type="pct"/>
                  <w:tcBorders>
                    <w:tl2br w:val="nil"/>
                    <w:tr2bl w:val="nil"/>
                  </w:tcBorders>
                  <w:vAlign w:val="center"/>
                </w:tcPr>
                <w:p>
                  <w:pPr>
                    <w:widowControl/>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在每个勘查区块设一个项目部，主要租用附近村庄居民房屋</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公用</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供水</w:t>
                  </w:r>
                </w:p>
              </w:tc>
              <w:tc>
                <w:tcPr>
                  <w:tcW w:w="3560"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项目部生活用水依托所在村庄，钻探</w:t>
                  </w: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施工及生活用水采用水车从附近村庄拉运</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供电</w:t>
                  </w:r>
                </w:p>
              </w:tc>
              <w:tc>
                <w:tcPr>
                  <w:tcW w:w="3560"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施工作业由自备柴油发电机供电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施工便道</w:t>
                  </w:r>
                </w:p>
              </w:tc>
              <w:tc>
                <w:tcPr>
                  <w:tcW w:w="3560"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rFonts w:hint="eastAsia"/>
                      <w:color w:val="000000" w:themeColor="text1"/>
                      <w:szCs w:val="21"/>
                      <w:lang w:val="zh-CN" w:eastAsia="zh-CN"/>
                      <w14:textFill>
                        <w14:solidFill>
                          <w14:schemeClr w14:val="tx1"/>
                        </w14:solidFill>
                      </w14:textFill>
                    </w:rPr>
                    <w:t>充分利用当地现有公路、村道、居民区通道及农耕道等，</w:t>
                  </w:r>
                  <w:r>
                    <w:rPr>
                      <w:rFonts w:hint="eastAsia"/>
                      <w:color w:val="000000" w:themeColor="text1"/>
                      <w:szCs w:val="21"/>
                      <w:lang w:eastAsia="zh-CN"/>
                      <w14:textFill>
                        <w14:solidFill>
                          <w14:schemeClr w14:val="tx1"/>
                        </w14:solidFill>
                      </w14:textFill>
                    </w:rPr>
                    <w:t>勘查区钻探设备及车辆基本可直接可抵达，无需修建施工便道</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restar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环保</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工程</w:t>
                  </w: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3560"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施工扬尘采用洒水抑尘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废水</w:t>
                  </w:r>
                </w:p>
              </w:tc>
              <w:tc>
                <w:tcPr>
                  <w:tcW w:w="3560"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项目部依托村庄现有旱厕收集生活粪便，生活洗漱污水用于抑尘；钻探施工区生活区设</w:t>
                  </w:r>
                  <w:r>
                    <w:rPr>
                      <w:rFonts w:hint="eastAsia"/>
                      <w:color w:val="000000" w:themeColor="text1"/>
                      <w:szCs w:val="21"/>
                      <w14:textFill>
                        <w14:solidFill>
                          <w14:schemeClr w14:val="tx1"/>
                        </w14:solidFill>
                      </w14:textFill>
                    </w:rPr>
                    <w:t>旱厕</w:t>
                  </w:r>
                  <w:r>
                    <w:rPr>
                      <w:color w:val="000000" w:themeColor="text1"/>
                      <w:szCs w:val="21"/>
                      <w14:textFill>
                        <w14:solidFill>
                          <w14:schemeClr w14:val="tx1"/>
                        </w14:solidFill>
                      </w14:textFill>
                    </w:rPr>
                    <w:t>，生活洗漱污水用于抑尘</w:t>
                  </w:r>
                  <w:r>
                    <w:rPr>
                      <w:rFonts w:hint="eastAsia"/>
                      <w:color w:val="000000" w:themeColor="text1"/>
                      <w:szCs w:val="21"/>
                      <w14:textFill>
                        <w14:solidFill>
                          <w14:schemeClr w14:val="tx1"/>
                        </w14:solidFill>
                      </w14:textFill>
                    </w:rPr>
                    <w:t>；</w:t>
                  </w:r>
                </w:p>
                <w:p>
                  <w:pPr>
                    <w:adjustRightInd w:val="0"/>
                    <w:snapToGrid w:val="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钻井泥浆池中的上清液循环使用，过程需补充一定消耗水量，废水全部循环，不外排。设备冲洗废水进入泥浆池沉淀自然干化，不外排。</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3560" w:type="pct"/>
                  <w:tcBorders>
                    <w:tl2br w:val="nil"/>
                    <w:tr2bl w:val="nil"/>
                  </w:tcBorders>
                  <w:vAlign w:val="center"/>
                </w:tcPr>
                <w:p>
                  <w:pPr>
                    <w:adjustRightInd w:val="0"/>
                    <w:snapToGrid w:val="0"/>
                    <w:rPr>
                      <w:color w:val="000000" w:themeColor="text1"/>
                      <w:szCs w:val="21"/>
                      <w14:textFill>
                        <w14:solidFill>
                          <w14:schemeClr w14:val="tx1"/>
                        </w14:solidFill>
                      </w14:textFill>
                    </w:rPr>
                  </w:pPr>
                  <w:r>
                    <w:rPr>
                      <w:color w:val="000000" w:themeColor="text1"/>
                      <w:szCs w:val="21"/>
                      <w14:textFill>
                        <w14:solidFill>
                          <w14:schemeClr w14:val="tx1"/>
                        </w14:solidFill>
                      </w14:textFill>
                    </w:rPr>
                    <w:t>选用低噪声设备，设备减振处理</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固废</w:t>
                  </w:r>
                </w:p>
              </w:tc>
              <w:tc>
                <w:tcPr>
                  <w:tcW w:w="3560" w:type="pct"/>
                  <w:tcBorders>
                    <w:tl2br w:val="nil"/>
                    <w:tr2bl w:val="nil"/>
                  </w:tcBorders>
                  <w:vAlign w:val="center"/>
                </w:tcPr>
                <w:p>
                  <w:pPr>
                    <w:widowControl/>
                    <w:rPr>
                      <w:color w:val="000000" w:themeColor="text1"/>
                      <w:szCs w:val="21"/>
                      <w:lang w:bidi="ar"/>
                      <w14:textFill>
                        <w14:solidFill>
                          <w14:schemeClr w14:val="tx1"/>
                        </w14:solidFill>
                      </w14:textFill>
                    </w:rPr>
                  </w:pPr>
                  <w:r>
                    <w:rPr>
                      <w:color w:val="000000" w:themeColor="text1"/>
                      <w:szCs w:val="21"/>
                      <w14:textFill>
                        <w14:solidFill>
                          <w14:schemeClr w14:val="tx1"/>
                        </w14:solidFill>
                      </w14:textFill>
                    </w:rPr>
                    <w:t>钻探</w:t>
                  </w:r>
                  <w:r>
                    <w:rPr>
                      <w:rFonts w:hint="eastAsia"/>
                      <w:color w:val="000000" w:themeColor="text1"/>
                      <w:szCs w:val="21"/>
                      <w:lang w:eastAsia="zh-CN"/>
                      <w14:textFill>
                        <w14:solidFill>
                          <w14:schemeClr w14:val="tx1"/>
                        </w14:solidFill>
                      </w14:textFill>
                    </w:rPr>
                    <w:t>勘查区</w:t>
                  </w:r>
                  <w:r>
                    <w:rPr>
                      <w:color w:val="000000" w:themeColor="text1"/>
                      <w:szCs w:val="21"/>
                      <w14:textFill>
                        <w14:solidFill>
                          <w14:schemeClr w14:val="tx1"/>
                        </w14:solidFill>
                      </w14:textFill>
                    </w:rPr>
                    <w:t>生活垃圾用垃圾袋带回项目部，项目部垃圾采用垃圾桶分类集中收集，由环卫部门清理处置；非矿段岩芯填埋，矿段岩芯放置在岩芯库内</w:t>
                  </w:r>
                  <w:r>
                    <w:rPr>
                      <w:rFonts w:hint="eastAsia"/>
                      <w:color w:val="000000" w:themeColor="text1"/>
                      <w:szCs w:val="21"/>
                      <w14:textFill>
                        <w14:solidFill>
                          <w14:schemeClr w14:val="tx1"/>
                        </w14:solidFill>
                      </w14:textFill>
                    </w:rPr>
                    <w:t>，后期</w:t>
                  </w:r>
                  <w:r>
                    <w:rPr>
                      <w:color w:val="000000" w:themeColor="text1"/>
                      <w:szCs w:val="21"/>
                      <w14:textFill>
                        <w14:solidFill>
                          <w14:schemeClr w14:val="tx1"/>
                        </w14:solidFill>
                      </w14:textFill>
                    </w:rPr>
                    <w:t>带回分析、化验。钻孔过程中产生的泥浆进入泥浆池内，待钻孔结束泥浆干化处置，将泥浆池覆土绿化恢复</w:t>
                  </w:r>
                  <w:r>
                    <w:rPr>
                      <w:rFonts w:hint="eastAsia"/>
                      <w:color w:val="000000" w:themeColor="text1"/>
                      <w:szCs w:val="21"/>
                      <w14:textFill>
                        <w14:solidFill>
                          <w14:schemeClr w14:val="tx1"/>
                        </w14:solidFill>
                      </w14:textFill>
                    </w:rPr>
                    <w:t>；废机油收集于专用收集桶，交有资质单位进行处置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ind w:right="-67" w:rightChars="-32"/>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生态保护与恢复</w:t>
                  </w:r>
                </w:p>
              </w:tc>
              <w:tc>
                <w:tcPr>
                  <w:tcW w:w="3560" w:type="pct"/>
                  <w:tcBorders>
                    <w:tl2br w:val="nil"/>
                    <w:tr2bl w:val="nil"/>
                  </w:tcBorders>
                  <w:vAlign w:val="center"/>
                </w:tcPr>
                <w:p>
                  <w:pPr>
                    <w:pStyle w:val="26"/>
                    <w:jc w:val="both"/>
                    <w:rPr>
                      <w:rFonts w:ascii="Times New Roman" w:hAnsi="Times New Roman" w:cs="Times New Roman"/>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①</w:t>
                  </w:r>
                  <w:r>
                    <w:rPr>
                      <w:rFonts w:ascii="Times New Roman" w:hAnsi="Times New Roman" w:cs="Times New Roman"/>
                      <w:color w:val="000000" w:themeColor="text1"/>
                      <w:sz w:val="21"/>
                      <w:szCs w:val="21"/>
                      <w14:textFill>
                        <w14:solidFill>
                          <w14:schemeClr w14:val="tx1"/>
                        </w14:solidFill>
                      </w14:textFill>
                    </w:rPr>
                    <w:t>钻探施工作业前，剥离表土集中堆放拍实、采取必要的遮盖，作为钻探施工结束后复垦土源。</w:t>
                  </w:r>
                  <w:r>
                    <w:rPr>
                      <w:rFonts w:hint="eastAsia" w:hAnsi="宋体"/>
                      <w:color w:val="000000" w:themeColor="text1"/>
                      <w:sz w:val="21"/>
                      <w:szCs w:val="21"/>
                      <w14:textFill>
                        <w14:solidFill>
                          <w14:schemeClr w14:val="tx1"/>
                        </w14:solidFill>
                      </w14:textFill>
                    </w:rPr>
                    <w:t>②</w:t>
                  </w:r>
                  <w:r>
                    <w:rPr>
                      <w:rFonts w:ascii="Times New Roman" w:hAnsi="Times New Roman" w:cs="Times New Roman"/>
                      <w:color w:val="000000" w:themeColor="text1"/>
                      <w:sz w:val="21"/>
                      <w:szCs w:val="21"/>
                      <w14:textFill>
                        <w14:solidFill>
                          <w14:schemeClr w14:val="tx1"/>
                        </w14:solidFill>
                      </w14:textFill>
                    </w:rPr>
                    <w:t>钻探施工结束后，拆除钻井井架、平整钻井平台等迹地清理，覆土（利用施工前剥离土壤），再恢复植被；泥浆池覆土掩埋，再恢复植被。</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jc w:val="center"/>
              </w:trPr>
              <w:tc>
                <w:tcPr>
                  <w:tcW w:w="567" w:type="pct"/>
                  <w:vMerge w:val="continue"/>
                  <w:tcBorders>
                    <w:tl2br w:val="nil"/>
                    <w:tr2bl w:val="nil"/>
                  </w:tcBorders>
                  <w:vAlign w:val="center"/>
                </w:tcPr>
                <w:p>
                  <w:pPr>
                    <w:widowControl/>
                    <w:jc w:val="left"/>
                    <w:rPr>
                      <w:color w:val="000000" w:themeColor="text1"/>
                      <w:szCs w:val="21"/>
                      <w14:textFill>
                        <w14:solidFill>
                          <w14:schemeClr w14:val="tx1"/>
                        </w14:solidFill>
                      </w14:textFill>
                    </w:rPr>
                  </w:pPr>
                </w:p>
              </w:tc>
              <w:tc>
                <w:tcPr>
                  <w:tcW w:w="872" w:type="pct"/>
                  <w:tcBorders>
                    <w:tl2br w:val="nil"/>
                    <w:tr2bl w:val="nil"/>
                  </w:tcBorders>
                  <w:vAlign w:val="center"/>
                </w:tcPr>
                <w:p>
                  <w:pPr>
                    <w:adjustRightInd w:val="0"/>
                    <w:snapToGrid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辐射环境</w:t>
                  </w:r>
                  <w:r>
                    <w:rPr>
                      <w:rFonts w:hint="eastAsia"/>
                      <w:color w:val="000000" w:themeColor="text1"/>
                      <w:szCs w:val="21"/>
                      <w:lang w:val="en-US" w:eastAsia="zh-CN"/>
                      <w14:textFill>
                        <w14:solidFill>
                          <w14:schemeClr w14:val="tx1"/>
                        </w14:solidFill>
                      </w14:textFill>
                    </w:rPr>
                    <w:t>保护措施</w:t>
                  </w:r>
                </w:p>
              </w:tc>
              <w:tc>
                <w:tcPr>
                  <w:tcW w:w="3560" w:type="pct"/>
                  <w:tcBorders>
                    <w:tl2br w:val="nil"/>
                    <w:tr2bl w:val="nil"/>
                  </w:tcBorders>
                  <w:vAlign w:val="center"/>
                </w:tcPr>
                <w:p>
                  <w:pPr>
                    <w:widowControl/>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配备</w:t>
                  </w:r>
                  <w:r>
                    <w:rPr>
                      <w:rFonts w:ascii="Times New Roman" w:hAnsi="Times New Roman" w:cs="Times New Roman"/>
                      <w:color w:val="000000" w:themeColor="text1"/>
                      <w:sz w:val="21"/>
                      <w:szCs w:val="21"/>
                      <w14:textFill>
                        <w14:solidFill>
                          <w14:schemeClr w14:val="tx1"/>
                        </w14:solidFill>
                      </w14:textFill>
                    </w:rPr>
                    <w:t>γ</w:t>
                  </w:r>
                  <w:r>
                    <w:rPr>
                      <w:rFonts w:ascii="Times New Roman" w:cs="Times New Roman"/>
                      <w:color w:val="000000" w:themeColor="text1"/>
                      <w:sz w:val="21"/>
                      <w:szCs w:val="21"/>
                      <w:lang w:eastAsia="zh-CN"/>
                      <w14:textFill>
                        <w14:solidFill>
                          <w14:schemeClr w14:val="tx1"/>
                        </w14:solidFill>
                      </w14:textFill>
                    </w:rPr>
                    <w:t>辐射剂量率监测仪器，钻探施工前和</w:t>
                  </w:r>
                  <w:r>
                    <w:rPr>
                      <w:rFonts w:hint="eastAsia" w:ascii="Times New Roman" w:cs="Times New Roman"/>
                      <w:color w:val="000000" w:themeColor="text1"/>
                      <w:sz w:val="21"/>
                      <w:szCs w:val="21"/>
                      <w:lang w:eastAsia="zh-CN"/>
                      <w14:textFill>
                        <w14:solidFill>
                          <w14:schemeClr w14:val="tx1"/>
                        </w14:solidFill>
                      </w14:textFill>
                    </w:rPr>
                    <w:t>施工结束</w:t>
                  </w:r>
                  <w:r>
                    <w:rPr>
                      <w:rFonts w:ascii="Times New Roman" w:cs="Times New Roman"/>
                      <w:color w:val="000000" w:themeColor="text1"/>
                      <w:sz w:val="21"/>
                      <w:szCs w:val="21"/>
                      <w:lang w:eastAsia="zh-CN"/>
                      <w14:textFill>
                        <w14:solidFill>
                          <w14:schemeClr w14:val="tx1"/>
                        </w14:solidFill>
                      </w14:textFill>
                    </w:rPr>
                    <w:t>后分别对钻探场地以及周边环境进行天然贯穿辐射剂量率监测</w:t>
                  </w:r>
                </w:p>
              </w:tc>
            </w:tr>
          </w:tbl>
          <w:p>
            <w:pPr>
              <w:spacing w:line="360" w:lineRule="auto"/>
              <w:rPr>
                <w:rFonts w:hint="eastAsia"/>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10、评价等级及范围</w:t>
            </w:r>
          </w:p>
          <w:p>
            <w:pPr>
              <w:pStyle w:val="2"/>
              <w:spacing w:line="360" w:lineRule="auto"/>
              <w:ind w:firstLine="480" w:firstLineChars="200"/>
              <w:rPr>
                <w:rFonts w:hint="eastAsia" w:hAnsi="宋体"/>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通过识别该项目施工过程中可能产生的污染因子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六、建设项目工程分析</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，结合各环境要素的评价工作分级判据，进行了本项目的评价工作分级，并确定了相关的评价范围，详细判定过程见“</w:t>
            </w:r>
            <w:r>
              <w:rPr>
                <w:rFonts w:hint="eastAsia" w:ascii="Times New Roman" w:hAnsi="Times New Roman" w:cs="Times New Roman"/>
                <w:color w:val="000000" w:themeColor="text1"/>
                <w:sz w:val="24"/>
                <w:szCs w:val="24"/>
                <w:lang w:val="en-US" w:eastAsia="zh-CN"/>
                <w14:textFill>
                  <w14:solidFill>
                    <w14:schemeClr w14:val="tx1"/>
                  </w14:solidFill>
                </w14:textFill>
              </w:rPr>
              <w:t>八、</w:t>
            </w:r>
            <w:r>
              <w:rPr>
                <w:rFonts w:hint="default" w:ascii="Times New Roman" w:hAnsi="Times New Roman" w:cs="Times New Roman"/>
                <w:color w:val="000000" w:themeColor="text1"/>
                <w:sz w:val="24"/>
                <w:szCs w:val="24"/>
                <w14:textFill>
                  <w14:solidFill>
                    <w14:schemeClr w14:val="tx1"/>
                  </w14:solidFill>
                </w14:textFill>
              </w:rPr>
              <w:t>环境影响分析”，此处简述如下：</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1</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大气</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地面空气质量浓度占标率为</w:t>
            </w:r>
            <w:r>
              <w:rPr>
                <w:rFonts w:hint="eastAsia" w:ascii="Times New Roman" w:cs="Times New Roman"/>
                <w:color w:val="000000" w:themeColor="text1"/>
                <w:sz w:val="24"/>
                <w:szCs w:val="24"/>
                <w:lang w:val="en-US" w:eastAsia="zh-CN"/>
                <w14:textFill>
                  <w14:solidFill>
                    <w14:schemeClr w14:val="tx1"/>
                  </w14:solidFill>
                </w14:textFill>
              </w:rPr>
              <w:t>6.</w:t>
            </w:r>
            <w:r>
              <w:rPr>
                <w:rFonts w:hint="eastAsia" w:cs="Times New Roman"/>
                <w:color w:val="000000" w:themeColor="text1"/>
                <w:sz w:val="24"/>
                <w:szCs w:val="24"/>
                <w:lang w:val="en-US" w:eastAsia="zh-CN"/>
                <w14:textFill>
                  <w14:solidFill>
                    <w14:schemeClr w14:val="tx1"/>
                  </w14:solidFill>
                </w14:textFill>
              </w:rPr>
              <w:t>84</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1%≤Pmax&lt;10%</w:t>
            </w:r>
            <w:r>
              <w:rPr>
                <w:rFonts w:hint="eastAsia" w:asci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按照《环境影响评价技术导则 大气环境》（HJ2.2-2018）</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szCs w:val="24"/>
                <w:lang w:eastAsia="zh-CN"/>
                <w14:textFill>
                  <w14:solidFill>
                    <w14:schemeClr w14:val="tx1"/>
                  </w14:solidFill>
                </w14:textFill>
              </w:rPr>
              <w:t>评价范围为以钻孔场地为中心，边长取5km的矩形区域。</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地表水</w:t>
            </w:r>
          </w:p>
          <w:p>
            <w:pPr>
              <w:spacing w:line="360" w:lineRule="auto"/>
              <w:ind w:firstLine="480" w:firstLineChars="200"/>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HJ2.3-2018</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表1评价工作等级的划分，判定地表水评价等级为三级B。</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3</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地下水</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000000" w:themeColor="text1"/>
                <w:sz w:val="24"/>
                <w:szCs w:val="24"/>
                <w:lang w:val="en-US" w:eastAsia="zh-CN"/>
                <w14:textFill>
                  <w14:solidFill>
                    <w14:schemeClr w14:val="tx1"/>
                  </w14:solidFill>
                </w14:textFill>
              </w:rPr>
              <w:t>土壤</w:t>
            </w:r>
          </w:p>
          <w:p>
            <w:pPr>
              <w:pStyle w:val="26"/>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w:t>
            </w:r>
            <w:r>
              <w:rPr>
                <w:rFonts w:hint="default" w:ascii="Times New Roman" w:hAnsi="Times New Roman" w:eastAsia="宋体" w:cs="Times New Roman"/>
                <w:color w:val="000000" w:themeColor="text1"/>
                <w14:textFill>
                  <w14:solidFill>
                    <w14:schemeClr w14:val="tx1"/>
                  </w14:solidFill>
                </w14:textFill>
              </w:rPr>
              <w:t>，土壤环境影响评价项目类别是IV类。所以，本次不开展土壤、地下水环境影响评价。</w:t>
            </w:r>
          </w:p>
          <w:p>
            <w:pPr>
              <w:pStyle w:val="26"/>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14:textFill>
                  <w14:solidFill>
                    <w14:schemeClr w14:val="tx1"/>
                  </w14:solidFill>
                </w14:textFill>
              </w:rPr>
              <w:t>4）噪声</w:t>
            </w:r>
          </w:p>
          <w:p>
            <w:pPr>
              <w:pStyle w:val="26"/>
              <w:spacing w:line="360" w:lineRule="auto"/>
              <w:ind w:firstLine="480" w:firstLineChars="200"/>
              <w:jc w:val="both"/>
              <w:outlineLvl w:val="0"/>
              <w:rPr>
                <w:rFonts w:hint="eastAsia" w:ascii="Times New Roman" w:hAnsi="Times New Roman" w:eastAsia="宋体" w:cs="Times New Roman"/>
                <w:color w:val="000000" w:themeColor="text1"/>
                <w:lang w:eastAsia="zh-CN"/>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本项目所在区域声环境质量执行《声环境质量标准》（GB3096-2008）中</w:t>
            </w:r>
            <w:r>
              <w:rPr>
                <w:rFonts w:hint="default" w:ascii="Times New Roman" w:hAnsi="Times New Roman" w:eastAsia="宋体" w:cs="Times New Roman"/>
                <w:color w:val="000000" w:themeColor="text1"/>
                <w:lang w:eastAsia="zh-CN"/>
                <w14:textFill>
                  <w14:solidFill>
                    <w14:schemeClr w14:val="tx1"/>
                  </w14:solidFill>
                </w14:textFill>
              </w:rPr>
              <w:t>1类</w:t>
            </w:r>
            <w:r>
              <w:rPr>
                <w:rFonts w:hint="default" w:ascii="Times New Roman" w:hAnsi="Times New Roman" w:eastAsia="宋体" w:cs="Times New Roman"/>
                <w:color w:val="000000" w:themeColor="text1"/>
                <w14:textFill>
                  <w14:solidFill>
                    <w14:schemeClr w14:val="tx1"/>
                  </w14:solidFill>
                </w14:textFill>
              </w:rPr>
              <w:t>区标准要求，根据《环境影响评价技术导则 声环境》（HJ 2.4-2009），项目声环境评价等级为二级，评价范围为</w:t>
            </w:r>
            <w:r>
              <w:rPr>
                <w:rFonts w:hint="eastAsia" w:ascii="Times New Roman" w:hAnsi="Times New Roman" w:eastAsia="宋体" w:cs="Times New Roman"/>
                <w:color w:val="000000" w:themeColor="text1"/>
                <w:lang w:val="en-US" w:eastAsia="zh-CN"/>
                <w14:textFill>
                  <w14:solidFill>
                    <w14:schemeClr w14:val="tx1"/>
                  </w14:solidFill>
                </w14:textFill>
              </w:rPr>
              <w:t>钻探场界外</w:t>
            </w:r>
            <w:r>
              <w:rPr>
                <w:rFonts w:hint="default" w:ascii="Times New Roman" w:hAnsi="Times New Roman" w:eastAsia="宋体" w:cs="Times New Roman"/>
                <w:color w:val="000000" w:themeColor="text1"/>
                <w:lang w:val="en-US" w:eastAsia="zh-CN"/>
                <w14:textFill>
                  <w14:solidFill>
                    <w14:schemeClr w14:val="tx1"/>
                  </w14:solidFill>
                </w14:textFill>
              </w:rPr>
              <w:t>250m</w:t>
            </w:r>
            <w:r>
              <w:rPr>
                <w:rFonts w:hint="eastAsia" w:ascii="Times New Roman" w:hAnsi="Times New Roman" w:eastAsia="宋体" w:cs="Times New Roman"/>
                <w:color w:val="000000" w:themeColor="text1"/>
                <w:lang w:val="en-US" w:eastAsia="zh-CN"/>
                <w14:textFill>
                  <w14:solidFill>
                    <w14:schemeClr w14:val="tx1"/>
                  </w14:solidFill>
                </w14:textFill>
              </w:rPr>
              <w:t>范围内。</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4"/>
                <w14:textFill>
                  <w14:solidFill>
                    <w14:schemeClr w14:val="tx1"/>
                  </w14:solidFill>
                </w14:textFill>
              </w:rPr>
              <w:t>）生态</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项目总占地面积约</w:t>
            </w:r>
            <w:r>
              <w:rPr>
                <w:rFonts w:hint="eastAsia"/>
                <w:bCs/>
                <w:color w:val="000000" w:themeColor="text1"/>
                <w:sz w:val="24"/>
                <w14:textFill>
                  <w14:solidFill>
                    <w14:schemeClr w14:val="tx1"/>
                  </w14:solidFill>
                </w14:textFill>
              </w:rPr>
              <w:t>0</w:t>
            </w:r>
            <w:r>
              <w:rPr>
                <w:bCs/>
                <w:color w:val="000000" w:themeColor="text1"/>
                <w:sz w:val="24"/>
                <w14:textFill>
                  <w14:solidFill>
                    <w14:schemeClr w14:val="tx1"/>
                  </w14:solidFill>
                </w14:textFill>
              </w:rPr>
              <w:t>.0</w:t>
            </w:r>
            <w:r>
              <w:rPr>
                <w:rFonts w:hint="eastAsia"/>
                <w:bCs/>
                <w:color w:val="000000" w:themeColor="text1"/>
                <w:sz w:val="24"/>
                <w:lang w:val="en-US" w:eastAsia="zh-CN"/>
                <w14:textFill>
                  <w14:solidFill>
                    <w14:schemeClr w14:val="tx1"/>
                  </w14:solidFill>
                </w14:textFill>
              </w:rPr>
              <w:t>447</w:t>
            </w:r>
            <w:r>
              <w:rPr>
                <w:rFonts w:hint="eastAsia"/>
                <w:bCs/>
                <w:color w:val="000000" w:themeColor="text1"/>
                <w:sz w:val="24"/>
                <w14:textFill>
                  <w14:solidFill>
                    <w14:schemeClr w14:val="tx1"/>
                  </w14:solidFill>
                </w14:textFill>
              </w:rPr>
              <w:t>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，均为施工临时占地，占地小于2km</w:t>
            </w:r>
            <w:r>
              <w:rPr>
                <w:rFonts w:hint="eastAsia" w:ascii="Times New Roman" w:hAnsi="Times New Roman" w:eastAsia="宋体" w:cs="Times New Roman"/>
                <w:color w:val="000000" w:themeColor="text1"/>
                <w:sz w:val="24"/>
                <w:szCs w:val="24"/>
                <w:vertAlign w:val="superscript"/>
                <w:lang w:eastAsia="zh-CN"/>
                <w14:textFill>
                  <w14:solidFill>
                    <w14:schemeClr w14:val="tx1"/>
                  </w14:solidFill>
                </w14:textFill>
              </w:rPr>
              <w:t>2</w:t>
            </w:r>
            <w:r>
              <w:rPr>
                <w:rFonts w:hint="eastAsia" w:ascii="Times New Roman" w:hAnsi="Times New Roman" w:eastAsia="宋体" w:cs="Times New Roman"/>
                <w:color w:val="000000" w:themeColor="text1"/>
                <w:sz w:val="24"/>
                <w:szCs w:val="24"/>
                <w:lang w:eastAsia="zh-CN"/>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环境影响评价技术导则—生态影响》</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HJ19-2011</w:t>
            </w:r>
            <w:r>
              <w:rPr>
                <w:rFonts w:hint="eastAsia"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分级规定，生态评价工作等级判定为三级。</w:t>
            </w:r>
            <w:r>
              <w:rPr>
                <w:rFonts w:hint="default" w:ascii="Times New Roman" w:hAnsi="Times New Roman" w:eastAsia="宋体" w:cs="Times New Roman"/>
                <w:color w:val="000000" w:themeColor="text1"/>
                <w:sz w:val="24"/>
                <w:szCs w:val="24"/>
                <w14:textFill>
                  <w14:solidFill>
                    <w14:schemeClr w14:val="tx1"/>
                  </w14:solidFill>
                </w14:textFill>
              </w:rPr>
              <w:t>评价范围为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以本项目占地区域的地理单元为边界</w:t>
            </w:r>
            <w:r>
              <w:rPr>
                <w:rFonts w:hint="default" w:ascii="Times New Roman" w:hAnsi="Times New Roman" w:eastAsia="宋体" w:cs="Times New Roman"/>
                <w:color w:val="000000" w:themeColor="text1"/>
                <w:sz w:val="24"/>
                <w:szCs w:val="24"/>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6</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eastAsia="zh-CN"/>
                <w14:textFill>
                  <w14:solidFill>
                    <w14:schemeClr w14:val="tx1"/>
                  </w14:solidFill>
                </w14:textFill>
              </w:rPr>
              <w:t>环境风险</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根据《建设项目环境风险评价技术导则》（HJ169-2018），确定本项目环境风险评价为简单分析。仅对危险物质、环境影响途径、环境危害后果、风险防范措施等方面给出定性的说明进行简单分析，</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不设评价范围。</w:t>
            </w:r>
          </w:p>
          <w:p>
            <w:pPr>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80" w:firstLineChars="200"/>
              <w:jc w:val="both"/>
              <w:textAlignment w:val="auto"/>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（7）辐射环境</w:t>
            </w:r>
          </w:p>
          <w:p>
            <w:pPr>
              <w:ind w:firstLine="480" w:firstLineChars="200"/>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本项目辐射评价范围为</w:t>
            </w:r>
            <w:r>
              <w:rPr>
                <w:rFonts w:hint="default" w:ascii="Times New Roman" w:hAnsi="Times New Roman" w:eastAsia="宋体" w:cs="Times New Roman"/>
                <w:color w:val="000000" w:themeColor="text1"/>
                <w:sz w:val="24"/>
                <w:szCs w:val="24"/>
                <w:lang w:val="en-US" w:eastAsia="zh-CN" w:bidi="en-US"/>
                <w14:textFill>
                  <w14:solidFill>
                    <w14:schemeClr w14:val="tx1"/>
                  </w14:solidFill>
                </w14:textFill>
              </w:rPr>
              <w:t>铀矿地质钻探场地</w:t>
            </w: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周边</w:t>
            </w:r>
            <w:r>
              <w:rPr>
                <w:rFonts w:hint="default" w:ascii="Times New Roman" w:hAnsi="Times New Roman" w:eastAsia="宋体" w:cs="Times New Roman"/>
                <w:color w:val="000000" w:themeColor="text1"/>
                <w:sz w:val="24"/>
                <w:szCs w:val="24"/>
                <w:lang w:val="en-US" w:eastAsia="zh-CN" w:bidi="en-US"/>
                <w14:textFill>
                  <w14:solidFill>
                    <w14:schemeClr w14:val="tx1"/>
                  </w14:solidFill>
                </w14:textFill>
              </w:rPr>
              <w:t>500m</w:t>
            </w:r>
            <w: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t>。</w:t>
            </w:r>
          </w:p>
          <w:p>
            <w:pPr>
              <w:pStyle w:val="2"/>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pPr>
          </w:p>
          <w:p>
            <w:pPr>
              <w:rPr>
                <w:rFonts w:hint="eastAsia" w:ascii="Times New Roman" w:hAnsi="Times New Roman" w:eastAsia="宋体" w:cs="Times New Roman"/>
                <w:color w:val="000000" w:themeColor="text1"/>
                <w:sz w:val="24"/>
                <w:szCs w:val="24"/>
                <w:lang w:val="en-US" w:eastAsia="zh-CN" w:bidi="en-US"/>
                <w14:textFill>
                  <w14:solidFill>
                    <w14:schemeClr w14:val="tx1"/>
                  </w14:solidFill>
                </w14:textFill>
              </w:rPr>
            </w:pPr>
          </w:p>
          <w:p>
            <w:pPr>
              <w:pStyle w:val="2"/>
              <w:rPr>
                <w:rFonts w:hint="default"/>
                <w:color w:val="000000" w:themeColor="text1"/>
                <w:lang w:val="en-US" w:eastAsia="zh-CN"/>
                <w14:textFill>
                  <w14:solidFill>
                    <w14:schemeClr w14:val="tx1"/>
                  </w14:solidFill>
                </w14:textFill>
              </w:rPr>
            </w:pPr>
          </w:p>
          <w:bookmarkEnd w:id="2"/>
          <w:p>
            <w:pPr>
              <w:spacing w:line="360" w:lineRule="auto"/>
              <w:rPr>
                <w:rFonts w:hint="default" w:eastAsia="宋体"/>
                <w:color w:val="000000" w:themeColor="text1"/>
                <w:sz w:val="24"/>
                <w:lang w:val="en-US" w:eastAsia="zh-CN"/>
                <w14:textFill>
                  <w14:solidFill>
                    <w14:schemeClr w14:val="tx1"/>
                  </w14:solidFill>
                </w14:textFill>
              </w:rPr>
            </w:pPr>
          </w:p>
        </w:tc>
      </w:tr>
    </w:tbl>
    <w:p>
      <w:pPr>
        <w:rPr>
          <w:rFonts w:eastAsia="黑体"/>
          <w:w w:val="95"/>
          <w:sz w:val="28"/>
        </w:rPr>
        <w:sectPr>
          <w:headerReference r:id="rId3" w:type="default"/>
          <w:footerReference r:id="rId4" w:type="default"/>
          <w:pgSz w:w="11906" w:h="16838"/>
          <w:pgMar w:top="1440" w:right="1080" w:bottom="1440" w:left="1080" w:header="851" w:footer="992" w:gutter="0"/>
          <w:pgBorders>
            <w:top w:val="none" w:sz="0" w:space="0"/>
            <w:left w:val="none" w:sz="0" w:space="0"/>
            <w:bottom w:val="none" w:sz="0" w:space="0"/>
            <w:right w:val="none" w:sz="0" w:space="0"/>
          </w:pgBorders>
          <w:pgNumType w:start="1"/>
          <w:cols w:space="425" w:num="1"/>
          <w:docGrid w:type="lines" w:linePitch="312" w:charSpace="0"/>
        </w:sectPr>
      </w:pPr>
    </w:p>
    <w:tbl>
      <w:tblPr>
        <w:tblStyle w:val="14"/>
        <w:tblW w:w="493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82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tcPr>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14:textFill>
                  <w14:solidFill>
                    <w14:schemeClr w14:val="tx1"/>
                  </w14:solidFill>
                </w14:textFill>
              </w:rPr>
              <w:t>与本项目有关的原有污染情况及主要环境问题</w:t>
            </w:r>
          </w:p>
          <w:p>
            <w:pPr>
              <w:numPr>
                <w:ilvl w:val="0"/>
                <w:numId w:val="0"/>
              </w:num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1、</w:t>
            </w:r>
            <w:r>
              <w:rPr>
                <w:rFonts w:hint="eastAsia" w:eastAsia="黑体"/>
                <w:color w:val="000000" w:themeColor="text1"/>
                <w:sz w:val="24"/>
                <w14:textFill>
                  <w14:solidFill>
                    <w14:schemeClr w14:val="tx1"/>
                  </w14:solidFill>
                </w14:textFill>
              </w:rPr>
              <w:t>以往铀矿地质工作</w:t>
            </w:r>
          </w:p>
          <w:p>
            <w:pPr>
              <w:spacing w:line="360" w:lineRule="auto"/>
              <w:ind w:firstLine="480" w:firstLineChars="200"/>
              <w:rPr>
                <w:rFonts w:eastAsia="黑体"/>
                <w:color w:val="000000" w:themeColor="text1"/>
                <w:w w:val="95"/>
                <w:sz w:val="28"/>
                <w14:textFill>
                  <w14:solidFill>
                    <w14:schemeClr w14:val="tx1"/>
                  </w14:solidFill>
                </w14:textFill>
              </w:rPr>
            </w:pPr>
            <w:r>
              <w:rPr>
                <w:rFonts w:hint="eastAsia"/>
                <w:color w:val="000000" w:themeColor="text1"/>
                <w:sz w:val="24"/>
                <w14:textFill>
                  <w14:solidFill>
                    <w14:schemeClr w14:val="tx1"/>
                  </w14:solidFill>
                </w14:textFill>
              </w:rPr>
              <w:t>①</w:t>
            </w:r>
            <w:r>
              <w:rPr>
                <w:color w:val="000000" w:themeColor="text1"/>
                <w:sz w:val="24"/>
                <w14:textFill>
                  <w14:solidFill>
                    <w14:schemeClr w14:val="tx1"/>
                  </w14:solidFill>
                </w14:textFill>
              </w:rPr>
              <w:t>2014–2016年，核工业二〇三研究所开展了《鄂尔多斯盆地西南部砂岩型铀矿资源调查评价》项目，完成钻探工作量35144.19m，施工钻孔103个，重点区1:25万铀矿地质调查4090km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，1:5万铀矿地质调查100km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，1:1万实测地质剖面20.35km</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GB"/>
                <w14:textFill>
                  <w14:solidFill>
                    <w14:schemeClr w14:val="tx1"/>
                  </w14:solidFill>
                </w14:textFill>
              </w:rPr>
              <w:t>②</w:t>
            </w:r>
            <w:r>
              <w:rPr>
                <w:color w:val="000000" w:themeColor="text1"/>
                <w:sz w:val="24"/>
                <w14:textFill>
                  <w14:solidFill>
                    <w14:schemeClr w14:val="tx1"/>
                  </w14:solidFill>
                </w14:textFill>
              </w:rPr>
              <w:t>2015–2017年，核工业二〇三研究所在盆地东部开展《鄂尔多斯盆地东部横山—富县地区砂岩型铀矿资源调查评价》项目，收集煤田钻孔资料1041个，煤田区块水文地质资料11份，完成钻探工作量16011.76m，施工钻孔45个，完成重点区1:25万铀矿地质调查6100k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，1:5万铀矿地质路线调查160km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w:t>
            </w:r>
            <w:r>
              <w:rPr>
                <w:color w:val="000000" w:themeColor="text1"/>
                <w:sz w:val="24"/>
                <w14:textFill>
                  <w14:solidFill>
                    <w14:schemeClr w14:val="tx1"/>
                  </w14:solidFill>
                </w14:textFill>
              </w:rPr>
              <w:t>1万铀矿地质路线调查170 km，1</w:t>
            </w:r>
            <w:r>
              <w:rPr>
                <w:rFonts w:hint="eastAsia"/>
                <w:color w:val="000000" w:themeColor="text1"/>
                <w:sz w:val="24"/>
                <w:lang w:val="en-US" w:eastAsia="zh-CN"/>
                <w14:textFill>
                  <w14:solidFill>
                    <w14:schemeClr w14:val="tx1"/>
                  </w14:solidFill>
                </w14:textFill>
              </w:rPr>
              <w:t>:</w:t>
            </w:r>
            <w:r>
              <w:rPr>
                <w:color w:val="000000" w:themeColor="text1"/>
                <w:sz w:val="24"/>
                <w14:textFill>
                  <w14:solidFill>
                    <w14:schemeClr w14:val="tx1"/>
                  </w14:solidFill>
                </w14:textFill>
              </w:rPr>
              <w:t>2千–1:5千实测地质剖面8.5km</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w:t>
            </w:r>
            <w:r>
              <w:rPr>
                <w:color w:val="000000" w:themeColor="text1"/>
                <w:sz w:val="24"/>
                <w14:textFill>
                  <w14:solidFill>
                    <w14:schemeClr w14:val="tx1"/>
                  </w14:solidFill>
                </w14:textFill>
              </w:rPr>
              <w:t>2017–2018年，核工业二〇三研究所开展了《鄂尔多斯盆地神峪河—焦家会地区砂岩型铀矿预查》项目。完成1:5万铀矿地质调查611km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，完成钻探工作量13071.74m。</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w:t>
            </w:r>
            <w:r>
              <w:rPr>
                <w:color w:val="000000" w:themeColor="text1"/>
                <w:sz w:val="24"/>
                <w14:textFill>
                  <w14:solidFill>
                    <w14:schemeClr w14:val="tx1"/>
                  </w14:solidFill>
                </w14:textFill>
              </w:rPr>
              <w:t>2017–2018年，核工业二〇三研究所开展了《鄂尔多斯盆地彬县—长武地区砂岩型铀矿预查》项目。累计完成钻探工作量29070.82m</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14:textFill>
                  <w14:solidFill>
                    <w14:schemeClr w14:val="tx1"/>
                  </w14:solidFill>
                </w14:textFill>
              </w:rPr>
              <w:t>⑤2019年，</w:t>
            </w:r>
            <w:r>
              <w:rPr>
                <w:color w:val="000000" w:themeColor="text1"/>
                <w:sz w:val="24"/>
                <w14:textFill>
                  <w14:solidFill>
                    <w14:schemeClr w14:val="tx1"/>
                  </w14:solidFill>
                </w14:textFill>
              </w:rPr>
              <w:t>核工业二〇三研究所</w:t>
            </w:r>
            <w:r>
              <w:rPr>
                <w:rFonts w:hint="eastAsia"/>
                <w:color w:val="000000" w:themeColor="text1"/>
                <w:sz w:val="24"/>
                <w14:textFill>
                  <w14:solidFill>
                    <w14:schemeClr w14:val="tx1"/>
                  </w14:solidFill>
                </w14:textFill>
              </w:rPr>
              <w:t>在鄂尔多斯盆地南部完成施工63个钻孔，钻探工作量32127.56m，</w:t>
            </w:r>
            <w:r>
              <w:rPr>
                <w:color w:val="000000" w:themeColor="text1"/>
                <w:sz w:val="24"/>
                <w14:textFill>
                  <w14:solidFill>
                    <w14:schemeClr w14:val="tx1"/>
                  </w14:solidFill>
                </w14:textFill>
              </w:rPr>
              <w:t>1</w:t>
            </w:r>
            <w:r>
              <w:rPr>
                <w:rFonts w:hint="eastAsia" w:ascii="宋体" w:hAnsi="宋体" w:cs="宋体"/>
                <w:color w:val="000000" w:themeColor="text1"/>
                <w:sz w:val="24"/>
                <w14:textFill>
                  <w14:solidFill>
                    <w14:schemeClr w14:val="tx1"/>
                  </w14:solidFill>
                </w14:textFill>
              </w:rPr>
              <w:t>:</w:t>
            </w:r>
            <w:r>
              <w:rPr>
                <w:color w:val="000000" w:themeColor="text1"/>
                <w:sz w:val="24"/>
                <w14:textFill>
                  <w14:solidFill>
                    <w14:schemeClr w14:val="tx1"/>
                  </w14:solidFill>
                </w14:textFill>
              </w:rPr>
              <w:t>25万铀矿地质调查</w:t>
            </w:r>
            <w:r>
              <w:rPr>
                <w:rFonts w:hint="eastAsia"/>
                <w:color w:val="000000" w:themeColor="text1"/>
                <w:sz w:val="24"/>
                <w14:textFill>
                  <w14:solidFill>
                    <w14:schemeClr w14:val="tx1"/>
                  </w14:solidFill>
                </w14:textFill>
              </w:rPr>
              <w:t>65</w:t>
            </w:r>
            <w:r>
              <w:rPr>
                <w:color w:val="000000" w:themeColor="text1"/>
                <w:sz w:val="24"/>
                <w14:textFill>
                  <w14:solidFill>
                    <w14:schemeClr w14:val="tx1"/>
                  </w14:solidFill>
                </w14:textFill>
              </w:rPr>
              <w:t>00km</w:t>
            </w:r>
            <w:r>
              <w:rPr>
                <w:color w:val="000000" w:themeColor="text1"/>
                <w:sz w:val="24"/>
                <w:vertAlign w:val="superscript"/>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color w:val="000000" w:themeColor="text1"/>
                <w:sz w:val="24"/>
                <w14:textFill>
                  <w14:solidFill>
                    <w14:schemeClr w14:val="tx1"/>
                  </w14:solidFill>
                </w14:textFill>
              </w:rPr>
              <w:t>1</w:t>
            </w:r>
            <w:r>
              <w:rPr>
                <w:rFonts w:hint="eastAsia" w:ascii="宋体" w:hAnsi="宋体" w:cs="宋体"/>
                <w:color w:val="000000" w:themeColor="text1"/>
                <w:sz w:val="24"/>
                <w14:textFill>
                  <w14:solidFill>
                    <w14:schemeClr w14:val="tx1"/>
                  </w14:solidFill>
                </w14:textFill>
              </w:rPr>
              <w:t>:</w:t>
            </w:r>
            <w:r>
              <w:rPr>
                <w:color w:val="000000" w:themeColor="text1"/>
                <w:sz w:val="24"/>
                <w14:textFill>
                  <w14:solidFill>
                    <w14:schemeClr w14:val="tx1"/>
                  </w14:solidFill>
                </w14:textFill>
              </w:rPr>
              <w:t>5万铀矿地质调查</w:t>
            </w:r>
            <w:r>
              <w:rPr>
                <w:rFonts w:hint="eastAsia"/>
                <w:color w:val="000000" w:themeColor="text1"/>
                <w:sz w:val="24"/>
                <w14:textFill>
                  <w14:solidFill>
                    <w14:schemeClr w14:val="tx1"/>
                  </w14:solidFill>
                </w14:textFill>
              </w:rPr>
              <w:t>200</w:t>
            </w:r>
            <w:r>
              <w:rPr>
                <w:color w:val="000000" w:themeColor="text1"/>
                <w:sz w:val="24"/>
                <w14:textFill>
                  <w14:solidFill>
                    <w14:schemeClr w14:val="tx1"/>
                  </w14:solidFill>
                </w14:textFill>
              </w:rPr>
              <w:t>km</w:t>
            </w:r>
            <w:r>
              <w:rPr>
                <w:color w:val="000000" w:themeColor="text1"/>
                <w:sz w:val="24"/>
                <w:vertAlign w:val="superscript"/>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val="en-GB"/>
                <w14:textFill>
                  <w14:solidFill>
                    <w14:schemeClr w14:val="tx1"/>
                  </w14:solidFill>
                </w14:textFill>
              </w:rPr>
              <w:t>施工完成后都进行了场地平整恢复。</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⑥2020年，核工业二〇三研究所在鄂尔多斯盆地南部灵台—富县地区设置三个</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分别为灵台地区、彬长地区、旬邑地区。以铀矿地质调查和钻探为主要工作手段，在盆地东南部富县-甘泉、旬邑-宜君和盆地西南部灵台东山沟-王家沟等地区开展铀矿资源调查评价，在彬县朱家山-长武巨家和胡家河-景家河等成矿有利地区开展铀矿预查。</w:t>
            </w:r>
          </w:p>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⑦</w:t>
            </w:r>
            <w:r>
              <w:rPr>
                <w:rFonts w:hint="eastAsia"/>
                <w:color w:val="000000" w:themeColor="text1"/>
                <w:sz w:val="24"/>
                <w14:textFill>
                  <w14:solidFill>
                    <w14:schemeClr w14:val="tx1"/>
                  </w14:solidFill>
                </w14:textFill>
              </w:rPr>
              <w:t>2021年，核工业二〇三研究所开展“鄂尔多斯盆地镇原－盐池地区铀矿资源调查评价”，圈定新庄靶区1片，预测盐池成矿远景区、合水成矿远景区2片</w:t>
            </w:r>
            <w:r>
              <w:rPr>
                <w:rFonts w:hint="eastAsia"/>
                <w:color w:val="000000" w:themeColor="text1"/>
                <w:sz w:val="24"/>
                <w:lang w:eastAsia="zh-CN"/>
                <w14:textFill>
                  <w14:solidFill>
                    <w14:schemeClr w14:val="tx1"/>
                  </w14:solidFill>
                </w14:textFill>
              </w:rPr>
              <w:t>。</w:t>
            </w:r>
          </w:p>
          <w:p>
            <w:pPr>
              <w:numPr>
                <w:ilvl w:val="0"/>
                <w:numId w:val="0"/>
              </w:numPr>
              <w:spacing w:line="360" w:lineRule="auto"/>
              <w:rPr>
                <w:rFonts w:eastAsia="黑体"/>
                <w:color w:val="000000" w:themeColor="text1"/>
                <w:sz w:val="24"/>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t>2、</w:t>
            </w:r>
            <w:r>
              <w:rPr>
                <w:rFonts w:hint="eastAsia" w:eastAsia="黑体"/>
                <w:color w:val="000000" w:themeColor="text1"/>
                <w:sz w:val="24"/>
                <w14:textFill>
                  <w14:solidFill>
                    <w14:schemeClr w14:val="tx1"/>
                  </w14:solidFill>
                </w14:textFill>
              </w:rPr>
              <w:t>以往地质工作遗留的主要环境问题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sz w:val="24"/>
                <w:szCs w:val="24"/>
                <w:lang w:val="en-GB"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val="en-GB" w:eastAsia="zh-CN"/>
                <w14:textFill>
                  <w14:solidFill>
                    <w14:schemeClr w14:val="tx1"/>
                  </w14:solidFill>
                </w14:textFill>
              </w:rPr>
              <w:t>建设单位以往勘查过程中执行绿色勘查标准化施工，全员将环保意识放在首位，强化管理，过程控制，通过绿色勘查管理人员的共同努力</w:t>
            </w:r>
            <w:r>
              <w:rPr>
                <w:rFonts w:hint="eastAsia" w:ascii="Times New Roman" w:hAnsi="Times New Roman" w:eastAsia="宋体" w:cs="Times New Roman"/>
                <w:b w:val="0"/>
                <w:bCs w:val="0"/>
                <w:color w:val="000000" w:themeColor="text1"/>
                <w:sz w:val="24"/>
                <w:szCs w:val="24"/>
                <w:lang w:val="en-GB"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olor w:val="000000" w:themeColor="text1"/>
                <w:sz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通过调查、询问、收集资料等工作：</w:t>
            </w:r>
            <w:r>
              <w:rPr>
                <w:rFonts w:hint="eastAsia"/>
                <w:color w:val="000000" w:themeColor="text1"/>
                <w:sz w:val="24"/>
                <w:lang w:eastAsia="zh-CN"/>
                <w14:textFill>
                  <w14:solidFill>
                    <w14:schemeClr w14:val="tx1"/>
                  </w14:solidFill>
                </w14:textFill>
              </w:rPr>
              <w:t>钻探施工结束后，拆除了钻井井架，钻孔均已全部封孔，钻井平台已填土覆盖；在每个钻井平台旁均设置了防渗泥浆沉淀池，泥浆含水自然风干后覆土掩埋；非矿段岩芯填埋，矿段岩芯放置在岩芯库内，后期带回分析、化验。钻孔过程中产生的泥浆进入泥浆池内，待钻孔结束泥浆干化处置，将泥浆池覆土绿化恢复。施工营地生活垃圾由垃圾袋收集带回项目部；车辆在勘查区内均在既有道路上行驶，无随意下道行驶，碾压植被的现象，</w:t>
            </w:r>
            <w:r>
              <w:rPr>
                <w:rFonts w:hint="eastAsia"/>
                <w:color w:val="000000" w:themeColor="text1"/>
                <w:sz w:val="24"/>
                <w:szCs w:val="24"/>
                <w:lang w:eastAsia="zh-CN"/>
                <w14:textFill>
                  <w14:solidFill>
                    <w14:schemeClr w14:val="tx1"/>
                  </w14:solidFill>
                </w14:textFill>
              </w:rPr>
              <w:t>不存在原有勘查工作遗留环境污染问题。</w:t>
            </w:r>
          </w:p>
          <w:p>
            <w:pPr>
              <w:keepNext w:val="0"/>
              <w:keepLines w:val="0"/>
              <w:pageBreakBefore w:val="0"/>
              <w:widowControl w:val="0"/>
              <w:kinsoku/>
              <w:wordWrap/>
              <w:overflowPunct/>
              <w:topLinePunct w:val="0"/>
              <w:autoSpaceDE/>
              <w:autoSpaceDN/>
              <w:bidi w:val="0"/>
              <w:snapToGrid/>
              <w:spacing w:line="360" w:lineRule="auto"/>
              <w:ind w:firstLine="480" w:firstLineChars="200"/>
              <w:textAlignment w:val="auto"/>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color w:val="000000" w:themeColor="text1"/>
                <w:sz w:val="24"/>
                <w:lang w:val="en-GB" w:eastAsia="zh-CN"/>
                <w14:textFill>
                  <w14:solidFill>
                    <w14:schemeClr w14:val="tx1"/>
                  </w14:solidFill>
                </w14:textFill>
              </w:rPr>
              <w:t>经查阅原有地质勘查工程钻孔历史监测资料，</w:t>
            </w:r>
            <w:r>
              <w:rPr>
                <w:rFonts w:hint="eastAsia"/>
                <w:color w:val="000000" w:themeColor="text1"/>
                <w:sz w:val="24"/>
                <w:lang w:eastAsia="zh-CN"/>
                <w14:textFill>
                  <w14:solidFill>
                    <w14:schemeClr w14:val="tx1"/>
                  </w14:solidFill>
                </w14:textFill>
              </w:rPr>
              <w:t>钻孔场地开孔前</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7，封孔后</w:t>
            </w:r>
            <w:r>
              <w:rPr>
                <w:color w:val="000000" w:themeColor="text1"/>
                <w:sz w:val="24"/>
                <w:lang w:eastAsia="zh-CN"/>
                <w14:textFill>
                  <w14:solidFill>
                    <w14:schemeClr w14:val="tx1"/>
                  </w14:solidFill>
                </w14:textFill>
              </w:rPr>
              <w:t>γ</w:t>
            </w:r>
            <w:r>
              <w:rPr>
                <w:rFonts w:hint="eastAsia"/>
                <w:color w:val="000000" w:themeColor="text1"/>
                <w:sz w:val="24"/>
                <w:lang w:val="en-US" w:eastAsia="zh-CN"/>
                <w14:textFill>
                  <w14:solidFill>
                    <w14:schemeClr w14:val="tx1"/>
                  </w14:solidFill>
                </w14:textFill>
              </w:rPr>
              <w:t>计数</w:t>
            </w:r>
            <w:r>
              <w:rPr>
                <w:rFonts w:hint="eastAsia"/>
                <w:color w:val="000000" w:themeColor="text1"/>
                <w:sz w:val="24"/>
                <w:lang w:eastAsia="zh-CN"/>
                <w14:textFill>
                  <w14:solidFill>
                    <w14:schemeClr w14:val="tx1"/>
                  </w14:solidFill>
                </w14:textFill>
              </w:rPr>
              <w:t>率监测范围值为13-</w:t>
            </w:r>
            <w:r>
              <w:rPr>
                <w:color w:val="000000" w:themeColor="text1"/>
                <w:sz w:val="24"/>
                <w:lang w:eastAsia="zh-CN"/>
                <w14:textFill>
                  <w14:solidFill>
                    <w14:schemeClr w14:val="tx1"/>
                  </w14:solidFill>
                </w14:textFill>
              </w:rPr>
              <w:t>1</w:t>
            </w:r>
            <w:r>
              <w:rPr>
                <w:rFonts w:hint="eastAsia"/>
                <w:color w:val="000000" w:themeColor="text1"/>
                <w:sz w:val="24"/>
                <w:lang w:eastAsia="zh-CN"/>
                <w14:textFill>
                  <w14:solidFill>
                    <w14:schemeClr w14:val="tx1"/>
                  </w14:solidFill>
                </w14:textFill>
              </w:rPr>
              <w:t>7。</w:t>
            </w:r>
            <w:r>
              <w:rPr>
                <w:rFonts w:ascii="Times New Roman" w:hAnsi="Times New Roman" w:cs="Times New Roman"/>
                <w:color w:val="000000" w:themeColor="text1"/>
                <w:sz w:val="24"/>
                <w:szCs w:val="24"/>
                <w:lang w:val="en-GB" w:eastAsia="zh-CN"/>
                <w14:textFill>
                  <w14:solidFill>
                    <w14:schemeClr w14:val="tx1"/>
                  </w14:solidFill>
                </w14:textFill>
              </w:rPr>
              <w:t>原有地质勘查工程施工前、后γ辐射</w:t>
            </w:r>
            <w:r>
              <w:rPr>
                <w:rFonts w:hint="eastAsia" w:ascii="Times New Roman" w:hAnsi="Times New Roman" w:cs="Times New Roman"/>
                <w:color w:val="000000" w:themeColor="text1"/>
                <w:sz w:val="24"/>
                <w:szCs w:val="24"/>
                <w:lang w:eastAsia="zh-CN"/>
                <w14:textFill>
                  <w14:solidFill>
                    <w14:schemeClr w14:val="tx1"/>
                  </w14:solidFill>
                </w14:textFill>
              </w:rPr>
              <w:t>监测值</w:t>
            </w:r>
            <w:r>
              <w:rPr>
                <w:rFonts w:ascii="Times New Roman" w:hAnsi="Times New Roman" w:cs="Times New Roman"/>
                <w:color w:val="000000" w:themeColor="text1"/>
                <w:sz w:val="24"/>
                <w:szCs w:val="24"/>
                <w:lang w:val="en-GB" w:eastAsia="zh-CN"/>
                <w14:textFill>
                  <w14:solidFill>
                    <w14:schemeClr w14:val="tx1"/>
                  </w14:solidFill>
                </w14:textFill>
              </w:rPr>
              <w:t>处于同一水平范围内，且处于</w:t>
            </w:r>
            <w:r>
              <w:rPr>
                <w:rFonts w:ascii="Times New Roman" w:hAnsi="Times New Roman" w:cs="Times New Roman"/>
                <w:color w:val="000000" w:themeColor="text1"/>
                <w:sz w:val="24"/>
                <w:szCs w:val="24"/>
                <w:lang w:eastAsia="zh-CN"/>
                <w14:textFill>
                  <w14:solidFill>
                    <w14:schemeClr w14:val="tx1"/>
                  </w14:solidFill>
                </w14:textFill>
              </w:rPr>
              <w:t>当地</w:t>
            </w:r>
            <w:r>
              <w:rPr>
                <w:rFonts w:ascii="Times New Roman" w:hAnsi="Times New Roman" w:cs="Times New Roman"/>
                <w:color w:val="000000" w:themeColor="text1"/>
                <w:sz w:val="24"/>
                <w:szCs w:val="24"/>
                <w:lang w:val="en-GB" w:eastAsia="zh-CN"/>
                <w14:textFill>
                  <w14:solidFill>
                    <w14:schemeClr w14:val="tx1"/>
                  </w14:solidFill>
                </w14:textFill>
              </w:rPr>
              <w:t>天然环境本底水平，施工结束的钻探场地未遗留有辐射环境问题。</w:t>
            </w:r>
          </w:p>
          <w:tbl>
            <w:tblPr>
              <w:tblStyle w:val="1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40"/>
              <w:gridCol w:w="4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8" w:hRule="atLeast"/>
                <w:jc w:val="center"/>
              </w:trPr>
              <w:tc>
                <w:tcPr>
                  <w:tcW w:w="5000" w:type="pct"/>
                  <w:gridSpan w:val="2"/>
                  <w:noWrap w:val="0"/>
                  <w:vAlign w:val="top"/>
                </w:tcPr>
                <w:p>
                  <w:pPr>
                    <w:jc w:val="center"/>
                    <w:rPr>
                      <w:rFonts w:ascii="宋体" w:hAnsi="宋体" w:eastAsia="宋体" w:cs="宋体"/>
                      <w:b/>
                      <w:bCs/>
                      <w:color w:val="000000" w:themeColor="text1"/>
                      <w:kern w:val="0"/>
                      <w:sz w:val="32"/>
                      <w:szCs w:val="32"/>
                      <w14:textFill>
                        <w14:solidFill>
                          <w14:schemeClr w14:val="tx1"/>
                        </w14:solidFill>
                      </w14:textFill>
                    </w:rPr>
                  </w:pPr>
                  <w:r>
                    <w:rPr>
                      <w:rFonts w:hint="eastAsia" w:ascii="宋体" w:hAnsi="宋体" w:cs="宋体"/>
                      <w:b/>
                      <w:bCs/>
                      <w:color w:val="000000" w:themeColor="text1"/>
                      <w:kern w:val="0"/>
                      <w:sz w:val="24"/>
                      <w:szCs w:val="24"/>
                      <w:lang w:val="en-US" w:eastAsia="zh-CN"/>
                      <w14:textFill>
                        <w14:solidFill>
                          <w14:schemeClr w14:val="tx1"/>
                        </w14:solidFill>
                      </w14:textFill>
                    </w:rPr>
                    <w:t>旬邑地区</w:t>
                  </w:r>
                  <w:r>
                    <w:rPr>
                      <w:rFonts w:hint="eastAsia" w:ascii="宋体" w:hAnsi="宋体" w:eastAsia="宋体" w:cs="宋体"/>
                      <w:b/>
                      <w:bCs/>
                      <w:color w:val="000000" w:themeColor="text1"/>
                      <w:kern w:val="0"/>
                      <w:sz w:val="24"/>
                      <w:szCs w:val="24"/>
                      <w14:textFill>
                        <w14:solidFill>
                          <w14:schemeClr w14:val="tx1"/>
                        </w14:solidFill>
                      </w14:textFill>
                    </w:rPr>
                    <w:t>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521"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color w:val="000000" w:themeColor="text1"/>
                      <w14:textFill>
                        <w14:solidFill>
                          <w14:schemeClr w14:val="tx1"/>
                        </w14:solidFill>
                      </w14:textFill>
                    </w:rPr>
                    <w:drawing>
                      <wp:inline distT="0" distB="0" distL="0" distR="0">
                        <wp:extent cx="2808605" cy="1871980"/>
                        <wp:effectExtent l="0" t="0" r="10795" b="762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7"/>
                                <a:srcRect/>
                                <a:stretch>
                                  <a:fillRect/>
                                </a:stretch>
                              </pic:blipFill>
                              <pic:spPr>
                                <a:xfrm>
                                  <a:off x="0" y="0"/>
                                  <a:ext cx="2808605" cy="1871980"/>
                                </a:xfrm>
                                <a:prstGeom prst="rect">
                                  <a:avLst/>
                                </a:prstGeom>
                                <a:noFill/>
                                <a:ln>
                                  <a:noFill/>
                                </a:ln>
                              </pic:spPr>
                            </pic:pic>
                          </a:graphicData>
                        </a:graphic>
                      </wp:inline>
                    </w:drawing>
                  </w:r>
                </w:p>
              </w:tc>
              <w:tc>
                <w:tcPr>
                  <w:tcW w:w="2478" w:type="pct"/>
                  <w:noWrap w:val="0"/>
                  <w:vAlign w:val="center"/>
                </w:tcPr>
                <w:p>
                  <w:pPr>
                    <w:jc w:val="center"/>
                    <w:rPr>
                      <w:rFonts w:hint="eastAsia" w:ascii="宋体" w:hAnsi="宋体" w:eastAsia="宋体" w:cs="宋体"/>
                      <w:b/>
                      <w:bCs/>
                      <w:color w:val="000000" w:themeColor="text1"/>
                      <w:kern w:val="0"/>
                      <w:sz w:val="32"/>
                      <w:szCs w:val="32"/>
                      <w:lang w:eastAsia="zh-CN"/>
                      <w14:textFill>
                        <w14:solidFill>
                          <w14:schemeClr w14:val="tx1"/>
                        </w14:solidFill>
                      </w14:textFill>
                    </w:rPr>
                  </w:pPr>
                  <w:r>
                    <w:rPr>
                      <w:color w:val="000000" w:themeColor="text1"/>
                      <w14:textFill>
                        <w14:solidFill>
                          <w14:schemeClr w14:val="tx1"/>
                        </w14:solidFill>
                      </w14:textFill>
                    </w:rPr>
                    <w:drawing>
                      <wp:inline distT="0" distB="0" distL="0" distR="0">
                        <wp:extent cx="2808605" cy="1871980"/>
                        <wp:effectExtent l="0" t="0" r="10795" b="762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8"/>
                                <a:srcRect/>
                                <a:stretch>
                                  <a:fillRect/>
                                </a:stretch>
                              </pic:blipFill>
                              <pic:spPr>
                                <a:xfrm>
                                  <a:off x="0" y="0"/>
                                  <a:ext cx="2808605" cy="187198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521"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GB"/>
                      <w14:textFill>
                        <w14:solidFill>
                          <w14:schemeClr w14:val="tx1"/>
                        </w14:solidFill>
                      </w14:textFill>
                    </w:rPr>
                    <w:t>旬邑地区（施工前）</w:t>
                  </w:r>
                </w:p>
              </w:tc>
              <w:tc>
                <w:tcPr>
                  <w:tcW w:w="2478"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GB"/>
                      <w14:textFill>
                        <w14:solidFill>
                          <w14:schemeClr w14:val="tx1"/>
                        </w14:solidFill>
                      </w14:textFill>
                    </w:rPr>
                    <w:t>旬邑地区（恢复后）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noWrap w:val="0"/>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ascii="宋体" w:hAnsi="宋体" w:cs="宋体"/>
                      <w:b/>
                      <w:bCs/>
                      <w:color w:val="000000" w:themeColor="text1"/>
                      <w:kern w:val="0"/>
                      <w:sz w:val="24"/>
                      <w:szCs w:val="24"/>
                      <w:lang w:val="en-US" w:eastAsia="zh-CN"/>
                      <w14:textFill>
                        <w14:solidFill>
                          <w14:schemeClr w14:val="tx1"/>
                        </w14:solidFill>
                      </w14:textFill>
                    </w:rPr>
                    <w:t>灵台地区井场恢复前后照片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521" w:type="pct"/>
                  <w:noWrap w:val="0"/>
                  <w:vAlign w:val="center"/>
                </w:tcPr>
                <w:p>
                  <w:pPr>
                    <w:jc w:val="center"/>
                    <w:rPr>
                      <w:rFonts w:hint="eastAsia"/>
                      <w:color w:val="000000" w:themeColor="text1"/>
                      <w:szCs w:val="21"/>
                      <w:lang w:val="en-GB"/>
                      <w14:textFill>
                        <w14:solidFill>
                          <w14:schemeClr w14:val="tx1"/>
                        </w14:solidFill>
                      </w14:textFill>
                    </w:rPr>
                  </w:pPr>
                  <w:r>
                    <w:rPr>
                      <w:color w:val="000000" w:themeColor="text1"/>
                      <w14:textFill>
                        <w14:solidFill>
                          <w14:schemeClr w14:val="tx1"/>
                        </w14:solidFill>
                      </w14:textFill>
                    </w:rPr>
                    <w:drawing>
                      <wp:inline distT="0" distB="0" distL="0" distR="0">
                        <wp:extent cx="2808605" cy="1871980"/>
                        <wp:effectExtent l="0" t="0" r="10795" b="762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9"/>
                                <a:srcRect/>
                                <a:stretch>
                                  <a:fillRect/>
                                </a:stretch>
                              </pic:blipFill>
                              <pic:spPr>
                                <a:xfrm>
                                  <a:off x="0" y="0"/>
                                  <a:ext cx="2808605" cy="1871980"/>
                                </a:xfrm>
                                <a:prstGeom prst="rect">
                                  <a:avLst/>
                                </a:prstGeom>
                                <a:noFill/>
                                <a:ln>
                                  <a:noFill/>
                                </a:ln>
                              </pic:spPr>
                            </pic:pic>
                          </a:graphicData>
                        </a:graphic>
                      </wp:inline>
                    </w:drawing>
                  </w:r>
                </w:p>
              </w:tc>
              <w:tc>
                <w:tcPr>
                  <w:tcW w:w="2478" w:type="pct"/>
                  <w:noWrap w:val="0"/>
                  <w:vAlign w:val="center"/>
                </w:tcPr>
                <w:p>
                  <w:pPr>
                    <w:jc w:val="center"/>
                    <w:rPr>
                      <w:rFonts w:hint="eastAsia"/>
                      <w:color w:val="000000" w:themeColor="text1"/>
                      <w:szCs w:val="21"/>
                      <w:lang w:val="en-GB"/>
                      <w14:textFill>
                        <w14:solidFill>
                          <w14:schemeClr w14:val="tx1"/>
                        </w14:solidFill>
                      </w14:textFill>
                    </w:rPr>
                  </w:pPr>
                  <w:r>
                    <w:rPr>
                      <w:color w:val="000000" w:themeColor="text1"/>
                      <w14:textFill>
                        <w14:solidFill>
                          <w14:schemeClr w14:val="tx1"/>
                        </w14:solidFill>
                      </w14:textFill>
                    </w:rPr>
                    <w:drawing>
                      <wp:inline distT="0" distB="0" distL="0" distR="0">
                        <wp:extent cx="2808605" cy="1871980"/>
                        <wp:effectExtent l="0" t="0" r="10795" b="762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10"/>
                                <a:srcRect/>
                                <a:stretch>
                                  <a:fillRect/>
                                </a:stretch>
                              </pic:blipFill>
                              <pic:spPr>
                                <a:xfrm>
                                  <a:off x="0" y="0"/>
                                  <a:ext cx="2808605" cy="187198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灵台</w:t>
                  </w:r>
                  <w:r>
                    <w:rPr>
                      <w:rFonts w:hint="eastAsia"/>
                      <w:color w:val="000000" w:themeColor="text1"/>
                      <w:szCs w:val="21"/>
                      <w:lang w:val="en-GB"/>
                      <w14:textFill>
                        <w14:solidFill>
                          <w14:schemeClr w14:val="tx1"/>
                        </w14:solidFill>
                      </w14:textFill>
                    </w:rPr>
                    <w:t>地区（施工前）</w:t>
                  </w:r>
                </w:p>
              </w:tc>
              <w:tc>
                <w:tcPr>
                  <w:tcW w:w="2478" w:type="pct"/>
                  <w:noWrap w:val="0"/>
                  <w:vAlign w:val="center"/>
                </w:tcPr>
                <w:p>
                  <w:pPr>
                    <w:jc w:val="center"/>
                    <w:rPr>
                      <w:color w:val="000000" w:themeColor="text1"/>
                      <w14:textFill>
                        <w14:solidFill>
                          <w14:schemeClr w14:val="tx1"/>
                        </w14:solidFill>
                      </w14:textFill>
                    </w:rPr>
                  </w:pPr>
                  <w:r>
                    <w:rPr>
                      <w:rFonts w:hint="eastAsia"/>
                      <w:color w:val="000000" w:themeColor="text1"/>
                      <w:szCs w:val="21"/>
                      <w:lang w:val="en-US" w:eastAsia="zh-CN"/>
                      <w14:textFill>
                        <w14:solidFill>
                          <w14:schemeClr w14:val="tx1"/>
                        </w14:solidFill>
                      </w14:textFill>
                    </w:rPr>
                    <w:t>灵台</w:t>
                  </w:r>
                  <w:r>
                    <w:rPr>
                      <w:rFonts w:hint="eastAsia"/>
                      <w:color w:val="000000" w:themeColor="text1"/>
                      <w:szCs w:val="21"/>
                      <w:lang w:val="en-GB"/>
                      <w14:textFill>
                        <w14:solidFill>
                          <w14:schemeClr w14:val="tx1"/>
                        </w14:solidFill>
                      </w14:textFill>
                    </w:rPr>
                    <w:t>地区（恢复后）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noWrap w:val="0"/>
                  <w:vAlign w:val="center"/>
                </w:tcPr>
                <w:p>
                  <w:pPr>
                    <w:jc w:val="center"/>
                    <w:rPr>
                      <w:rFonts w:hint="eastAsia"/>
                      <w:color w:val="000000" w:themeColor="text1"/>
                      <w:szCs w:val="21"/>
                      <w:lang w:val="en-US" w:eastAsia="zh-CN"/>
                      <w14:textFill>
                        <w14:solidFill>
                          <w14:schemeClr w14:val="tx1"/>
                        </w14:solidFill>
                      </w14:textFill>
                    </w:rPr>
                  </w:pPr>
                  <w:r>
                    <w:rPr>
                      <w:rFonts w:hint="eastAsia" w:ascii="宋体" w:hAnsi="宋体" w:cs="宋体"/>
                      <w:b/>
                      <w:bCs/>
                      <w:color w:val="000000" w:themeColor="text1"/>
                      <w:kern w:val="0"/>
                      <w:sz w:val="24"/>
                      <w:szCs w:val="24"/>
                      <w:lang w:val="en-US" w:eastAsia="zh-CN"/>
                      <w14:textFill>
                        <w14:solidFill>
                          <w14:schemeClr w14:val="tx1"/>
                        </w14:solidFill>
                      </w14:textFill>
                    </w:rPr>
                    <w:t>盐池地区井场恢复前后照片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drawing>
                      <wp:inline distT="0" distB="0" distL="0" distR="0">
                        <wp:extent cx="2496185" cy="1871980"/>
                        <wp:effectExtent l="0" t="0" r="5715" b="7620"/>
                        <wp:docPr id="3" name="图片 3" descr="恢复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恢复前"/>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496185" cy="1871980"/>
                                </a:xfrm>
                                <a:prstGeom prst="rect">
                                  <a:avLst/>
                                </a:prstGeom>
                                <a:noFill/>
                                <a:ln>
                                  <a:noFill/>
                                </a:ln>
                              </pic:spPr>
                            </pic:pic>
                          </a:graphicData>
                        </a:graphic>
                      </wp:inline>
                    </w:drawing>
                  </w:r>
                </w:p>
              </w:tc>
              <w:tc>
                <w:tcPr>
                  <w:tcW w:w="2478" w:type="pct"/>
                  <w:noWrap w:val="0"/>
                  <w:vAlign w:val="center"/>
                </w:tcPr>
                <w:p>
                  <w:pPr>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drawing>
                      <wp:inline distT="0" distB="0" distL="0" distR="0">
                        <wp:extent cx="2493010" cy="1871980"/>
                        <wp:effectExtent l="0" t="0" r="8890" b="7620"/>
                        <wp:docPr id="2" name="图片 2" descr="恢复后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恢复后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493010" cy="187198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21" w:type="pct"/>
                  <w:noWrap w:val="0"/>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盐池</w:t>
                  </w:r>
                  <w:r>
                    <w:rPr>
                      <w:rFonts w:hint="eastAsia"/>
                      <w:color w:val="000000" w:themeColor="text1"/>
                      <w:szCs w:val="21"/>
                      <w:lang w:val="en-GB"/>
                      <w14:textFill>
                        <w14:solidFill>
                          <w14:schemeClr w14:val="tx1"/>
                        </w14:solidFill>
                      </w14:textFill>
                    </w:rPr>
                    <w:t>地区（施工前）</w:t>
                  </w:r>
                </w:p>
              </w:tc>
              <w:tc>
                <w:tcPr>
                  <w:tcW w:w="2478" w:type="pct"/>
                  <w:noWrap w:val="0"/>
                  <w:vAlign w:val="center"/>
                </w:tcPr>
                <w:p>
                  <w:pPr>
                    <w:jc w:val="center"/>
                    <w:rPr>
                      <w:rFonts w:ascii="Times New Roman" w:hAnsi="Times New Roman" w:eastAsia="宋体" w:cs="Times New Roman"/>
                      <w:color w:val="000000" w:themeColor="text1"/>
                      <w:kern w:val="2"/>
                      <w:sz w:val="21"/>
                      <w:szCs w:val="24"/>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盐池</w:t>
                  </w:r>
                  <w:r>
                    <w:rPr>
                      <w:rFonts w:hint="eastAsia"/>
                      <w:color w:val="000000" w:themeColor="text1"/>
                      <w:szCs w:val="21"/>
                      <w:lang w:val="en-GB"/>
                      <w14:textFill>
                        <w14:solidFill>
                          <w14:schemeClr w14:val="tx1"/>
                        </w14:solidFill>
                      </w14:textFill>
                    </w:rPr>
                    <w:t>地区（恢复后）</w:t>
                  </w:r>
                </w:p>
              </w:tc>
            </w:tr>
          </w:tbl>
          <w:p>
            <w:pPr>
              <w:spacing w:line="360" w:lineRule="auto"/>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rFonts w:eastAsia="黑体"/>
                <w:color w:val="000000" w:themeColor="text1"/>
                <w:w w:val="95"/>
                <w:sz w:val="28"/>
                <w14:textFill>
                  <w14:solidFill>
                    <w14:schemeClr w14:val="tx1"/>
                  </w14:solidFill>
                </w14:textFill>
              </w:rPr>
            </w:pPr>
          </w:p>
          <w:p>
            <w:pPr>
              <w:rPr>
                <w:rFonts w:eastAsia="黑体"/>
                <w:color w:val="000000" w:themeColor="text1"/>
                <w:w w:val="95"/>
                <w:sz w:val="28"/>
                <w14:textFill>
                  <w14:solidFill>
                    <w14:schemeClr w14:val="tx1"/>
                  </w14:solidFill>
                </w14:textFill>
              </w:rPr>
            </w:pPr>
          </w:p>
          <w:p>
            <w:pPr>
              <w:pStyle w:val="2"/>
              <w:rPr>
                <w:color w:val="000000" w:themeColor="text1"/>
                <w14:textFill>
                  <w14:solidFill>
                    <w14:schemeClr w14:val="tx1"/>
                  </w14:solidFill>
                </w14:textFill>
              </w:rPr>
            </w:pPr>
          </w:p>
          <w:p>
            <w:pPr>
              <w:spacing w:line="360" w:lineRule="auto"/>
              <w:rPr>
                <w:rFonts w:eastAsia="黑体"/>
                <w:color w:val="000000" w:themeColor="text1"/>
                <w:w w:val="95"/>
                <w:sz w:val="28"/>
                <w14:textFill>
                  <w14:solidFill>
                    <w14:schemeClr w14:val="tx1"/>
                  </w14:solidFill>
                </w14:textFill>
              </w:rPr>
            </w:pPr>
          </w:p>
        </w:tc>
      </w:tr>
    </w:tbl>
    <w:p>
      <w:p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hint="default" w:ascii="Times New Roman" w:hAnsi="Times New Roman" w:eastAsia="黑体" w:cs="Times New Roman"/>
          <w:color w:val="000000" w:themeColor="text1"/>
          <w:w w:val="95"/>
          <w:sz w:val="32"/>
          <w14:textFill>
            <w14:solidFill>
              <w14:schemeClr w14:val="tx1"/>
            </w14:solidFill>
          </w14:textFill>
        </w:rPr>
      </w:pPr>
      <w:r>
        <w:rPr>
          <w:rFonts w:hint="default" w:ascii="Times New Roman" w:hAnsi="Times New Roman" w:eastAsia="黑体" w:cs="Times New Roman"/>
          <w:w w:val="95"/>
          <w:sz w:val="32"/>
          <w:lang w:val="en-US" w:eastAsia="zh-CN"/>
        </w:rPr>
        <w:t>二、</w:t>
      </w:r>
      <w:r>
        <w:rPr>
          <w:rFonts w:hint="default" w:ascii="Times New Roman" w:hAnsi="Times New Roman" w:eastAsia="黑体" w:cs="Times New Roman"/>
          <w:color w:val="000000" w:themeColor="text1"/>
          <w:w w:val="95"/>
          <w:sz w:val="32"/>
          <w14:textFill>
            <w14:solidFill>
              <w14:schemeClr w14:val="tx1"/>
            </w14:solidFill>
          </w14:textFill>
        </w:rPr>
        <w:t>编制依据</w:t>
      </w:r>
    </w:p>
    <w:tbl>
      <w:tblPr>
        <w:tblStyle w:val="14"/>
        <w:tblW w:w="491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44"/>
        <w:gridCol w:w="914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349" w:hRule="atLeast"/>
          <w:jc w:val="center"/>
        </w:trPr>
        <w:tc>
          <w:tcPr>
            <w:tcW w:w="329" w:type="pct"/>
            <w:tcBorders>
              <w:right w:val="single" w:color="auto" w:sz="4" w:space="0"/>
            </w:tcBorders>
            <w:vAlign w:val="center"/>
          </w:tcPr>
          <w:p>
            <w:pPr>
              <w:spacing w:line="360" w:lineRule="auto"/>
              <w:jc w:val="center"/>
              <w:rPr>
                <w:rFonts w:eastAsia="黑体"/>
                <w:color w:val="000000" w:themeColor="text1"/>
                <w:w w:val="95"/>
                <w:sz w:val="24"/>
                <w14:textFill>
                  <w14:solidFill>
                    <w14:schemeClr w14:val="tx1"/>
                  </w14:solidFill>
                </w14:textFill>
              </w:rPr>
            </w:pPr>
            <w:r>
              <w:rPr>
                <w:color w:val="000000" w:themeColor="text1"/>
                <w:sz w:val="24"/>
                <w14:textFill>
                  <w14:solidFill>
                    <w14:schemeClr w14:val="tx1"/>
                  </w14:solidFill>
                </w14:textFill>
              </w:rPr>
              <w:t>法规标准</w:t>
            </w:r>
          </w:p>
        </w:tc>
        <w:tc>
          <w:tcPr>
            <w:tcW w:w="4670" w:type="pct"/>
            <w:tcBorders>
              <w:left w:val="single" w:color="auto" w:sz="4" w:space="0"/>
            </w:tcBorders>
          </w:tcPr>
          <w:p>
            <w:pPr>
              <w:autoSpaceDE w:val="0"/>
              <w:autoSpaceDN w:val="0"/>
              <w:adjustRightInd w:val="0"/>
              <w:spacing w:line="360" w:lineRule="auto"/>
              <w:rPr>
                <w:b/>
                <w:bCs/>
                <w:color w:val="000000" w:themeColor="text1"/>
                <w:sz w:val="24"/>
                <w:lang w:val="zh-CN"/>
                <w14:textFill>
                  <w14:solidFill>
                    <w14:schemeClr w14:val="tx1"/>
                  </w14:solidFill>
                </w14:textFill>
              </w:rPr>
            </w:pPr>
            <w:r>
              <w:rPr>
                <w:b/>
                <w:bCs/>
                <w:color w:val="000000" w:themeColor="text1"/>
                <w:sz w:val="24"/>
                <w:lang w:val="zh-CN"/>
                <w14:textFill>
                  <w14:solidFill>
                    <w14:schemeClr w14:val="tx1"/>
                  </w14:solidFill>
                </w14:textFill>
              </w:rPr>
              <w:t>1</w:t>
            </w:r>
            <w:r>
              <w:rPr>
                <w:rFonts w:hint="eastAsia"/>
                <w:b/>
                <w:bCs/>
                <w:color w:val="000000" w:themeColor="text1"/>
                <w:sz w:val="24"/>
                <w:lang w:val="zh-CN"/>
                <w14:textFill>
                  <w14:solidFill>
                    <w14:schemeClr w14:val="tx1"/>
                  </w14:solidFill>
                </w14:textFill>
              </w:rPr>
              <w:t>、国家法律、法规</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（1）《中华人民共和国环境保护法》（修订），2015年1月1日；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（2）《中华人民共和国环境影响评价法》（修订），2018年12月29日；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（3）《中华人民共和国放射性污染防治法》，2003年10月1日施行；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（4）《中华人民共和国大气污染防治法》（修订），2018年10月26日修订实施。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（5）《中华人民共和国水污染防治法》（修订），2017年6月27日；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（6）《中华人民共和国固体废物污染环境防治法》（修订），20</w:t>
            </w:r>
            <w:r>
              <w:rPr>
                <w:color w:val="000000" w:themeColor="text1"/>
                <w:sz w:val="24"/>
                <w:lang w:val="zh-CN"/>
                <w14:textFill>
                  <w14:solidFill>
                    <w14:schemeClr w14:val="tx1"/>
                  </w14:solidFill>
                </w14:textFill>
              </w:rPr>
              <w:t>20</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4</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29</w:t>
            </w:r>
            <w:r>
              <w:rPr>
                <w:rFonts w:hint="eastAsia"/>
                <w:color w:val="000000" w:themeColor="text1"/>
                <w:sz w:val="24"/>
                <w:lang w:val="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（7）《中华人民共和国噪声污染防治法》（修订），2018年12月29日；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（8）《中华人民共和国自然保护区条例》（修订），2017年10月07日；</w:t>
            </w:r>
          </w:p>
          <w:p>
            <w:pPr>
              <w:adjustRightInd w:val="0"/>
              <w:spacing w:line="360" w:lineRule="auto"/>
              <w:ind w:firstLine="480"/>
              <w:rPr>
                <w:rFonts w:ascii="Times New Roman" w:cs="Times New Roman"/>
                <w:color w:val="000000" w:themeColor="text1"/>
                <w:sz w:val="24"/>
                <w:szCs w:val="24"/>
                <w:lang w:eastAsia="zh-CN"/>
                <w14:textFill>
                  <w14:solidFill>
                    <w14:schemeClr w14:val="tx1"/>
                  </w14:solidFill>
                </w14:textFill>
              </w:rPr>
            </w:pPr>
            <w:r>
              <w:rPr>
                <w:rFonts w:hint="eastAsia"/>
                <w:color w:val="000000" w:themeColor="text1"/>
                <w:sz w:val="24"/>
                <w:lang w:val="zh-CN"/>
                <w14:textFill>
                  <w14:solidFill>
                    <w14:schemeClr w14:val="tx1"/>
                  </w14:solidFill>
                </w14:textFill>
              </w:rPr>
              <w:t>（9）</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中华人民共和国放射性污染防治法</w:t>
            </w: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eastAsia="zh-CN"/>
                <w14:textFill>
                  <w14:solidFill>
                    <w14:schemeClr w14:val="tx1"/>
                  </w14:solidFill>
                </w14:textFill>
              </w:rPr>
              <w:t>2003年6月28日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zh-CN"/>
                <w14:textFill>
                  <w14:solidFill>
                    <w14:schemeClr w14:val="tx1"/>
                  </w14:solidFill>
                </w14:textFill>
              </w:rPr>
              <w:t>）《中华人民共和国水土保持法》，2011年3月1日；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val="zh-CN"/>
                <w14:textFill>
                  <w14:solidFill>
                    <w14:schemeClr w14:val="tx1"/>
                  </w14:solidFill>
                </w14:textFill>
              </w:rPr>
              <w:t>）《中华人民共和国草原法》，2013年6月29日；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12</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《中华人民共和国水土保持法》，</w:t>
            </w:r>
            <w:r>
              <w:rPr>
                <w:rFonts w:ascii="Times New Roman" w:hAnsi="Times New Roman" w:cs="Times New Roman"/>
                <w:color w:val="000000" w:themeColor="text1"/>
                <w:sz w:val="24"/>
                <w:szCs w:val="24"/>
                <w:lang w:val="en-GB" w:eastAsia="zh-CN"/>
                <w14:textFill>
                  <w14:solidFill>
                    <w14:schemeClr w14:val="tx1"/>
                  </w14:solidFill>
                </w14:textFill>
              </w:rPr>
              <w:t>2011</w:t>
            </w:r>
            <w:r>
              <w:rPr>
                <w:rFonts w:ascii="Times New Roman" w:cs="Times New Roman"/>
                <w:color w:val="000000" w:themeColor="text1"/>
                <w:sz w:val="24"/>
                <w:szCs w:val="24"/>
                <w:lang w:val="zh-CN" w:eastAsia="zh-CN"/>
                <w14:textFill>
                  <w14:solidFill>
                    <w14:schemeClr w14:val="tx1"/>
                  </w14:solidFill>
                </w14:textFill>
              </w:rPr>
              <w:t>年</w:t>
            </w:r>
            <w:r>
              <w:rPr>
                <w:rFonts w:ascii="Times New Roman" w:hAnsi="Times New Roman" w:cs="Times New Roman"/>
                <w:color w:val="000000" w:themeColor="text1"/>
                <w:sz w:val="24"/>
                <w:szCs w:val="24"/>
                <w:lang w:val="en-GB" w:eastAsia="zh-CN"/>
                <w14:textFill>
                  <w14:solidFill>
                    <w14:schemeClr w14:val="tx1"/>
                  </w14:solidFill>
                </w14:textFill>
              </w:rPr>
              <w:t>3</w:t>
            </w:r>
            <w:r>
              <w:rPr>
                <w:rFonts w:ascii="Times New Roman" w:cs="Times New Roman"/>
                <w:color w:val="000000" w:themeColor="text1"/>
                <w:sz w:val="24"/>
                <w:szCs w:val="24"/>
                <w:lang w:val="zh-CN" w:eastAsia="zh-CN"/>
                <w14:textFill>
                  <w14:solidFill>
                    <w14:schemeClr w14:val="tx1"/>
                  </w14:solidFill>
                </w14:textFill>
              </w:rPr>
              <w:t>月</w:t>
            </w:r>
            <w:r>
              <w:rPr>
                <w:rFonts w:ascii="Times New Roman" w:hAnsi="Times New Roman" w:cs="Times New Roman"/>
                <w:color w:val="000000" w:themeColor="text1"/>
                <w:sz w:val="24"/>
                <w:szCs w:val="24"/>
                <w:lang w:val="en-GB" w:eastAsia="zh-CN"/>
                <w14:textFill>
                  <w14:solidFill>
                    <w14:schemeClr w14:val="tx1"/>
                  </w14:solidFill>
                </w14:textFill>
              </w:rPr>
              <w:t>1</w:t>
            </w:r>
            <w:r>
              <w:rPr>
                <w:rFonts w:ascii="Times New Roman" w:cs="Times New Roman"/>
                <w:color w:val="000000" w:themeColor="text1"/>
                <w:sz w:val="24"/>
                <w:szCs w:val="24"/>
                <w:lang w:val="zh-CN"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）《中华人民共和国森林法》(修订)，2018年3月19日；</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ascii="Times New Roman" w:cs="Times New Roman"/>
                <w:color w:val="000000" w:themeColor="text1"/>
                <w:sz w:val="24"/>
                <w:szCs w:val="24"/>
                <w:lang w:val="zh-CN" w:eastAsia="zh-CN"/>
                <w14:textFill>
                  <w14:solidFill>
                    <w14:schemeClr w14:val="tx1"/>
                  </w14:solidFill>
                </w14:textFill>
              </w:rPr>
              <w:t>（</w:t>
            </w:r>
            <w:r>
              <w:rPr>
                <w:rFonts w:hint="eastAsia" w:ascii="Times New Roman" w:cs="Times New Roman"/>
                <w:color w:val="000000" w:themeColor="text1"/>
                <w:sz w:val="24"/>
                <w:szCs w:val="24"/>
                <w:lang w:val="en-US" w:eastAsia="zh-CN"/>
                <w14:textFill>
                  <w14:solidFill>
                    <w14:schemeClr w14:val="tx1"/>
                  </w14:solidFill>
                </w14:textFill>
              </w:rPr>
              <w:t>14</w:t>
            </w:r>
            <w:r>
              <w:rPr>
                <w:rFonts w:hint="eastAsia" w:ascii="Times New Roman" w:cs="Times New Roman"/>
                <w:color w:val="000000" w:themeColor="text1"/>
                <w:sz w:val="24"/>
                <w:szCs w:val="24"/>
                <w:lang w:val="zh-CN" w:eastAsia="zh-CN"/>
                <w14:textFill>
                  <w14:solidFill>
                    <w14:schemeClr w14:val="tx1"/>
                  </w14:solidFill>
                </w14:textFill>
              </w:rPr>
              <w:t>）</w:t>
            </w:r>
            <w:r>
              <w:rPr>
                <w:rFonts w:ascii="Times New Roman" w:cs="Times New Roman"/>
                <w:color w:val="000000" w:themeColor="text1"/>
                <w:sz w:val="24"/>
                <w:szCs w:val="24"/>
                <w:lang w:val="zh-CN" w:eastAsia="zh-CN"/>
                <w14:textFill>
                  <w14:solidFill>
                    <w14:schemeClr w14:val="tx1"/>
                  </w14:solidFill>
                </w14:textFill>
              </w:rPr>
              <w:t>中华人民共和国自然保护区条例》（</w:t>
            </w:r>
            <w:r>
              <w:rPr>
                <w:rFonts w:ascii="Times New Roman" w:cs="Times New Roman"/>
                <w:color w:val="000000" w:themeColor="text1"/>
                <w:sz w:val="24"/>
                <w:szCs w:val="24"/>
                <w:lang w:eastAsia="zh-CN"/>
                <w14:textFill>
                  <w14:solidFill>
                    <w14:schemeClr w14:val="tx1"/>
                  </w14:solidFill>
                </w14:textFill>
              </w:rPr>
              <w:t>修订</w:t>
            </w:r>
            <w:r>
              <w:rPr>
                <w:rFonts w:ascii="Times New Roman" w:cs="Times New Roman"/>
                <w:color w:val="000000" w:themeColor="text1"/>
                <w:sz w:val="24"/>
                <w:szCs w:val="24"/>
                <w:lang w:val="zh-CN" w:eastAsia="zh-CN"/>
                <w14:textFill>
                  <w14:solidFill>
                    <w14:schemeClr w14:val="tx1"/>
                  </w14:solidFill>
                </w14:textFill>
              </w:rPr>
              <w:t>），</w:t>
            </w:r>
            <w:r>
              <w:rPr>
                <w:rFonts w:ascii="Times New Roman" w:hAnsi="Times New Roman" w:cs="Times New Roman"/>
                <w:color w:val="000000" w:themeColor="text1"/>
                <w:sz w:val="24"/>
                <w:szCs w:val="24"/>
                <w:lang w:eastAsia="zh-CN"/>
                <w14:textFill>
                  <w14:solidFill>
                    <w14:schemeClr w14:val="tx1"/>
                  </w14:solidFill>
                </w14:textFill>
              </w:rPr>
              <w:t>2017</w:t>
            </w:r>
            <w:r>
              <w:rPr>
                <w:rFonts w:ascii="Times New Roman" w:cs="Times New Roman"/>
                <w:color w:val="000000" w:themeColor="text1"/>
                <w:sz w:val="24"/>
                <w:szCs w:val="24"/>
                <w:lang w:eastAsia="zh-CN"/>
                <w14:textFill>
                  <w14:solidFill>
                    <w14:schemeClr w14:val="tx1"/>
                  </w14:solidFill>
                </w14:textFill>
              </w:rPr>
              <w:t>年</w:t>
            </w:r>
            <w:r>
              <w:rPr>
                <w:rFonts w:ascii="Times New Roman" w:hAnsi="Times New Roman" w:cs="Times New Roman"/>
                <w:color w:val="000000" w:themeColor="text1"/>
                <w:sz w:val="24"/>
                <w:szCs w:val="24"/>
                <w:lang w:eastAsia="zh-CN"/>
                <w14:textFill>
                  <w14:solidFill>
                    <w14:schemeClr w14:val="tx1"/>
                  </w14:solidFill>
                </w14:textFill>
              </w:rPr>
              <w:t>10</w:t>
            </w:r>
            <w:r>
              <w:rPr>
                <w:rFonts w:ascii="Times New Roman" w:cs="Times New Roman"/>
                <w:color w:val="000000" w:themeColor="text1"/>
                <w:sz w:val="24"/>
                <w:szCs w:val="24"/>
                <w:lang w:eastAsia="zh-CN"/>
                <w14:textFill>
                  <w14:solidFill>
                    <w14:schemeClr w14:val="tx1"/>
                  </w14:solidFill>
                </w14:textFill>
              </w:rPr>
              <w:t>月</w:t>
            </w:r>
            <w:r>
              <w:rPr>
                <w:rFonts w:ascii="Times New Roman" w:hAnsi="Times New Roman" w:cs="Times New Roman"/>
                <w:color w:val="000000" w:themeColor="text1"/>
                <w:sz w:val="24"/>
                <w:szCs w:val="24"/>
                <w:lang w:eastAsia="zh-CN"/>
                <w14:textFill>
                  <w14:solidFill>
                    <w14:schemeClr w14:val="tx1"/>
                  </w14:solidFill>
                </w14:textFill>
              </w:rPr>
              <w:t>07</w:t>
            </w:r>
            <w:r>
              <w:rPr>
                <w:rFonts w:ascii="Times New Roman" w:cs="Times New Roman"/>
                <w:color w:val="000000" w:themeColor="text1"/>
                <w:sz w:val="24"/>
                <w:szCs w:val="24"/>
                <w:lang w:eastAsia="zh-CN"/>
                <w14:textFill>
                  <w14:solidFill>
                    <w14:schemeClr w14:val="tx1"/>
                  </w14:solidFill>
                </w14:textFill>
              </w:rPr>
              <w:t>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5</w:t>
            </w:r>
            <w:r>
              <w:rPr>
                <w:rFonts w:hint="eastAsia"/>
                <w:color w:val="000000" w:themeColor="text1"/>
                <w:sz w:val="24"/>
                <w:lang w:val="zh-CN"/>
                <w14:textFill>
                  <w14:solidFill>
                    <w14:schemeClr w14:val="tx1"/>
                  </w14:solidFill>
                </w14:textFill>
              </w:rPr>
              <w:t>）《风景名胜区条例》（修订），2016年2月6日；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6</w:t>
            </w:r>
            <w:r>
              <w:rPr>
                <w:rFonts w:hint="eastAsia"/>
                <w:color w:val="000000" w:themeColor="text1"/>
                <w:sz w:val="24"/>
                <w:lang w:val="zh-CN"/>
                <w14:textFill>
                  <w14:solidFill>
                    <w14:schemeClr w14:val="tx1"/>
                  </w14:solidFill>
                </w14:textFill>
              </w:rPr>
              <w:t>）《森林公园管理办法》（修订），2016年9月22日；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zh-CN"/>
                <w14:textFill>
                  <w14:solidFill>
                    <w14:schemeClr w14:val="tx1"/>
                  </w14:solidFill>
                </w14:textFill>
              </w:rPr>
              <w:t>）《中华人民共和国土地管理法》，2004年8月28日；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val="zh-CN"/>
                <w14:textFill>
                  <w14:solidFill>
                    <w14:schemeClr w14:val="tx1"/>
                  </w14:solidFill>
                </w14:textFill>
              </w:rPr>
              <w:t>）《中华人民共和国节约能源法》（修正），2018年10月26日；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（1</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zh-CN"/>
                <w14:textFill>
                  <w14:solidFill>
                    <w14:schemeClr w14:val="tx1"/>
                  </w14:solidFill>
                </w14:textFill>
              </w:rPr>
              <w:t>）《中华人民共和国野生动物保护法》（修正），2018年10月26日；</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lang w:val="zh-CN"/>
                <w14:textFill>
                  <w14:solidFill>
                    <w14:schemeClr w14:val="tx1"/>
                  </w14:solidFill>
                </w14:textFill>
              </w:rPr>
              <w:t>）《建设项目环境保护管理条例》（修订），2017年10月1日施行；</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21</w:t>
            </w:r>
            <w:r>
              <w:rPr>
                <w:rFonts w:hint="eastAsia"/>
                <w:color w:val="000000" w:themeColor="text1"/>
                <w:sz w:val="24"/>
                <w:lang w:val="zh-CN"/>
                <w14:textFill>
                  <w14:solidFill>
                    <w14:schemeClr w14:val="tx1"/>
                  </w14:solidFill>
                </w14:textFill>
              </w:rPr>
              <w:t>）《建设项目环境影响评价分类管理名录（</w:t>
            </w:r>
            <w:r>
              <w:rPr>
                <w:rFonts w:hint="eastAsia"/>
                <w:color w:val="000000" w:themeColor="text1"/>
                <w:sz w:val="24"/>
                <w:lang w:val="en-US" w:eastAsia="zh-CN"/>
                <w14:textFill>
                  <w14:solidFill>
                    <w14:schemeClr w14:val="tx1"/>
                  </w14:solidFill>
                </w14:textFill>
              </w:rPr>
              <w:t>2021年版</w:t>
            </w:r>
            <w:r>
              <w:rPr>
                <w:rFonts w:hint="eastAsia"/>
                <w:color w:val="000000" w:themeColor="text1"/>
                <w:sz w:val="24"/>
                <w:lang w:val="zh-CN"/>
                <w14:textFill>
                  <w14:solidFill>
                    <w14:schemeClr w14:val="tx1"/>
                  </w14:solidFill>
                </w14:textFill>
              </w:rPr>
              <w:t>）》，生态环境部令第1</w:t>
            </w:r>
            <w:r>
              <w:rPr>
                <w:color w:val="000000" w:themeColor="text1"/>
                <w:sz w:val="24"/>
                <w:lang w:val="zh-CN"/>
                <w14:textFill>
                  <w14:solidFill>
                    <w14:schemeClr w14:val="tx1"/>
                  </w14:solidFill>
                </w14:textFill>
              </w:rPr>
              <w:t>6</w:t>
            </w:r>
            <w:r>
              <w:rPr>
                <w:rFonts w:hint="eastAsia"/>
                <w:color w:val="000000" w:themeColor="text1"/>
                <w:sz w:val="24"/>
                <w:lang w:val="zh-CN"/>
                <w14:textFill>
                  <w14:solidFill>
                    <w14:schemeClr w14:val="tx1"/>
                  </w14:solidFill>
                </w14:textFill>
              </w:rPr>
              <w:t>号，20</w:t>
            </w:r>
            <w:r>
              <w:rPr>
                <w:color w:val="000000" w:themeColor="text1"/>
                <w:sz w:val="24"/>
                <w:lang w:val="zh-CN"/>
                <w14:textFill>
                  <w14:solidFill>
                    <w14:schemeClr w14:val="tx1"/>
                  </w14:solidFill>
                </w14:textFill>
              </w:rPr>
              <w:t>21</w:t>
            </w:r>
            <w:r>
              <w:rPr>
                <w:rFonts w:hint="eastAsia"/>
                <w:color w:val="000000" w:themeColor="text1"/>
                <w:sz w:val="24"/>
                <w:lang w:val="zh-CN"/>
                <w14:textFill>
                  <w14:solidFill>
                    <w14:schemeClr w14:val="tx1"/>
                  </w14:solidFill>
                </w14:textFill>
              </w:rPr>
              <w:t>年</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月</w:t>
            </w:r>
            <w:r>
              <w:rPr>
                <w:color w:val="000000" w:themeColor="text1"/>
                <w:sz w:val="24"/>
                <w:lang w:val="zh-CN"/>
                <w14:textFill>
                  <w14:solidFill>
                    <w14:schemeClr w14:val="tx1"/>
                  </w14:solidFill>
                </w14:textFill>
              </w:rPr>
              <w:t>1</w:t>
            </w:r>
            <w:r>
              <w:rPr>
                <w:rFonts w:hint="eastAsia"/>
                <w:color w:val="000000" w:themeColor="text1"/>
                <w:sz w:val="24"/>
                <w:lang w:val="zh-CN"/>
                <w14:textFill>
                  <w14:solidFill>
                    <w14:schemeClr w14:val="tx1"/>
                  </w14:solidFill>
                </w14:textFill>
              </w:rPr>
              <w:t>日实施；</w:t>
            </w:r>
          </w:p>
          <w:p>
            <w:pPr>
              <w:autoSpaceDE w:val="0"/>
              <w:autoSpaceDN w:val="0"/>
              <w:adjustRightInd w:val="0"/>
              <w:spacing w:line="360" w:lineRule="auto"/>
              <w:ind w:firstLine="480" w:firstLineChars="200"/>
              <w:rPr>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w:t>
            </w:r>
            <w:r>
              <w:rPr>
                <w:rFonts w:hint="eastAsia"/>
                <w:color w:val="000000" w:themeColor="text1"/>
                <w:sz w:val="24"/>
                <w:lang w:val="en-US" w:eastAsia="zh-CN"/>
                <w14:textFill>
                  <w14:solidFill>
                    <w14:schemeClr w14:val="tx1"/>
                  </w14:solidFill>
                </w14:textFill>
              </w:rPr>
              <w:t>22</w:t>
            </w:r>
            <w:r>
              <w:rPr>
                <w:rFonts w:hint="eastAsia"/>
                <w:color w:val="000000" w:themeColor="text1"/>
                <w:sz w:val="24"/>
                <w:lang w:val="zh-CN"/>
                <w14:textFill>
                  <w14:solidFill>
                    <w14:schemeClr w14:val="tx1"/>
                  </w14:solidFill>
                </w14:textFill>
              </w:rPr>
              <w:t>）《产业结构调整指导目录（2019年本）》，中华人民共和国发展和改革委员会第29号，2020年1月1日实施；</w:t>
            </w:r>
          </w:p>
          <w:p>
            <w:pPr>
              <w:autoSpaceDE w:val="0"/>
              <w:autoSpaceDN w:val="0"/>
              <w:adjustRightInd w:val="0"/>
              <w:spacing w:line="360" w:lineRule="auto"/>
              <w:ind w:firstLine="480" w:firstLineChars="200"/>
              <w:rPr>
                <w:rFonts w:hint="eastAsia"/>
                <w:color w:val="000000" w:themeColor="text1"/>
                <w:sz w:val="24"/>
                <w:lang w:val="zh-CN"/>
                <w14:textFill>
                  <w14:solidFill>
                    <w14:schemeClr w14:val="tx1"/>
                  </w14:solidFill>
                </w14:textFill>
              </w:rPr>
            </w:pPr>
            <w:r>
              <w:rPr>
                <w:rFonts w:hint="eastAsia"/>
                <w:color w:val="000000" w:themeColor="text1"/>
                <w:sz w:val="24"/>
                <w:lang w:val="zh-CN"/>
                <w14:textFill>
                  <w14:solidFill>
                    <w14:schemeClr w14:val="tx1"/>
                  </w14:solidFill>
                </w14:textFill>
              </w:rPr>
              <w:t>（2</w:t>
            </w:r>
            <w:r>
              <w:rPr>
                <w:rFonts w:hint="eastAsia"/>
                <w:color w:val="000000" w:themeColor="text1"/>
                <w:sz w:val="24"/>
                <w:lang w:val="en-US" w:eastAsia="zh-CN"/>
                <w14:textFill>
                  <w14:solidFill>
                    <w14:schemeClr w14:val="tx1"/>
                  </w14:solidFill>
                </w14:textFill>
              </w:rPr>
              <w:t>3</w:t>
            </w:r>
            <w:r>
              <w:rPr>
                <w:rFonts w:hint="eastAsia"/>
                <w:color w:val="000000" w:themeColor="text1"/>
                <w:sz w:val="24"/>
                <w:lang w:val="zh-CN"/>
                <w14:textFill>
                  <w14:solidFill>
                    <w14:schemeClr w14:val="tx1"/>
                  </w14:solidFill>
                </w14:textFill>
              </w:rPr>
              <w:t>）《关于发布&lt;放射性废物分类&gt;的公告》（环境保护部、工业和信息化部、国防科工局2017年第65号公告，2018年1月1日起施行。</w:t>
            </w:r>
          </w:p>
          <w:p>
            <w:pPr>
              <w:autoSpaceDE w:val="0"/>
              <w:autoSpaceDN w:val="0"/>
              <w:adjustRightInd w:val="0"/>
              <w:spacing w:line="360" w:lineRule="auto"/>
              <w:ind w:firstLine="480" w:firstLineChars="200"/>
              <w:rPr>
                <w:rFonts w:hint="eastAsia"/>
                <w:b/>
                <w:bCs/>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（24）《国家危险废物名录（2021年版）》，生态环境部令第15号，2021年1月1日起施行。</w:t>
            </w:r>
          </w:p>
          <w:p>
            <w:pPr>
              <w:autoSpaceDE w:val="0"/>
              <w:autoSpaceDN w:val="0"/>
              <w:adjustRightInd w:val="0"/>
              <w:spacing w:line="360" w:lineRule="auto"/>
              <w:ind w:firstLine="482" w:firstLineChars="200"/>
              <w:rPr>
                <w:b/>
                <w:bCs/>
                <w:color w:val="000000" w:themeColor="text1"/>
                <w:sz w:val="24"/>
                <w:lang w:val="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lang w:val="zh-CN"/>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地方</w:t>
            </w:r>
            <w:r>
              <w:rPr>
                <w:rFonts w:hint="eastAsia"/>
                <w:b/>
                <w:bCs/>
                <w:color w:val="000000" w:themeColor="text1"/>
                <w:sz w:val="24"/>
                <w:lang w:val="zh-CN"/>
                <w14:textFill>
                  <w14:solidFill>
                    <w14:schemeClr w14:val="tx1"/>
                  </w14:solidFill>
                </w14:textFill>
              </w:rPr>
              <w:t>法律、法规</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1）《甘肃省环境保护条例》，2004年6月4日；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val="en-GB"/>
                <w14:textFill>
                  <w14:solidFill>
                    <w14:schemeClr w14:val="tx1"/>
                  </w14:solidFill>
                </w14:textFill>
              </w:rPr>
              <w:t>《内蒙古自治区环境保护条例》（20</w:t>
            </w:r>
            <w:r>
              <w:rPr>
                <w:color w:val="000000" w:themeColor="text1"/>
                <w:sz w:val="24"/>
                <w:lang w:val="en-GB"/>
                <w14:textFill>
                  <w14:solidFill>
                    <w14:schemeClr w14:val="tx1"/>
                  </w14:solidFill>
                </w14:textFill>
              </w:rPr>
              <w:t>18</w:t>
            </w:r>
            <w:r>
              <w:rPr>
                <w:rFonts w:hint="eastAsia"/>
                <w:color w:val="000000" w:themeColor="text1"/>
                <w:sz w:val="24"/>
                <w:lang w:val="en-GB"/>
                <w14:textFill>
                  <w14:solidFill>
                    <w14:schemeClr w14:val="tx1"/>
                  </w14:solidFill>
                </w14:textFill>
              </w:rPr>
              <w:t>修正），2</w:t>
            </w:r>
            <w:r>
              <w:rPr>
                <w:color w:val="000000" w:themeColor="text1"/>
                <w:sz w:val="24"/>
                <w:lang w:val="en-GB"/>
                <w14:textFill>
                  <w14:solidFill>
                    <w14:schemeClr w14:val="tx1"/>
                  </w14:solidFill>
                </w14:textFill>
              </w:rPr>
              <w:t>018</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12</w:t>
            </w:r>
            <w:r>
              <w:rPr>
                <w:rFonts w:hint="eastAsia"/>
                <w:color w:val="000000" w:themeColor="text1"/>
                <w:sz w:val="24"/>
                <w:lang w:val="en-GB"/>
                <w14:textFill>
                  <w14:solidFill>
                    <w14:schemeClr w14:val="tx1"/>
                  </w14:solidFill>
                </w14:textFill>
              </w:rPr>
              <w:t>月</w:t>
            </w:r>
            <w:r>
              <w:rPr>
                <w:color w:val="000000" w:themeColor="text1"/>
                <w:sz w:val="24"/>
                <w:lang w:val="en-GB"/>
                <w14:textFill>
                  <w14:solidFill>
                    <w14:schemeClr w14:val="tx1"/>
                  </w14:solidFill>
                </w14:textFill>
              </w:rPr>
              <w:t>6</w:t>
            </w:r>
            <w:r>
              <w:rPr>
                <w:rFonts w:hint="eastAsia"/>
                <w:color w:val="000000" w:themeColor="text1"/>
                <w:sz w:val="24"/>
                <w:lang w:val="en-GB"/>
                <w14:textFill>
                  <w14:solidFill>
                    <w14:schemeClr w14:val="tx1"/>
                  </w14:solidFill>
                </w14:textFill>
              </w:rPr>
              <w:t>日；</w:t>
            </w:r>
          </w:p>
          <w:p>
            <w:pPr>
              <w:autoSpaceDE w:val="0"/>
              <w:autoSpaceDN w:val="0"/>
              <w:adjustRightInd w:val="0"/>
              <w:spacing w:line="360" w:lineRule="auto"/>
              <w:ind w:firstLine="480" w:firstLineChars="200"/>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pPr>
            <w:r>
              <w:rPr>
                <w:rFonts w:hint="eastAsia" w:ascii="Times New Roman" w:hAnsi="Times New Roman" w:cs="Times New Roman"/>
                <w:color w:val="000000" w:themeColor="text1"/>
                <w:sz w:val="24"/>
                <w:lang w:val="en-GB"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3</w:t>
            </w:r>
            <w:r>
              <w:rPr>
                <w:rFonts w:hint="eastAsia"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GB"/>
                <w14:textFill>
                  <w14:solidFill>
                    <w14:schemeClr w14:val="tx1"/>
                  </w14:solidFill>
                </w14:textFill>
              </w:rPr>
              <w:t>《宁夏回族自治区环境保护条例》，2010年1月1日；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GB"/>
                <w14:textFill>
                  <w14:solidFill>
                    <w14:schemeClr w14:val="tx1"/>
                  </w14:solidFill>
                </w14:textFill>
              </w:rPr>
            </w:pPr>
            <w:r>
              <w:rPr>
                <w:rFonts w:hint="eastAsia" w:ascii="Times New Roman" w:hAnsi="Times New Roman" w:cs="Times New Roman"/>
                <w:color w:val="000000" w:themeColor="text1"/>
                <w:sz w:val="24"/>
                <w:lang w:val="en-GB"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4</w:t>
            </w:r>
            <w:r>
              <w:rPr>
                <w:rFonts w:hint="eastAsia"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GB"/>
                <w14:textFill>
                  <w14:solidFill>
                    <w14:schemeClr w14:val="tx1"/>
                  </w14:solidFill>
                </w14:textFill>
              </w:rPr>
              <w:t>《陕西省实施〈中华人民共和国环境保护法〉办法》（2020修正），2020年6月11日；</w:t>
            </w:r>
          </w:p>
          <w:p>
            <w:pPr>
              <w:autoSpaceDE w:val="0"/>
              <w:autoSpaceDN w:val="0"/>
              <w:adjustRightInd w:val="0"/>
              <w:spacing w:line="360" w:lineRule="auto"/>
              <w:ind w:firstLine="480" w:firstLineChars="200"/>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pPr>
            <w:r>
              <w:rPr>
                <w:rFonts w:hint="eastAsia" w:ascii="Times New Roman" w:hAnsi="Times New Roman" w:cs="Times New Roman"/>
                <w:color w:val="000000" w:themeColor="text1"/>
                <w:kern w:val="0"/>
                <w:sz w:val="24"/>
                <w:szCs w:val="24"/>
                <w:lang w:val="en-US" w:eastAsia="zh-CN" w:bidi="ar"/>
                <w14:textFill>
                  <w14:solidFill>
                    <w14:schemeClr w14:val="tx1"/>
                  </w14:solidFill>
                </w14:textFill>
              </w:rPr>
              <w:t>（5）</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《山西省</w:t>
            </w:r>
            <w:r>
              <w:rPr>
                <w:rFonts w:hint="default" w:ascii="Times New Roman" w:hAnsi="Times New Roman" w:cs="Times New Roman"/>
                <w:color w:val="000000" w:themeColor="text1"/>
                <w:sz w:val="24"/>
                <w:lang w:val="en-GB"/>
                <w14:textFill>
                  <w14:solidFill>
                    <w14:schemeClr w14:val="tx1"/>
                  </w14:solidFill>
                </w14:textFill>
              </w:rPr>
              <w:t>环境保护条例</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》实施办法，2020年1月23日；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6）《甘肃省主体功能区规划》，</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7</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《内蒙古自治区主体功能区规划》</w:t>
            </w:r>
            <w:r>
              <w:rPr>
                <w:rFonts w:hint="eastAsia"/>
                <w:color w:val="000000" w:themeColor="text1"/>
                <w:sz w:val="24"/>
                <w:lang w:val="en-GB"/>
                <w14:textFill>
                  <w14:solidFill>
                    <w14:schemeClr w14:val="tx1"/>
                  </w14:solidFill>
                </w14:textFill>
              </w:rPr>
              <w:t>，201</w:t>
            </w:r>
            <w:r>
              <w:rPr>
                <w:color w:val="000000" w:themeColor="text1"/>
                <w:sz w:val="24"/>
                <w:lang w:val="en-GB"/>
                <w14:textFill>
                  <w14:solidFill>
                    <w14:schemeClr w14:val="tx1"/>
                  </w14:solidFill>
                </w14:textFill>
              </w:rPr>
              <w:t>2</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7</w:t>
            </w:r>
            <w:r>
              <w:rPr>
                <w:rFonts w:hint="eastAsia"/>
                <w:color w:val="000000" w:themeColor="text1"/>
                <w:sz w:val="24"/>
                <w:lang w:val="en-GB"/>
                <w14:textFill>
                  <w14:solidFill>
                    <w14:schemeClr w14:val="tx1"/>
                  </w14:solidFill>
                </w14:textFill>
              </w:rPr>
              <w:t>月；</w:t>
            </w:r>
          </w:p>
          <w:p>
            <w:pPr>
              <w:autoSpaceDE w:val="0"/>
              <w:autoSpaceDN w:val="0"/>
              <w:adjustRightInd w:val="0"/>
              <w:spacing w:line="360" w:lineRule="auto"/>
              <w:ind w:firstLine="480" w:firstLineChars="200"/>
              <w:rPr>
                <w:rFonts w:hint="eastAsia" w:eastAsia="宋体"/>
                <w:color w:val="000000" w:themeColor="text1"/>
                <w:sz w:val="24"/>
                <w:lang w:val="en-GB"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w:t>
            </w:r>
            <w:r>
              <w:rPr>
                <w:rFonts w:hint="default" w:ascii="Times New Roman" w:hAnsi="Times New Roman" w:cs="Times New Roman"/>
                <w:color w:val="000000" w:themeColor="text1"/>
                <w:sz w:val="24"/>
                <w:lang w:val="en-GB"/>
                <w14:textFill>
                  <w14:solidFill>
                    <w14:schemeClr w14:val="tx1"/>
                  </w14:solidFill>
                </w14:textFill>
              </w:rPr>
              <w:t>宁夏回族自治区</w:t>
            </w:r>
            <w:r>
              <w:rPr>
                <w:rFonts w:hint="eastAsia"/>
                <w:color w:val="000000" w:themeColor="text1"/>
                <w:sz w:val="24"/>
                <w14:textFill>
                  <w14:solidFill>
                    <w14:schemeClr w14:val="tx1"/>
                  </w14:solidFill>
                </w14:textFill>
              </w:rPr>
              <w:t>主体功能区规划》</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2014</w:t>
            </w:r>
            <w:r>
              <w:rPr>
                <w:rFonts w:hint="eastAsia"/>
                <w:color w:val="000000" w:themeColor="text1"/>
                <w:sz w:val="24"/>
                <w:lang w:val="en-GB"/>
                <w14:textFill>
                  <w14:solidFill>
                    <w14:schemeClr w14:val="tx1"/>
                  </w14:solidFill>
                </w14:textFill>
              </w:rPr>
              <w:t>年</w:t>
            </w:r>
            <w:r>
              <w:rPr>
                <w:color w:val="000000" w:themeColor="text1"/>
                <w:sz w:val="24"/>
                <w14:textFill>
                  <w14:solidFill>
                    <w14:schemeClr w14:val="tx1"/>
                  </w14:solidFill>
                </w14:textFill>
              </w:rPr>
              <w:t>7</w:t>
            </w:r>
            <w:r>
              <w:rPr>
                <w:rFonts w:hint="eastAsia"/>
                <w:color w:val="000000" w:themeColor="text1"/>
                <w:sz w:val="24"/>
                <w:lang w:val="en-GB"/>
                <w14:textFill>
                  <w14:solidFill>
                    <w14:schemeClr w14:val="tx1"/>
                  </w14:solidFill>
                </w14:textFill>
              </w:rPr>
              <w:t>月</w:t>
            </w:r>
            <w:r>
              <w:rPr>
                <w:color w:val="000000" w:themeColor="text1"/>
                <w:sz w:val="24"/>
                <w14:textFill>
                  <w14:solidFill>
                    <w14:schemeClr w14:val="tx1"/>
                  </w14:solidFill>
                </w14:textFill>
              </w:rPr>
              <w:t>15</w:t>
            </w:r>
            <w:r>
              <w:rPr>
                <w:rFonts w:hint="eastAsia"/>
                <w:color w:val="000000" w:themeColor="text1"/>
                <w:sz w:val="24"/>
                <w:lang w:val="en-GB"/>
                <w14:textFill>
                  <w14:solidFill>
                    <w14:schemeClr w14:val="tx1"/>
                  </w14:solidFill>
                </w14:textFill>
              </w:rPr>
              <w:t>日</w:t>
            </w:r>
            <w:r>
              <w:rPr>
                <w:rFonts w:hint="eastAsia"/>
                <w:color w:val="000000" w:themeColor="text1"/>
                <w:sz w:val="24"/>
                <w14:textFill>
                  <w14:solidFill>
                    <w14:schemeClr w14:val="tx1"/>
                  </w14:solidFill>
                </w14:textFill>
              </w:rPr>
              <w:t>；</w:t>
            </w:r>
          </w:p>
          <w:p>
            <w:pPr>
              <w:autoSpaceDE w:val="0"/>
              <w:autoSpaceDN w:val="0"/>
              <w:adjustRightInd w:val="0"/>
              <w:spacing w:line="360" w:lineRule="auto"/>
              <w:ind w:firstLine="480" w:firstLineChars="200"/>
              <w:rPr>
                <w:rFonts w:hint="eastAsia" w:eastAsia="宋体"/>
                <w:color w:val="000000" w:themeColor="text1"/>
                <w:sz w:val="24"/>
                <w:lang w:val="en-GB"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陕西主体功能区</w:t>
            </w:r>
            <w:r>
              <w:rPr>
                <w:rFonts w:hint="eastAsia"/>
                <w:bCs/>
                <w:color w:val="000000" w:themeColor="text1"/>
                <w:sz w:val="24"/>
                <w:lang w:val="en-US" w:eastAsia="zh-CN"/>
                <w14:textFill>
                  <w14:solidFill>
                    <w14:schemeClr w14:val="tx1"/>
                  </w14:solidFill>
                </w14:textFill>
              </w:rPr>
              <w:t>规划</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2013年3月13日；</w:t>
            </w:r>
          </w:p>
          <w:p>
            <w:pPr>
              <w:autoSpaceDE w:val="0"/>
              <w:autoSpaceDN w:val="0"/>
              <w:adjustRightInd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10</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山西省主体功能区</w:t>
            </w:r>
            <w:r>
              <w:rPr>
                <w:rFonts w:hint="eastAsia"/>
                <w:bCs/>
                <w:color w:val="000000" w:themeColor="text1"/>
                <w:sz w:val="24"/>
                <w:lang w:val="en-US" w:eastAsia="zh-CN"/>
                <w14:textFill>
                  <w14:solidFill>
                    <w14:schemeClr w14:val="tx1"/>
                  </w14:solidFill>
                </w14:textFill>
              </w:rPr>
              <w:t>规划</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2014年3月17日；</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w:t>
            </w:r>
            <w:r>
              <w:rPr>
                <w:rFonts w:hint="eastAsia"/>
                <w:color w:val="000000" w:themeColor="text1"/>
                <w:sz w:val="24"/>
                <w:lang w:val="en-US" w:eastAsia="zh-CN"/>
                <w14:textFill>
                  <w14:solidFill>
                    <w14:schemeClr w14:val="tx1"/>
                  </w14:solidFill>
                </w14:textFill>
              </w:rPr>
              <w:t>11</w:t>
            </w:r>
            <w:r>
              <w:rPr>
                <w:rFonts w:hint="eastAsia"/>
                <w:color w:val="000000" w:themeColor="text1"/>
                <w:sz w:val="24"/>
                <w:lang w:val="en-GB"/>
                <w14:textFill>
                  <w14:solidFill>
                    <w14:schemeClr w14:val="tx1"/>
                  </w14:solidFill>
                </w14:textFill>
              </w:rPr>
              <w:t>）《内蒙古自治区自然保护区实施办法》，1998年11月25日；</w:t>
            </w:r>
          </w:p>
          <w:p>
            <w:pPr>
              <w:autoSpaceDE w:val="0"/>
              <w:autoSpaceDN w:val="0"/>
              <w:adjustRightInd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12</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《宁夏回族自治区自然保护区管理办法》，2017年11月30日；</w:t>
            </w:r>
          </w:p>
          <w:p>
            <w:pPr>
              <w:autoSpaceDE w:val="0"/>
              <w:autoSpaceDN w:val="0"/>
              <w:adjustRightInd w:val="0"/>
              <w:spacing w:line="360" w:lineRule="auto"/>
              <w:ind w:firstLine="480" w:firstLineChars="200"/>
              <w:rPr>
                <w:rFonts w:hint="eastAsia" w:ascii="宋体" w:hAnsi="宋体" w:eastAsia="宋体" w:cs="宋体"/>
                <w:color w:val="000000" w:themeColor="text1"/>
                <w:kern w:val="0"/>
                <w:sz w:val="24"/>
                <w:szCs w:val="24"/>
                <w:lang w:val="en-US" w:eastAsia="zh-CN" w:bidi="ar"/>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13</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《陕西省实施〈中华人民共和国自然保护区条例〉办法》，2001年6月11日；</w:t>
            </w:r>
          </w:p>
          <w:p>
            <w:pPr>
              <w:autoSpaceDE w:val="0"/>
              <w:autoSpaceDN w:val="0"/>
              <w:adjustRightInd w:val="0"/>
              <w:spacing w:line="360" w:lineRule="auto"/>
              <w:ind w:firstLine="480" w:firstLineChars="200"/>
              <w:rPr>
                <w:rFonts w:hint="eastAsia" w:eastAsia="宋体"/>
                <w:color w:val="000000" w:themeColor="text1"/>
                <w:sz w:val="24"/>
                <w:lang w:val="en-GB"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14）</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甘肃省自然保护区条例</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，2018年9月21日；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val="en-GB"/>
                <w14:textFill>
                  <w14:solidFill>
                    <w14:schemeClr w14:val="tx1"/>
                  </w14:solidFill>
                </w14:textFill>
              </w:rPr>
              <w:t>《内蒙古自治区辐射污染防治条例》；</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16）《甘肃省辐射污染防治条例》，2015年1月21日；</w:t>
            </w:r>
          </w:p>
          <w:p>
            <w:pPr>
              <w:autoSpaceDE w:val="0"/>
              <w:autoSpaceDN w:val="0"/>
              <w:adjustRightInd w:val="0"/>
              <w:spacing w:line="360" w:lineRule="auto"/>
              <w:ind w:firstLine="480" w:firstLineChars="200"/>
              <w:rPr>
                <w:rFonts w:hint="eastAsia" w:ascii="宋体" w:hAnsi="宋体" w:eastAsia="宋体" w:cs="宋体"/>
                <w:color w:val="000000" w:themeColor="text1"/>
                <w:kern w:val="0"/>
                <w:sz w:val="24"/>
                <w:szCs w:val="24"/>
                <w:lang w:val="en-US" w:eastAsia="zh-CN" w:bidi="ar"/>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17</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《宁夏回族自治区辐射污染防治办法》，2019年2月1日；</w:t>
            </w:r>
          </w:p>
          <w:p>
            <w:pPr>
              <w:autoSpaceDE w:val="0"/>
              <w:autoSpaceDN w:val="0"/>
              <w:adjustRightInd w:val="0"/>
              <w:spacing w:line="360" w:lineRule="auto"/>
              <w:ind w:firstLine="480" w:firstLineChars="200"/>
              <w:rPr>
                <w:rFonts w:hint="eastAsia" w:ascii="宋体" w:hAnsi="宋体" w:eastAsia="宋体" w:cs="宋体"/>
                <w:color w:val="000000" w:themeColor="text1"/>
                <w:kern w:val="0"/>
                <w:sz w:val="24"/>
                <w:szCs w:val="24"/>
                <w:lang w:val="en-US" w:eastAsia="zh-CN" w:bidi="ar"/>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18</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《陕西省放射性污染防治条例》，</w:t>
            </w:r>
            <w:r>
              <w:rPr>
                <w:color w:val="000000" w:themeColor="text1"/>
                <w:sz w:val="24"/>
                <w:lang w:val="en-GB"/>
                <w14:textFill>
                  <w14:solidFill>
                    <w14:schemeClr w14:val="tx1"/>
                  </w14:solidFill>
                </w14:textFill>
              </w:rPr>
              <w:t>201</w:t>
            </w:r>
            <w:r>
              <w:rPr>
                <w:rFonts w:hint="eastAsia"/>
                <w:color w:val="000000" w:themeColor="text1"/>
                <w:sz w:val="24"/>
                <w:lang w:val="en-US" w:eastAsia="zh-CN"/>
                <w14:textFill>
                  <w14:solidFill>
                    <w14:schemeClr w14:val="tx1"/>
                  </w14:solidFill>
                </w14:textFill>
              </w:rPr>
              <w:t>9</w:t>
            </w:r>
            <w:r>
              <w:rPr>
                <w:rFonts w:hint="eastAsia"/>
                <w:color w:val="000000" w:themeColor="text1"/>
                <w:sz w:val="24"/>
                <w:lang w:val="en-GB"/>
                <w14:textFill>
                  <w14:solidFill>
                    <w14:schemeClr w14:val="tx1"/>
                  </w14:solidFill>
                </w14:textFill>
              </w:rPr>
              <w:t>年</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月</w:t>
            </w:r>
            <w:r>
              <w:rPr>
                <w:rFonts w:hint="eastAsia"/>
                <w:color w:val="000000" w:themeColor="text1"/>
                <w:sz w:val="24"/>
                <w:lang w:val="en-US" w:eastAsia="zh-CN"/>
                <w14:textFill>
                  <w14:solidFill>
                    <w14:schemeClr w14:val="tx1"/>
                  </w14:solidFill>
                </w14:textFill>
              </w:rPr>
              <w:t>3</w:t>
            </w:r>
            <w:r>
              <w:rPr>
                <w:color w:val="000000" w:themeColor="text1"/>
                <w:sz w:val="24"/>
                <w:lang w:val="en-GB"/>
                <w14:textFill>
                  <w14:solidFill>
                    <w14:schemeClr w14:val="tx1"/>
                  </w14:solidFill>
                </w14:textFill>
              </w:rPr>
              <w:t>1</w:t>
            </w:r>
            <w:r>
              <w:rPr>
                <w:rFonts w:hint="eastAsia"/>
                <w:color w:val="000000" w:themeColor="text1"/>
                <w:sz w:val="24"/>
                <w:lang w:val="en-GB"/>
                <w14:textFill>
                  <w14:solidFill>
                    <w14:schemeClr w14:val="tx1"/>
                  </w14:solidFill>
                </w14:textFill>
              </w:rPr>
              <w:t>日；</w:t>
            </w:r>
          </w:p>
          <w:p>
            <w:pPr>
              <w:autoSpaceDE w:val="0"/>
              <w:autoSpaceDN w:val="0"/>
              <w:adjustRightInd w:val="0"/>
              <w:spacing w:line="360" w:lineRule="auto"/>
              <w:ind w:firstLine="480" w:firstLineChars="200"/>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pP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（19）《山西省</w:t>
            </w:r>
            <w:r>
              <w:rPr>
                <w:rFonts w:hint="default" w:ascii="Times New Roman" w:hAnsi="Times New Roman" w:cs="Times New Roman"/>
                <w:color w:val="000000" w:themeColor="text1"/>
                <w:sz w:val="24"/>
                <w:lang w:val="en-US" w:eastAsia="zh-CN"/>
                <w14:textFill>
                  <w14:solidFill>
                    <w14:schemeClr w14:val="tx1"/>
                  </w14:solidFill>
                </w14:textFill>
              </w:rPr>
              <w:t>固体废物</w:t>
            </w:r>
            <w:r>
              <w:rPr>
                <w:rFonts w:hint="default" w:ascii="Times New Roman" w:hAnsi="Times New Roman" w:cs="Times New Roman"/>
                <w:color w:val="000000" w:themeColor="text1"/>
                <w:sz w:val="24"/>
                <w:lang w:val="en-GB"/>
                <w14:textFill>
                  <w14:solidFill>
                    <w14:schemeClr w14:val="tx1"/>
                  </w14:solidFill>
                </w14:textFill>
              </w:rPr>
              <w:t>污染</w:t>
            </w:r>
            <w:r>
              <w:rPr>
                <w:rFonts w:hint="default" w:ascii="Times New Roman" w:hAnsi="Times New Roman" w:cs="Times New Roman"/>
                <w:color w:val="000000" w:themeColor="text1"/>
                <w:sz w:val="24"/>
                <w:lang w:val="en-US" w:eastAsia="zh-CN"/>
                <w14:textFill>
                  <w14:solidFill>
                    <w14:schemeClr w14:val="tx1"/>
                  </w14:solidFill>
                </w14:textFill>
              </w:rPr>
              <w:t>环境</w:t>
            </w:r>
            <w:r>
              <w:rPr>
                <w:rFonts w:hint="default" w:ascii="Times New Roman" w:hAnsi="Times New Roman" w:cs="Times New Roman"/>
                <w:color w:val="000000" w:themeColor="text1"/>
                <w:sz w:val="24"/>
                <w:lang w:val="en-GB"/>
                <w14:textFill>
                  <w14:solidFill>
                    <w14:schemeClr w14:val="tx1"/>
                  </w14:solidFill>
                </w14:textFill>
              </w:rPr>
              <w:t>防治条例</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》，2020年3月31日；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20）</w:t>
            </w:r>
            <w:r>
              <w:rPr>
                <w:rFonts w:hint="eastAsia"/>
                <w:color w:val="000000" w:themeColor="text1"/>
                <w:sz w:val="24"/>
                <w:lang w:val="en-GB"/>
                <w14:textFill>
                  <w14:solidFill>
                    <w14:schemeClr w14:val="tx1"/>
                  </w14:solidFill>
                </w14:textFill>
              </w:rPr>
              <w:t>《内蒙古自治区草原管理条例》，2004年11月26日；</w:t>
            </w:r>
          </w:p>
          <w:p>
            <w:pPr>
              <w:autoSpaceDE w:val="0"/>
              <w:autoSpaceDN w:val="0"/>
              <w:adjustRightInd w:val="0"/>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default" w:ascii="Times New Roman" w:hAnsi="Times New Roman" w:cs="Times New Roman"/>
                <w:color w:val="000000" w:themeColor="text1"/>
                <w:kern w:val="0"/>
                <w:sz w:val="24"/>
                <w:szCs w:val="24"/>
                <w:lang w:val="en-US" w:eastAsia="zh-CN" w:bidi="ar"/>
                <w14:textFill>
                  <w14:solidFill>
                    <w14:schemeClr w14:val="tx1"/>
                  </w14:solidFill>
                </w14:textFill>
              </w:rPr>
              <w:t>2</w:t>
            </w:r>
            <w:r>
              <w:rPr>
                <w:rFonts w:hint="default" w:ascii="Times New Roman" w:hAnsi="Times New Roman" w:cs="Times New Roman"/>
                <w:color w:val="000000" w:themeColor="text1"/>
                <w:sz w:val="24"/>
                <w:lang w:val="en-US" w:eastAsia="zh-CN"/>
                <w14:textFill>
                  <w14:solidFill>
                    <w14:schemeClr w14:val="tx1"/>
                  </w14:solidFill>
                </w14:textFill>
              </w:rPr>
              <w:t>1）</w:t>
            </w:r>
            <w:r>
              <w:rPr>
                <w:rFonts w:hint="default"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甘肃省草原条例</w:t>
            </w:r>
            <w:r>
              <w:rPr>
                <w:rFonts w:hint="default"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2007年3月1日；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22</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《宁夏回族自治区草原管理条例》，200</w:t>
            </w:r>
            <w:r>
              <w:rPr>
                <w:color w:val="000000" w:themeColor="text1"/>
                <w:sz w:val="24"/>
                <w:lang w:val="en-GB"/>
                <w14:textFill>
                  <w14:solidFill>
                    <w14:schemeClr w14:val="tx1"/>
                  </w14:solidFill>
                </w14:textFill>
              </w:rPr>
              <w:t>6</w:t>
            </w:r>
            <w:r>
              <w:rPr>
                <w:rFonts w:hint="eastAsia"/>
                <w:color w:val="000000" w:themeColor="text1"/>
                <w:sz w:val="24"/>
                <w:lang w:val="en-GB"/>
                <w14:textFill>
                  <w14:solidFill>
                    <w14:schemeClr w14:val="tx1"/>
                  </w14:solidFill>
                </w14:textFill>
              </w:rPr>
              <w:t>年</w:t>
            </w:r>
            <w:r>
              <w:rPr>
                <w:color w:val="000000" w:themeColor="text1"/>
                <w:sz w:val="24"/>
                <w:lang w:val="en-GB"/>
                <w14:textFill>
                  <w14:solidFill>
                    <w14:schemeClr w14:val="tx1"/>
                  </w14:solidFill>
                </w14:textFill>
              </w:rPr>
              <w:t>1</w:t>
            </w:r>
            <w:r>
              <w:rPr>
                <w:rFonts w:hint="eastAsia"/>
                <w:color w:val="000000" w:themeColor="text1"/>
                <w:sz w:val="24"/>
                <w:lang w:val="en-GB"/>
                <w14:textFill>
                  <w14:solidFill>
                    <w14:schemeClr w14:val="tx1"/>
                  </w14:solidFill>
                </w14:textFill>
              </w:rPr>
              <w:t>月1日；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23</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《陕西省实施〈中华人民共和国草原法〉办法》，2009年10月1日；</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（24）《山西省永久性生态公益林保护条例》，2016年12月14日；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（25）《甘肃省生态功能区划》，</w:t>
            </w:r>
            <w:r>
              <w:rPr>
                <w:rFonts w:hint="default"/>
                <w:color w:val="000000" w:themeColor="text1"/>
                <w:sz w:val="24"/>
                <w:lang w:val="en-US" w:eastAsia="zh-CN"/>
                <w14:textFill>
                  <w14:solidFill>
                    <w14:schemeClr w14:val="tx1"/>
                  </w14:solidFill>
                </w14:textFill>
              </w:rPr>
              <w:t>2004</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10</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w:t>
            </w:r>
            <w:r>
              <w:rPr>
                <w:rFonts w:hint="eastAsia"/>
                <w:color w:val="000000" w:themeColor="text1"/>
                <w:sz w:val="24"/>
                <w:lang w:val="en-US" w:eastAsia="zh-CN"/>
                <w14:textFill>
                  <w14:solidFill>
                    <w14:schemeClr w14:val="tx1"/>
                  </w14:solidFill>
                </w14:textFill>
              </w:rPr>
              <w:t>26）《内蒙古自治区生态功能区划》，2001年3月16日；</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（27）《甘肃省地表水功能区划（</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2030</w:t>
            </w: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2012</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8</w:t>
            </w:r>
            <w:r>
              <w:rPr>
                <w:rFonts w:hint="eastAsia"/>
                <w:color w:val="000000" w:themeColor="text1"/>
                <w:sz w:val="24"/>
                <w:lang w:val="en-US" w:eastAsia="zh-CN"/>
                <w14:textFill>
                  <w14:solidFill>
                    <w14:schemeClr w14:val="tx1"/>
                  </w14:solidFill>
                </w14:textFill>
              </w:rPr>
              <w:t>月；</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（28）《内蒙古自治区水功能区管理办法》，2015年4月；</w:t>
            </w:r>
          </w:p>
          <w:p>
            <w:pPr>
              <w:autoSpaceDE w:val="0"/>
              <w:autoSpaceDN w:val="0"/>
              <w:adjustRightInd w:val="0"/>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（29）《甘肃省辐射污染防治条例》，</w:t>
            </w:r>
            <w:r>
              <w:rPr>
                <w:rFonts w:hint="default"/>
                <w:color w:val="000000" w:themeColor="text1"/>
                <w:sz w:val="24"/>
                <w:lang w:val="en-US" w:eastAsia="zh-CN"/>
                <w14:textFill>
                  <w14:solidFill>
                    <w14:schemeClr w14:val="tx1"/>
                  </w14:solidFill>
                </w14:textFill>
              </w:rPr>
              <w:t>2015</w:t>
            </w:r>
            <w:r>
              <w:rPr>
                <w:rFonts w:hint="eastAsia"/>
                <w:color w:val="000000" w:themeColor="text1"/>
                <w:sz w:val="24"/>
                <w:lang w:val="en-US" w:eastAsia="zh-CN"/>
                <w14:textFill>
                  <w14:solidFill>
                    <w14:schemeClr w14:val="tx1"/>
                  </w14:solidFill>
                </w14:textFill>
              </w:rPr>
              <w:t>年</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月</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（30）《甘肃省国家重点生态功能区产业准入负面清单（试行）》，2017年8月22日；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GB"/>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31）</w:t>
            </w:r>
            <w:r>
              <w:rPr>
                <w:rFonts w:hint="default" w:ascii="Times New Roman" w:hAnsi="Times New Roman" w:cs="Times New Roman"/>
                <w:color w:val="000000" w:themeColor="text1"/>
                <w:sz w:val="24"/>
                <w14:textFill>
                  <w14:solidFill>
                    <w14:schemeClr w14:val="tx1"/>
                  </w14:solidFill>
                </w14:textFill>
              </w:rPr>
              <w:t>《内蒙古自治区国家重点生态功能区产业准入负面清单（试行）》</w:t>
            </w:r>
            <w:r>
              <w:rPr>
                <w:rFonts w:hint="default" w:ascii="Times New Roman" w:hAnsi="Times New Roman" w:cs="Times New Roman"/>
                <w:color w:val="000000" w:themeColor="text1"/>
                <w:sz w:val="24"/>
                <w:lang w:val="en-GB"/>
                <w14:textFill>
                  <w14:solidFill>
                    <w14:schemeClr w14:val="tx1"/>
                  </w14:solidFill>
                </w14:textFill>
              </w:rPr>
              <w:t>，2018年3月12日；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32</w:t>
            </w:r>
            <w:r>
              <w:rPr>
                <w:rFonts w:hint="default" w:ascii="Times New Roman" w:hAnsi="Times New Roman" w:cs="Times New Roman"/>
                <w:color w:val="000000" w:themeColor="text1"/>
                <w:sz w:val="24"/>
                <w:lang w:val="en-GB" w:eastAsia="zh-CN"/>
                <w14:textFill>
                  <w14:solidFill>
                    <w14:schemeClr w14:val="tx1"/>
                  </w14:solidFill>
                </w14:textFill>
              </w:rPr>
              <w:t>）</w:t>
            </w:r>
            <w:r>
              <w:rPr>
                <w:rFonts w:hint="default" w:ascii="Times New Roman" w:hAnsi="Times New Roman" w:cs="Times New Roman"/>
                <w:color w:val="000000" w:themeColor="text1"/>
                <w:sz w:val="24"/>
                <w:lang w:val="en-GB"/>
                <w14:textFill>
                  <w14:solidFill>
                    <w14:schemeClr w14:val="tx1"/>
                  </w14:solidFill>
                </w14:textFill>
              </w:rPr>
              <w:t>《陕西省国家重点生态功能区产业准入负面清单（试行）》，2018年2月9日；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GB"/>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33</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《宁夏回族自治区国家重点生态功能区产业准入负面清单</w:t>
            </w:r>
            <w:r>
              <w:rPr>
                <w:rFonts w:hint="default" w:ascii="Times New Roman" w:hAnsi="Times New Roman" w:cs="Times New Roman"/>
                <w:color w:val="000000" w:themeColor="text1"/>
                <w:sz w:val="24"/>
                <w:lang w:val="en-GB"/>
                <w14:textFill>
                  <w14:solidFill>
                    <w14:schemeClr w14:val="tx1"/>
                  </w14:solidFill>
                </w14:textFill>
              </w:rPr>
              <w:t>（试行）》，2018年9月29日；</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eastAsia="zh-CN"/>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34</w:t>
            </w:r>
            <w:r>
              <w:rPr>
                <w:rFonts w:hint="eastAsia"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w:t>
            </w:r>
            <w:r>
              <w:rPr>
                <w:rFonts w:hint="eastAsia" w:cs="Times New Roman"/>
                <w:color w:val="000000" w:themeColor="text1"/>
                <w:sz w:val="24"/>
                <w:lang w:val="en-US" w:eastAsia="zh-CN"/>
                <w14:textFill>
                  <w14:solidFill>
                    <w14:schemeClr w14:val="tx1"/>
                  </w14:solidFill>
                </w14:textFill>
              </w:rPr>
              <w:t>山西省</w:t>
            </w:r>
            <w:r>
              <w:rPr>
                <w:rFonts w:hint="default" w:ascii="Times New Roman" w:hAnsi="Times New Roman" w:cs="Times New Roman"/>
                <w:color w:val="000000" w:themeColor="text1"/>
                <w:sz w:val="24"/>
                <w14:textFill>
                  <w14:solidFill>
                    <w14:schemeClr w14:val="tx1"/>
                  </w14:solidFill>
                </w14:textFill>
              </w:rPr>
              <w:t>国家重点生态功能区产业准入负面清单</w:t>
            </w:r>
            <w:r>
              <w:rPr>
                <w:rFonts w:hint="default" w:ascii="Times New Roman" w:hAnsi="Times New Roman" w:cs="Times New Roman"/>
                <w:color w:val="000000" w:themeColor="text1"/>
                <w:sz w:val="24"/>
                <w:lang w:val="en-GB"/>
                <w14:textFill>
                  <w14:solidFill>
                    <w14:schemeClr w14:val="tx1"/>
                  </w14:solidFill>
                </w14:textFill>
              </w:rPr>
              <w:t>（试行）》</w:t>
            </w:r>
          </w:p>
          <w:p>
            <w:pPr>
              <w:autoSpaceDE w:val="0"/>
              <w:autoSpaceDN w:val="0"/>
              <w:adjustRightInd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（3</w:t>
            </w:r>
            <w:r>
              <w:rPr>
                <w:rFonts w:hint="eastAsia" w:ascii="Times New Roman" w:hAnsi="Times New Roman" w:cs="Times New Roman"/>
                <w:color w:val="000000" w:themeColor="text1"/>
                <w:sz w:val="24"/>
                <w:lang w:val="en-US" w:eastAsia="zh-CN"/>
                <w14:textFill>
                  <w14:solidFill>
                    <w14:schemeClr w14:val="tx1"/>
                  </w14:solidFill>
                </w14:textFill>
              </w:rPr>
              <w:t>5</w:t>
            </w:r>
            <w:r>
              <w:rPr>
                <w:rFonts w:hint="default" w:ascii="Times New Roman" w:hAnsi="Times New Roman" w:cs="Times New Roman"/>
                <w:color w:val="000000" w:themeColor="text1"/>
                <w:sz w:val="24"/>
                <w:lang w:val="en-US" w:eastAsia="zh-CN"/>
                <w14:textFill>
                  <w14:solidFill>
                    <w14:schemeClr w14:val="tx1"/>
                  </w14:solidFill>
                </w14:textFill>
              </w:rPr>
              <w:t>）《甘肃省矿产资源总体规划（2016～2020年）》，2017年9月13日；</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w:t>
            </w:r>
            <w:r>
              <w:rPr>
                <w:rFonts w:hint="eastAsia" w:ascii="Times New Roman" w:hAnsi="Times New Roman" w:cs="Times New Roman"/>
                <w:color w:val="000000" w:themeColor="text1"/>
                <w:sz w:val="24"/>
                <w:lang w:val="en-US" w:eastAsia="zh-CN"/>
                <w14:textFill>
                  <w14:solidFill>
                    <w14:schemeClr w14:val="tx1"/>
                  </w14:solidFill>
                </w14:textFill>
              </w:rPr>
              <w:t>6</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《内蒙古自治区矿产资源总体规划（2016-2020年）》，</w:t>
            </w:r>
            <w:r>
              <w:rPr>
                <w:rFonts w:hint="eastAsia"/>
                <w:color w:val="000000" w:themeColor="text1"/>
                <w:sz w:val="24"/>
                <w14:textFill>
                  <w14:solidFill>
                    <w14:schemeClr w14:val="tx1"/>
                  </w14:solidFill>
                </w14:textFill>
              </w:rPr>
              <w:t>2017年</w:t>
            </w:r>
            <w:r>
              <w:rPr>
                <w:color w:val="000000" w:themeColor="text1"/>
                <w:sz w:val="24"/>
                <w14:textFill>
                  <w14:solidFill>
                    <w14:schemeClr w14:val="tx1"/>
                  </w14:solidFill>
                </w14:textFill>
              </w:rPr>
              <w:t>11</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30</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37</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陕西省矿产资源总体规划（2</w:t>
            </w:r>
            <w:r>
              <w:rPr>
                <w:color w:val="000000" w:themeColor="text1"/>
                <w:sz w:val="24"/>
                <w14:textFill>
                  <w14:solidFill>
                    <w14:schemeClr w14:val="tx1"/>
                  </w14:solidFill>
                </w14:textFill>
              </w:rPr>
              <w:t>016-2020</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lang w:val="en-GB"/>
                <w14:textFill>
                  <w14:solidFill>
                    <w14:schemeClr w14:val="tx1"/>
                  </w14:solidFill>
                </w14:textFill>
              </w:rPr>
              <w:t>年</w:t>
            </w:r>
            <w:r>
              <w:rPr>
                <w:color w:val="000000" w:themeColor="text1"/>
                <w:sz w:val="24"/>
                <w14:textFill>
                  <w14:solidFill>
                    <w14:schemeClr w14:val="tx1"/>
                  </w14:solidFill>
                </w14:textFill>
              </w:rPr>
              <w:t>3</w:t>
            </w:r>
            <w:r>
              <w:rPr>
                <w:rFonts w:hint="eastAsia"/>
                <w:color w:val="000000" w:themeColor="text1"/>
                <w:sz w:val="24"/>
                <w:lang w:val="en-GB"/>
                <w14:textFill>
                  <w14:solidFill>
                    <w14:schemeClr w14:val="tx1"/>
                  </w14:solidFill>
                </w14:textFill>
              </w:rPr>
              <w:t>月</w:t>
            </w:r>
            <w:r>
              <w:rPr>
                <w:color w:val="000000" w:themeColor="text1"/>
                <w:sz w:val="24"/>
                <w14:textFill>
                  <w14:solidFill>
                    <w14:schemeClr w14:val="tx1"/>
                  </w14:solidFill>
                </w14:textFill>
              </w:rPr>
              <w:t>26</w:t>
            </w:r>
            <w:r>
              <w:rPr>
                <w:rFonts w:hint="eastAsia"/>
                <w:color w:val="000000" w:themeColor="text1"/>
                <w:sz w:val="24"/>
                <w:lang w:val="en-GB"/>
                <w14:textFill>
                  <w14:solidFill>
                    <w14:schemeClr w14:val="tx1"/>
                  </w14:solidFill>
                </w14:textFill>
              </w:rPr>
              <w:t>日</w:t>
            </w:r>
            <w:r>
              <w:rPr>
                <w:rFonts w:hint="eastAsia"/>
                <w:color w:val="000000" w:themeColor="text1"/>
                <w:sz w:val="24"/>
                <w14:textFill>
                  <w14:solidFill>
                    <w14:schemeClr w14:val="tx1"/>
                  </w14:solidFill>
                </w14:textFill>
              </w:rPr>
              <w:t>；</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38</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《宁夏回族自治区矿产资源总体规划（2016-2020）》，2017年</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月1</w:t>
            </w:r>
            <w:r>
              <w:rPr>
                <w:color w:val="000000" w:themeColor="text1"/>
                <w:sz w:val="24"/>
                <w14:textFill>
                  <w14:solidFill>
                    <w14:schemeClr w14:val="tx1"/>
                  </w14:solidFill>
                </w14:textFill>
              </w:rPr>
              <w:t>6</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39</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山西省</w:t>
            </w:r>
            <w:r>
              <w:rPr>
                <w:rFonts w:hint="eastAsia"/>
                <w:color w:val="000000" w:themeColor="text1"/>
                <w:sz w:val="24"/>
                <w14:textFill>
                  <w14:solidFill>
                    <w14:schemeClr w14:val="tx1"/>
                  </w14:solidFill>
                </w14:textFill>
              </w:rPr>
              <w:t>矿产资源总体规划（2</w:t>
            </w:r>
            <w:r>
              <w:rPr>
                <w:color w:val="000000" w:themeColor="text1"/>
                <w:sz w:val="24"/>
                <w14:textFill>
                  <w14:solidFill>
                    <w14:schemeClr w14:val="tx1"/>
                  </w14:solidFill>
                </w14:textFill>
              </w:rPr>
              <w:t>016-2020</w:t>
            </w:r>
            <w:r>
              <w:rPr>
                <w:rFonts w:hint="eastAsia"/>
                <w:color w:val="000000" w:themeColor="text1"/>
                <w:sz w:val="24"/>
                <w14:textFill>
                  <w14:solidFill>
                    <w14:schemeClr w14:val="tx1"/>
                  </w14:solidFill>
                </w14:textFill>
              </w:rPr>
              <w: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2017年8月21日；</w:t>
            </w:r>
          </w:p>
          <w:p>
            <w:pPr>
              <w:autoSpaceDE w:val="0"/>
              <w:autoSpaceDN w:val="0"/>
              <w:adjustRightInd w:val="0"/>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40</w:t>
            </w:r>
            <w:r>
              <w:rPr>
                <w:rFonts w:hint="eastAsia"/>
                <w:color w:val="000000" w:themeColor="text1"/>
                <w:sz w:val="24"/>
                <w14:textFill>
                  <w14:solidFill>
                    <w14:schemeClr w14:val="tx1"/>
                  </w14:solidFill>
                </w14:textFill>
              </w:rPr>
              <w:t>）《甘肃省人民政府关于实施“三线一单”生态环境分区管控的意见》（甘政发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68号），</w:t>
            </w:r>
            <w:r>
              <w:rPr>
                <w:color w:val="000000" w:themeColor="text1"/>
                <w:sz w:val="24"/>
                <w14:textFill>
                  <w14:solidFill>
                    <w14:schemeClr w14:val="tx1"/>
                  </w14:solidFill>
                </w14:textFill>
              </w:rPr>
              <w:t>2020</w:t>
            </w:r>
            <w:r>
              <w:rPr>
                <w:rFonts w:hint="eastAsia"/>
                <w:color w:val="000000" w:themeColor="text1"/>
                <w:sz w:val="24"/>
                <w14:textFill>
                  <w14:solidFill>
                    <w14:schemeClr w14:val="tx1"/>
                  </w14:solidFill>
                </w14:textFill>
              </w:rPr>
              <w:t>年</w:t>
            </w:r>
            <w:r>
              <w:rPr>
                <w:color w:val="000000" w:themeColor="text1"/>
                <w:sz w:val="24"/>
                <w14:textFill>
                  <w14:solidFill>
                    <w14:schemeClr w14:val="tx1"/>
                  </w14:solidFill>
                </w14:textFill>
              </w:rPr>
              <w:t>12</w:t>
            </w:r>
            <w:r>
              <w:rPr>
                <w:rFonts w:hint="eastAsia"/>
                <w:color w:val="000000" w:themeColor="text1"/>
                <w:sz w:val="24"/>
                <w14:textFill>
                  <w14:solidFill>
                    <w14:schemeClr w14:val="tx1"/>
                  </w14:solidFill>
                </w14:textFill>
              </w:rPr>
              <w:t>月</w:t>
            </w:r>
            <w:r>
              <w:rPr>
                <w:color w:val="000000" w:themeColor="text1"/>
                <w:sz w:val="24"/>
                <w14:textFill>
                  <w14:solidFill>
                    <w14:schemeClr w14:val="tx1"/>
                  </w14:solidFill>
                </w14:textFill>
              </w:rPr>
              <w:t>29</w:t>
            </w:r>
            <w:r>
              <w:rPr>
                <w:rFonts w:hint="eastAsia"/>
                <w:color w:val="000000" w:themeColor="text1"/>
                <w:sz w:val="24"/>
                <w14:textFill>
                  <w14:solidFill>
                    <w14:schemeClr w14:val="tx1"/>
                  </w14:solidFill>
                </w14:textFill>
              </w:rPr>
              <w:t>日；</w:t>
            </w:r>
          </w:p>
          <w:p>
            <w:pPr>
              <w:autoSpaceDE w:val="0"/>
              <w:autoSpaceDN w:val="0"/>
              <w:adjustRightInd w:val="0"/>
              <w:spacing w:line="360" w:lineRule="auto"/>
              <w:ind w:firstLine="480" w:firstLineChars="200"/>
              <w:rPr>
                <w:rFonts w:hint="eastAsia"/>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（41）</w:t>
            </w:r>
            <w:r>
              <w:rPr>
                <w:rFonts w:hint="eastAsia"/>
                <w:color w:val="000000" w:themeColor="text1"/>
                <w:sz w:val="24"/>
                <w14:textFill>
                  <w14:solidFill>
                    <w14:schemeClr w14:val="tx1"/>
                  </w14:solidFill>
                </w14:textFill>
              </w:rPr>
              <w:t>《内蒙古自治区人民政府关于实施“三线一单”生态环境分区管控的意见》（内政发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24号），2020年12月29日</w:t>
            </w:r>
            <w:r>
              <w:rPr>
                <w:rFonts w:hint="eastAsia"/>
                <w:color w:val="000000" w:themeColor="text1"/>
                <w:sz w:val="24"/>
                <w:lang w:val="en-GB"/>
                <w14:textFill>
                  <w14:solidFill>
                    <w14:schemeClr w14:val="tx1"/>
                  </w14:solidFill>
                </w14:textFill>
              </w:rPr>
              <w:t>；</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42</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陕西省人民政府方关于实施“三线一单”生态环境分区管控的意见》（陕政发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11号），2020年12月24日；</w:t>
            </w:r>
          </w:p>
          <w:p>
            <w:pPr>
              <w:autoSpaceDE w:val="0"/>
              <w:autoSpaceDN w:val="0"/>
              <w:adjustRightInd w:val="0"/>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43</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宁夏回族自治区人民政府关于实施“三线一单”生态环境分区管控的通知》（宁政发</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2020</w:t>
            </w:r>
            <w:r>
              <w:rPr>
                <w:rFonts w:hint="eastAsia"/>
                <w:color w:val="000000" w:themeColor="text1"/>
                <w:sz w:val="24"/>
                <w:lang w:val="en-US" w:eastAsia="zh-CN"/>
                <w14:textFill>
                  <w14:solidFill>
                    <w14:schemeClr w14:val="tx1"/>
                  </w14:solidFill>
                </w14:textFill>
              </w:rPr>
              <w:t>]</w:t>
            </w:r>
            <w:r>
              <w:rPr>
                <w:rFonts w:hint="eastAsia"/>
                <w:color w:val="000000" w:themeColor="text1"/>
                <w:sz w:val="24"/>
                <w14:textFill>
                  <w14:solidFill>
                    <w14:schemeClr w14:val="tx1"/>
                  </w14:solidFill>
                </w14:textFill>
              </w:rPr>
              <w:t>37号），2020年12月30日；</w:t>
            </w:r>
          </w:p>
          <w:p>
            <w:pPr>
              <w:autoSpaceDE w:val="0"/>
              <w:autoSpaceDN w:val="0"/>
              <w:adjustRightInd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（44）《山西省人民政府关于实施“三线一单”生态环境分区管控的意见》（晋政发[2020]26号），2020年12月31日；</w:t>
            </w:r>
          </w:p>
          <w:p>
            <w:pPr>
              <w:autoSpaceDE w:val="0"/>
              <w:autoSpaceDN w:val="0"/>
              <w:adjustRightInd w:val="0"/>
              <w:spacing w:line="360" w:lineRule="auto"/>
              <w:rPr>
                <w:b/>
                <w:bCs/>
                <w:color w:val="000000" w:themeColor="text1"/>
                <w:sz w:val="24"/>
                <w:lang w:val="zh-CN"/>
                <w14:textFill>
                  <w14:solidFill>
                    <w14:schemeClr w14:val="tx1"/>
                  </w14:solidFill>
                </w14:textFill>
              </w:rPr>
            </w:pPr>
            <w:r>
              <w:rPr>
                <w:rFonts w:hint="eastAsia"/>
                <w:b/>
                <w:bCs/>
                <w:color w:val="000000" w:themeColor="text1"/>
                <w:sz w:val="24"/>
                <w:lang w:val="zh-CN"/>
                <w14:textFill>
                  <w14:solidFill>
                    <w14:schemeClr w14:val="tx1"/>
                  </w14:solidFill>
                </w14:textFill>
              </w:rPr>
              <w:t>3、</w:t>
            </w:r>
            <w:r>
              <w:rPr>
                <w:b/>
                <w:bCs/>
                <w:color w:val="000000" w:themeColor="text1"/>
                <w:sz w:val="24"/>
                <w:lang w:val="zh-CN"/>
                <w14:textFill>
                  <w14:solidFill>
                    <w14:schemeClr w14:val="tx1"/>
                  </w14:solidFill>
                </w14:textFill>
              </w:rPr>
              <w:t>技术导则及规范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（1）《建设项目环境影响评价技术导则—总纲》（HJ2.1-2016）；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（2）《环境影响评价技术导则—大气环境》（HJ2.2-2018）；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（3）《环境影响评价技术导则—地表水环境》（HJ2.3-2018）；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（4）《环境影响评价技术导则—地下水环境》（HJ610-2016）；</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（5）《环境影响评价技术导则—声环境》（HJ2.4-2009）；</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（6）《环境影响评价技术导则—生态影响》（HJ19-2011）；</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（7）《建设项目环境风险评价技术导则》（HJ169-2018）；</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（8）《环境影响评价技术导则 土壤环境（试行）》（HJ964-2018）；</w:t>
            </w:r>
          </w:p>
          <w:p>
            <w:pPr>
              <w:spacing w:line="360" w:lineRule="auto"/>
              <w:ind w:firstLine="480" w:firstLineChars="200"/>
              <w:rPr>
                <w:rFonts w:eastAsia="黑体"/>
                <w:color w:val="000000" w:themeColor="text1"/>
                <w:w w:val="95"/>
                <w:sz w:val="24"/>
                <w14:textFill>
                  <w14:solidFill>
                    <w14:schemeClr w14:val="tx1"/>
                  </w14:solidFill>
                </w14:textFill>
              </w:rPr>
            </w:pPr>
            <w:r>
              <w:rPr>
                <w:rFonts w:hint="eastAsia"/>
                <w:color w:val="000000" w:themeColor="text1"/>
                <w:sz w:val="24"/>
                <w14:textFill>
                  <w14:solidFill>
                    <w14:schemeClr w14:val="tx1"/>
                  </w14:solidFill>
                </w14:textFill>
              </w:rPr>
              <w:t>（9）《环境影响评价技术导则 铀矿冶》（HJ1015.1-2019）。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185" w:hRule="atLeast"/>
          <w:jc w:val="center"/>
        </w:trPr>
        <w:tc>
          <w:tcPr>
            <w:tcW w:w="329" w:type="pct"/>
            <w:tcBorders>
              <w:right w:val="single" w:color="auto" w:sz="4" w:space="0"/>
            </w:tcBorders>
            <w:vAlign w:val="center"/>
          </w:tcPr>
          <w:p>
            <w:pPr>
              <w:spacing w:line="360" w:lineRule="auto"/>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相关文件</w:t>
            </w:r>
          </w:p>
        </w:tc>
        <w:tc>
          <w:tcPr>
            <w:tcW w:w="4670" w:type="pct"/>
            <w:tcBorders>
              <w:left w:val="single" w:color="auto" w:sz="4" w:space="0"/>
            </w:tcBorders>
            <w:vAlign w:val="center"/>
          </w:tcPr>
          <w:p>
            <w:pPr>
              <w:spacing w:line="360" w:lineRule="auto"/>
              <w:ind w:firstLine="480" w:firstLineChars="200"/>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（1）中国核工业地质局下达的铀矿地质项目任务书</w:t>
            </w:r>
            <w:r>
              <w:rPr>
                <w:rFonts w:hint="eastAsia"/>
                <w:color w:val="000000" w:themeColor="text1"/>
                <w:sz w:val="24"/>
                <w:lang w:eastAsia="zh-CN"/>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（2）建设单位提供的</w:t>
            </w:r>
            <w:r>
              <w:rPr>
                <w:rFonts w:hint="eastAsia"/>
                <w:color w:val="000000" w:themeColor="text1"/>
                <w:sz w:val="24"/>
                <w:lang w:val="en-US" w:eastAsia="zh-CN"/>
                <w14:textFill>
                  <w14:solidFill>
                    <w14:schemeClr w14:val="tx1"/>
                  </w14:solidFill>
                </w14:textFill>
              </w:rPr>
              <w:t>项目工作方案</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）环评阶段收集、调查的自然保护区、风景名胜区等相关资料、图件等。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hint="default" w:ascii="Times New Roman" w:hAnsi="Times New Roman" w:eastAsia="黑体" w:cs="Times New Roman"/>
          <w:color w:val="000000" w:themeColor="text1"/>
          <w:w w:val="95"/>
          <w:sz w:val="32"/>
          <w:lang w:val="en-US" w:eastAsia="zh-CN"/>
          <w14:textFill>
            <w14:solidFill>
              <w14:schemeClr w14:val="tx1"/>
            </w14:solidFill>
          </w14:textFill>
        </w:rPr>
      </w:pPr>
      <w:bookmarkStart w:id="3" w:name="_Toc3795898"/>
      <w:r>
        <w:rPr>
          <w:rFonts w:hint="eastAsia" w:ascii="Times New Roman" w:hAnsi="Times New Roman" w:eastAsia="黑体" w:cs="Times New Roman"/>
          <w:color w:val="000000" w:themeColor="text1"/>
          <w:w w:val="95"/>
          <w:sz w:val="32"/>
          <w:lang w:val="en-US" w:eastAsia="zh-CN"/>
          <w14:textFill>
            <w14:solidFill>
              <w14:schemeClr w14:val="tx1"/>
            </w14:solidFill>
          </w14:textFill>
        </w:rPr>
        <w:t>三、</w:t>
      </w:r>
      <w:r>
        <w:rPr>
          <w:rFonts w:hint="default" w:ascii="Times New Roman" w:hAnsi="Times New Roman" w:eastAsia="黑体" w:cs="Times New Roman"/>
          <w:color w:val="000000" w:themeColor="text1"/>
          <w:w w:val="95"/>
          <w:sz w:val="32"/>
          <w:lang w:val="en-US" w:eastAsia="zh-CN"/>
          <w14:textFill>
            <w14:solidFill>
              <w14:schemeClr w14:val="tx1"/>
            </w14:solidFill>
          </w14:textFill>
        </w:rPr>
        <w:t>建设项目所在地自然环境简况</w:t>
      </w:r>
      <w:bookmarkEnd w:id="3"/>
    </w:p>
    <w:tbl>
      <w:tblPr>
        <w:tblStyle w:val="14"/>
        <w:tblW w:w="4913"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90"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自然环境简况(地形、地貌、地质、气候、气象、水文、植被、生物多样性等)：</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1、</w:t>
            </w:r>
            <w:r>
              <w:rPr>
                <w:rFonts w:hint="default" w:ascii="Times New Roman" w:hAnsi="Times New Roman" w:eastAsia="黑体" w:cs="Times New Roman"/>
                <w:color w:val="000000" w:themeColor="text1"/>
                <w:sz w:val="24"/>
                <w:lang w:val="en-US" w:eastAsia="zh-CN"/>
                <w14:textFill>
                  <w14:solidFill>
                    <w14:schemeClr w14:val="tx1"/>
                  </w14:solidFill>
                </w14:textFill>
              </w:rPr>
              <w:t>地理位置</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勘查区位于鄂尔多斯盆地南部，</w:t>
            </w:r>
            <w:r>
              <w:rPr>
                <w:rFonts w:hint="eastAsia" w:cs="Times New Roman"/>
                <w:bCs/>
                <w:color w:val="000000" w:themeColor="text1"/>
                <w:sz w:val="24"/>
                <w:szCs w:val="20"/>
                <w:lang w:val="en-US" w:eastAsia="zh-CN"/>
                <w14:textFill>
                  <w14:solidFill>
                    <w14:schemeClr w14:val="tx1"/>
                  </w14:solidFill>
                </w14:textFill>
              </w:rPr>
              <w:t>北起横山－鄂托克前旗，南止宝鸡市－凤翔县，西起六盘山东麓，东止山西省-吕梁市，地跨陕西省、甘肃省、宁夏回族自治区、内蒙古自治区、山西省</w:t>
            </w:r>
            <w:r>
              <w:rPr>
                <w:rFonts w:hint="eastAsia" w:cs="Times New Roman"/>
                <w:color w:val="000000" w:themeColor="text1"/>
                <w:sz w:val="24"/>
                <w:lang w:val="en-US" w:eastAsia="zh-CN"/>
                <w14:textFill>
                  <w14:solidFill>
                    <w14:schemeClr w14:val="tx1"/>
                  </w14:solidFill>
                </w14:textFill>
              </w:rPr>
              <w:t>，</w:t>
            </w:r>
            <w:r>
              <w:rPr>
                <w:rFonts w:hint="default" w:ascii="Times New Roman" w:hAnsi="Times New Roman" w:cs="Times New Roman"/>
                <w:bCs/>
                <w:color w:val="000000" w:themeColor="text1"/>
                <w:sz w:val="24"/>
                <w:szCs w:val="20"/>
                <w:lang w:val="en-US" w:eastAsia="zh-CN"/>
                <w14:textFill>
                  <w14:solidFill>
                    <w14:schemeClr w14:val="tx1"/>
                  </w14:solidFill>
                </w14:textFill>
              </w:rPr>
              <w:t>总面积约1</w:t>
            </w:r>
            <w:r>
              <w:rPr>
                <w:rFonts w:hint="eastAsia" w:ascii="Times New Roman" w:hAnsi="Times New Roman" w:cs="Times New Roman"/>
                <w:bCs/>
                <w:color w:val="000000" w:themeColor="text1"/>
                <w:sz w:val="24"/>
                <w:szCs w:val="20"/>
                <w:lang w:val="en-US" w:eastAsia="zh-CN"/>
                <w14:textFill>
                  <w14:solidFill>
                    <w14:schemeClr w14:val="tx1"/>
                  </w14:solidFill>
                </w14:textFill>
              </w:rPr>
              <w:t>42820</w:t>
            </w:r>
            <w:r>
              <w:rPr>
                <w:rFonts w:hint="default" w:ascii="Times New Roman" w:hAnsi="Times New Roman" w:cs="Times New Roman"/>
                <w:bCs/>
                <w:color w:val="000000" w:themeColor="text1"/>
                <w:sz w:val="24"/>
                <w:szCs w:val="20"/>
                <w:lang w:val="en-US" w:eastAsia="zh-CN"/>
                <w14:textFill>
                  <w14:solidFill>
                    <w14:schemeClr w14:val="tx1"/>
                  </w14:solidFill>
                </w14:textFill>
              </w:rPr>
              <w:t>km</w:t>
            </w:r>
            <w:r>
              <w:rPr>
                <w:rFonts w:hint="default" w:ascii="Times New Roman" w:hAnsi="Times New Roman" w:cs="Times New Roman"/>
                <w:bCs/>
                <w:color w:val="000000" w:themeColor="text1"/>
                <w:sz w:val="24"/>
                <w:szCs w:val="20"/>
                <w:vertAlign w:val="superscript"/>
                <w:lang w:val="en-US" w:eastAsia="zh-CN"/>
                <w14:textFill>
                  <w14:solidFill>
                    <w14:schemeClr w14:val="tx1"/>
                  </w14:solidFill>
                </w14:textFill>
              </w:rPr>
              <w:t>2</w:t>
            </w:r>
            <w:r>
              <w:rPr>
                <w:rFonts w:hint="default" w:ascii="Times New Roman" w:hAnsi="Times New Roman" w:cs="Times New Roman"/>
                <w:bCs/>
                <w:color w:val="000000" w:themeColor="text1"/>
                <w:sz w:val="24"/>
                <w:szCs w:val="20"/>
                <w:lang w:val="en-US" w:eastAsia="zh-CN"/>
                <w14:textFill>
                  <w14:solidFill>
                    <w14:schemeClr w14:val="tx1"/>
                  </w14:solidFill>
                </w14:textFill>
              </w:rPr>
              <w:t>，地理极值坐标：东经106°</w:t>
            </w:r>
            <w:r>
              <w:rPr>
                <w:rFonts w:hint="eastAsia" w:ascii="Times New Roman" w:hAnsi="Times New Roman" w:cs="Times New Roman"/>
                <w:bCs/>
                <w:color w:val="000000" w:themeColor="text1"/>
                <w:sz w:val="24"/>
                <w:szCs w:val="20"/>
                <w:lang w:val="en-US" w:eastAsia="zh-CN"/>
                <w14:textFill>
                  <w14:solidFill>
                    <w14:schemeClr w14:val="tx1"/>
                  </w14:solidFill>
                </w14:textFill>
              </w:rPr>
              <w:t>25</w:t>
            </w:r>
            <w:r>
              <w:rPr>
                <w:rFonts w:hint="default" w:ascii="Times New Roman" w:hAnsi="Times New Roman" w:cs="Times New Roman"/>
                <w:bCs/>
                <w:color w:val="000000" w:themeColor="text1"/>
                <w:sz w:val="24"/>
                <w:szCs w:val="20"/>
                <w:lang w:val="en-US" w:eastAsia="zh-CN"/>
                <w14:textFill>
                  <w14:solidFill>
                    <w14:schemeClr w14:val="tx1"/>
                  </w14:solidFill>
                </w14:textFill>
              </w:rPr>
              <w:t>′3</w:t>
            </w:r>
            <w:r>
              <w:rPr>
                <w:rFonts w:hint="eastAsia" w:ascii="Times New Roman" w:hAnsi="Times New Roman" w:cs="Times New Roman"/>
                <w:bCs/>
                <w:color w:val="000000" w:themeColor="text1"/>
                <w:sz w:val="24"/>
                <w:szCs w:val="20"/>
                <w:lang w:val="en-US" w:eastAsia="zh-CN"/>
                <w14:textFill>
                  <w14:solidFill>
                    <w14:schemeClr w14:val="tx1"/>
                  </w14:solidFill>
                </w14:textFill>
              </w:rPr>
              <w:t>0</w:t>
            </w:r>
            <w:r>
              <w:rPr>
                <w:rFonts w:hint="default" w:ascii="Times New Roman" w:hAnsi="Times New Roman" w:cs="Times New Roman"/>
                <w:bCs/>
                <w:color w:val="000000" w:themeColor="text1"/>
                <w:sz w:val="24"/>
                <w:szCs w:val="20"/>
                <w:lang w:val="en-US" w:eastAsia="zh-CN"/>
                <w14:textFill>
                  <w14:solidFill>
                    <w14:schemeClr w14:val="tx1"/>
                  </w14:solidFill>
                </w14:textFill>
              </w:rPr>
              <w:t>″～11</w:t>
            </w:r>
            <w:r>
              <w:rPr>
                <w:rFonts w:hint="eastAsia" w:ascii="Times New Roman" w:hAnsi="Times New Roman" w:cs="Times New Roman"/>
                <w:bCs/>
                <w:color w:val="000000" w:themeColor="text1"/>
                <w:sz w:val="24"/>
                <w:szCs w:val="20"/>
                <w:lang w:val="en-US" w:eastAsia="zh-CN"/>
                <w14:textFill>
                  <w14:solidFill>
                    <w14:schemeClr w14:val="tx1"/>
                  </w14:solidFill>
                </w14:textFill>
              </w:rPr>
              <w:t>1</w:t>
            </w:r>
            <w:r>
              <w:rPr>
                <w:rFonts w:hint="default" w:ascii="Times New Roman" w:hAnsi="Times New Roman" w:cs="Times New Roman"/>
                <w:bCs/>
                <w:color w:val="000000" w:themeColor="text1"/>
                <w:sz w:val="24"/>
                <w:szCs w:val="20"/>
                <w:lang w:val="en-US" w:eastAsia="zh-CN"/>
                <w14:textFill>
                  <w14:solidFill>
                    <w14:schemeClr w14:val="tx1"/>
                  </w14:solidFill>
                </w14:textFill>
              </w:rPr>
              <w:t>°</w:t>
            </w:r>
            <w:r>
              <w:rPr>
                <w:rFonts w:hint="eastAsia" w:ascii="Times New Roman" w:hAnsi="Times New Roman" w:cs="Times New Roman"/>
                <w:bCs/>
                <w:color w:val="000000" w:themeColor="text1"/>
                <w:sz w:val="24"/>
                <w:szCs w:val="20"/>
                <w:lang w:val="en-US" w:eastAsia="zh-CN"/>
                <w14:textFill>
                  <w14:solidFill>
                    <w14:schemeClr w14:val="tx1"/>
                  </w14:solidFill>
                </w14:textFill>
              </w:rPr>
              <w:t>12</w:t>
            </w:r>
            <w:r>
              <w:rPr>
                <w:rFonts w:hint="default" w:ascii="Times New Roman" w:hAnsi="Times New Roman" w:cs="Times New Roman"/>
                <w:bCs/>
                <w:color w:val="000000" w:themeColor="text1"/>
                <w:sz w:val="24"/>
                <w:szCs w:val="20"/>
                <w:lang w:val="en-US" w:eastAsia="zh-CN"/>
                <w14:textFill>
                  <w14:solidFill>
                    <w14:schemeClr w14:val="tx1"/>
                  </w14:solidFill>
                </w14:textFill>
              </w:rPr>
              <w:t>′</w:t>
            </w:r>
            <w:r>
              <w:rPr>
                <w:rFonts w:hint="eastAsia" w:ascii="Times New Roman" w:hAnsi="Times New Roman" w:cs="Times New Roman"/>
                <w:bCs/>
                <w:color w:val="000000" w:themeColor="text1"/>
                <w:sz w:val="24"/>
                <w:szCs w:val="20"/>
                <w:lang w:val="en-US" w:eastAsia="zh-CN"/>
                <w14:textFill>
                  <w14:solidFill>
                    <w14:schemeClr w14:val="tx1"/>
                  </w14:solidFill>
                </w14:textFill>
              </w:rPr>
              <w:t>30</w:t>
            </w:r>
            <w:r>
              <w:rPr>
                <w:rFonts w:hint="default" w:ascii="Times New Roman" w:hAnsi="Times New Roman" w:cs="Times New Roman"/>
                <w:bCs/>
                <w:color w:val="000000" w:themeColor="text1"/>
                <w:sz w:val="24"/>
                <w:szCs w:val="20"/>
                <w:lang w:val="en-US" w:eastAsia="zh-CN"/>
                <w14:textFill>
                  <w14:solidFill>
                    <w14:schemeClr w14:val="tx1"/>
                  </w14:solidFill>
                </w14:textFill>
              </w:rPr>
              <w:t>″，北纬34°</w:t>
            </w:r>
            <w:r>
              <w:rPr>
                <w:rFonts w:hint="eastAsia" w:ascii="Times New Roman" w:hAnsi="Times New Roman" w:cs="Times New Roman"/>
                <w:bCs/>
                <w:color w:val="000000" w:themeColor="text1"/>
                <w:sz w:val="24"/>
                <w:szCs w:val="20"/>
                <w:lang w:val="en-US" w:eastAsia="zh-CN"/>
                <w14:textFill>
                  <w14:solidFill>
                    <w14:schemeClr w14:val="tx1"/>
                  </w14:solidFill>
                </w14:textFill>
              </w:rPr>
              <w:t>33</w:t>
            </w:r>
            <w:r>
              <w:rPr>
                <w:rFonts w:hint="default" w:ascii="Times New Roman" w:hAnsi="Times New Roman" w:cs="Times New Roman"/>
                <w:bCs/>
                <w:color w:val="000000" w:themeColor="text1"/>
                <w:sz w:val="24"/>
                <w:szCs w:val="20"/>
                <w:lang w:val="en-US" w:eastAsia="zh-CN"/>
                <w14:textFill>
                  <w14:solidFill>
                    <w14:schemeClr w14:val="tx1"/>
                  </w14:solidFill>
                </w14:textFill>
              </w:rPr>
              <w:t>′</w:t>
            </w:r>
            <w:r>
              <w:rPr>
                <w:rFonts w:hint="eastAsia" w:ascii="Times New Roman" w:hAnsi="Times New Roman" w:cs="Times New Roman"/>
                <w:bCs/>
                <w:color w:val="000000" w:themeColor="text1"/>
                <w:sz w:val="24"/>
                <w:szCs w:val="20"/>
                <w:lang w:val="en-US" w:eastAsia="zh-CN"/>
                <w14:textFill>
                  <w14:solidFill>
                    <w14:schemeClr w14:val="tx1"/>
                  </w14:solidFill>
                </w14:textFill>
              </w:rPr>
              <w:t>22</w:t>
            </w:r>
            <w:r>
              <w:rPr>
                <w:rFonts w:hint="default" w:ascii="Times New Roman" w:hAnsi="Times New Roman" w:cs="Times New Roman"/>
                <w:bCs/>
                <w:color w:val="000000" w:themeColor="text1"/>
                <w:sz w:val="24"/>
                <w:szCs w:val="20"/>
                <w:lang w:val="en-US" w:eastAsia="zh-CN"/>
                <w14:textFill>
                  <w14:solidFill>
                    <w14:schemeClr w14:val="tx1"/>
                  </w14:solidFill>
                </w14:textFill>
              </w:rPr>
              <w:t>″～3</w:t>
            </w:r>
            <w:r>
              <w:rPr>
                <w:rFonts w:hint="eastAsia" w:ascii="Times New Roman" w:hAnsi="Times New Roman" w:cs="Times New Roman"/>
                <w:bCs/>
                <w:color w:val="000000" w:themeColor="text1"/>
                <w:sz w:val="24"/>
                <w:szCs w:val="20"/>
                <w:lang w:val="en-US" w:eastAsia="zh-CN"/>
                <w14:textFill>
                  <w14:solidFill>
                    <w14:schemeClr w14:val="tx1"/>
                  </w14:solidFill>
                </w14:textFill>
              </w:rPr>
              <w:t>8</w:t>
            </w:r>
            <w:r>
              <w:rPr>
                <w:rFonts w:hint="default" w:ascii="Times New Roman" w:hAnsi="Times New Roman" w:cs="Times New Roman"/>
                <w:bCs/>
                <w:color w:val="000000" w:themeColor="text1"/>
                <w:sz w:val="24"/>
                <w:szCs w:val="20"/>
                <w:lang w:val="en-US" w:eastAsia="zh-CN"/>
                <w14:textFill>
                  <w14:solidFill>
                    <w14:schemeClr w14:val="tx1"/>
                  </w14:solidFill>
                </w14:textFill>
              </w:rPr>
              <w:t>°</w:t>
            </w:r>
            <w:r>
              <w:rPr>
                <w:rFonts w:hint="eastAsia" w:ascii="Times New Roman" w:hAnsi="Times New Roman" w:cs="Times New Roman"/>
                <w:bCs/>
                <w:color w:val="000000" w:themeColor="text1"/>
                <w:sz w:val="24"/>
                <w:szCs w:val="20"/>
                <w:lang w:val="en-US" w:eastAsia="zh-CN"/>
                <w14:textFill>
                  <w14:solidFill>
                    <w14:schemeClr w14:val="tx1"/>
                  </w14:solidFill>
                </w14:textFill>
              </w:rPr>
              <w:t>0</w:t>
            </w:r>
            <w:r>
              <w:rPr>
                <w:rFonts w:hint="default" w:ascii="Times New Roman" w:hAnsi="Times New Roman" w:cs="Times New Roman"/>
                <w:bCs/>
                <w:color w:val="000000" w:themeColor="text1"/>
                <w:sz w:val="24"/>
                <w:szCs w:val="20"/>
                <w:lang w:val="en-US" w:eastAsia="zh-CN"/>
                <w14:textFill>
                  <w14:solidFill>
                    <w14:schemeClr w14:val="tx1"/>
                  </w14:solidFill>
                </w14:textFill>
              </w:rPr>
              <w:t>′</w:t>
            </w:r>
            <w:r>
              <w:rPr>
                <w:rFonts w:hint="eastAsia" w:ascii="Times New Roman" w:hAnsi="Times New Roman" w:cs="Times New Roman"/>
                <w:bCs/>
                <w:color w:val="000000" w:themeColor="text1"/>
                <w:sz w:val="24"/>
                <w:szCs w:val="20"/>
                <w:lang w:val="en-US" w:eastAsia="zh-CN"/>
                <w14:textFill>
                  <w14:solidFill>
                    <w14:schemeClr w14:val="tx1"/>
                  </w14:solidFill>
                </w14:textFill>
              </w:rPr>
              <w:t>0.00</w:t>
            </w:r>
            <w:r>
              <w:rPr>
                <w:rFonts w:hint="default" w:ascii="Times New Roman" w:hAnsi="Times New Roman" w:cs="Times New Roman"/>
                <w:bCs/>
                <w:color w:val="000000" w:themeColor="text1"/>
                <w:sz w:val="24"/>
                <w:szCs w:val="20"/>
                <w:lang w:val="en-US" w:eastAsia="zh-CN"/>
                <w14:textFill>
                  <w14:solidFill>
                    <w14:schemeClr w14:val="tx1"/>
                  </w14:solidFill>
                </w14:textFill>
              </w:rPr>
              <w:t>″</w:t>
            </w:r>
            <w:r>
              <w:rPr>
                <w:rFonts w:hint="eastAsia" w:cs="Times New Roman"/>
                <w:bCs/>
                <w:color w:val="000000" w:themeColor="text1"/>
                <w:sz w:val="24"/>
                <w:szCs w:val="20"/>
                <w:lang w:val="en-US" w:eastAsia="zh-CN"/>
                <w14:textFill>
                  <w14:solidFill>
                    <w14:schemeClr w14:val="tx1"/>
                  </w14:solidFill>
                </w14:textFill>
              </w:rPr>
              <w:t>。勘查区内交通便利，青银高速G20、青兰高速G22、定武高速G2012、福银高速G70、西宝高速G30、包茂高速G65横穿勘查区，国道G045、G211、G244、G307、G309、G310、G312几乎覆盖全区，省道、县道可通达县城、乡镇、自然村，交通较为方便。</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2、地形、地貌</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jc w:val="left"/>
              <w:textAlignment w:val="auto"/>
              <w:rPr>
                <w:rFonts w:hint="default" w:eastAsia="仿宋_GB2312"/>
                <w:color w:val="000000" w:themeColor="text1"/>
                <w:sz w:val="24"/>
                <w:lang w:val="en-US"/>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勘查区地貌大致以中部的白于山地表分水岭（长城沿线）为界，分为南、北两个截然不同的地貌景观。北部盐池地区的地形地貌为低缓沙漠丘陵区，海拔1300～1560m，地形平缓，表现为微起伏平原，相对高差20～50米（照片3-1）。南部环县－镇原－旬邑地区地势西北高、东南低。海拔一般900～1300m，区内地貌主体为黄土塬和泾河及其支流所形成的谷地，塬、沟、梁、川等黄土塬地貌发育，河沟、川道发育（照片3-2），局部地方切割较深且森林覆盖。整体来说勘查区北部地形地貌条件好，钻探施工方便；南部地形地貌条件相对较好，钻探搬迁、施工相对比较方便。勘查区地形、地貌图见图3-1。</w:t>
            </w:r>
          </w:p>
          <w:p>
            <w:pPr>
              <w:numPr>
                <w:ilvl w:val="0"/>
                <w:numId w:val="0"/>
              </w:numPr>
              <w:autoSpaceDE w:val="0"/>
              <w:autoSpaceDN w:val="0"/>
              <w:spacing w:line="360" w:lineRule="auto"/>
              <w:jc w:val="center"/>
              <w:rPr>
                <w:rFonts w:hint="eastAsia"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drawing>
                <wp:inline distT="0" distB="0" distL="114300" distR="114300">
                  <wp:extent cx="3426460" cy="3248660"/>
                  <wp:effectExtent l="0" t="0" r="2540" b="2540"/>
                  <wp:docPr id="15" name="图片 15" descr="图1-3  鄂尔多斯盆地南部地貌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1-3  鄂尔多斯盆地南部地貌图"/>
                          <pic:cNvPicPr>
                            <a:picLocks noChangeAspect="1"/>
                          </pic:cNvPicPr>
                        </pic:nvPicPr>
                        <pic:blipFill>
                          <a:blip r:embed="rId13"/>
                          <a:srcRect l="3396" t="2792" r="2542" b="6319"/>
                          <a:stretch>
                            <a:fillRect/>
                          </a:stretch>
                        </pic:blipFill>
                        <pic:spPr>
                          <a:xfrm>
                            <a:off x="0" y="0"/>
                            <a:ext cx="3426460" cy="3248660"/>
                          </a:xfrm>
                          <a:prstGeom prst="rect">
                            <a:avLst/>
                          </a:prstGeom>
                        </pic:spPr>
                      </pic:pic>
                    </a:graphicData>
                  </a:graphic>
                </wp:inline>
              </w:drawing>
            </w:r>
          </w:p>
          <w:p>
            <w:pPr>
              <w:spacing w:line="240" w:lineRule="auto"/>
              <w:jc w:val="center"/>
              <w:rPr>
                <w:rFonts w:hint="default" w:ascii="Times New Roman" w:hAnsi="Times New Roman" w:eastAsia="宋体" w:cs="Times New Roman"/>
                <w:b w:val="0"/>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4"/>
                <w:szCs w:val="24"/>
                <w14:textFill>
                  <w14:solidFill>
                    <w14:schemeClr w14:val="tx1"/>
                  </w14:solidFill>
                </w14:textFill>
              </w:rPr>
              <w:t>图</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b w:val="0"/>
                <w:bCs/>
                <w:color w:val="000000" w:themeColor="text1"/>
                <w:sz w:val="24"/>
                <w:szCs w:val="24"/>
                <w14:textFill>
                  <w14:solidFill>
                    <w14:schemeClr w14:val="tx1"/>
                  </w14:solidFill>
                </w14:textFill>
              </w:rPr>
              <w:t>-</w:t>
            </w:r>
            <w:r>
              <w:rPr>
                <w:rFonts w:hint="eastAsia" w:cs="Times New Roman"/>
                <w:b w:val="0"/>
                <w:bCs/>
                <w:color w:val="000000" w:themeColor="text1"/>
                <w:sz w:val="24"/>
                <w:szCs w:val="24"/>
                <w:lang w:val="en-US" w:eastAsia="zh-CN"/>
                <w14:textFill>
                  <w14:solidFill>
                    <w14:schemeClr w14:val="tx1"/>
                  </w14:solidFill>
                </w14:textFill>
              </w:rPr>
              <w:t>1</w:t>
            </w:r>
            <w:r>
              <w:rPr>
                <w:rFonts w:hint="eastAsia" w:ascii="Times New Roman" w:hAnsi="Times New Roman" w:eastAsia="宋体" w:cs="Times New Roman"/>
                <w:b w:val="0"/>
                <w:bCs/>
                <w:color w:val="000000" w:themeColor="text1"/>
                <w:sz w:val="24"/>
                <w:szCs w:val="24"/>
                <w14:textFill>
                  <w14:solidFill>
                    <w14:schemeClr w14:val="tx1"/>
                  </w14:solidFill>
                </w14:textFill>
              </w:rPr>
              <w:t xml:space="preserve">  </w:t>
            </w:r>
            <w:r>
              <w:rPr>
                <w:rFonts w:hint="eastAsia" w:cs="Times New Roman"/>
                <w:b w:val="0"/>
                <w:bCs/>
                <w:color w:val="000000" w:themeColor="text1"/>
                <w:sz w:val="24"/>
                <w:szCs w:val="24"/>
                <w:lang w:val="en-US" w:eastAsia="zh-CN"/>
                <w14:textFill>
                  <w14:solidFill>
                    <w14:schemeClr w14:val="tx1"/>
                  </w14:solidFill>
                </w14:textFill>
              </w:rPr>
              <w:t>勘查区地形地貌图</w:t>
            </w:r>
          </w:p>
          <w:p>
            <w:pPr>
              <w:numPr>
                <w:ilvl w:val="0"/>
                <w:numId w:val="0"/>
              </w:numPr>
              <w:autoSpaceDE w:val="0"/>
              <w:autoSpaceDN w:val="0"/>
              <w:spacing w:line="240" w:lineRule="auto"/>
              <w:ind w:firstLine="360" w:firstLineChars="200"/>
              <w:jc w:val="center"/>
              <w:rPr>
                <w:rFonts w:hint="default" w:ascii="Times New Roman" w:hAnsi="Times New Roman" w:eastAsia="宋体" w:cs="Times New Roman"/>
                <w:color w:val="000000" w:themeColor="text1"/>
                <w:sz w:val="18"/>
                <w:szCs w:val="18"/>
                <w:lang w:val="en-US" w:eastAsia="zh-CN"/>
                <w14:textFill>
                  <w14:solidFill>
                    <w14:schemeClr w14:val="tx1"/>
                  </w14:solidFill>
                </w14:textFill>
              </w:rPr>
            </w:pPr>
            <w:r>
              <w:rPr>
                <w:rFonts w:hint="default" w:ascii="Times New Roman" w:hAnsi="Times New Roman" w:eastAsia="宋体" w:cs="Times New Roman"/>
                <w:color w:val="000000" w:themeColor="text1"/>
                <w:sz w:val="18"/>
                <w:szCs w:val="18"/>
                <w:lang w:val="en-US" w:eastAsia="zh-CN"/>
                <w14:textFill>
                  <w14:solidFill>
                    <w14:schemeClr w14:val="tx1"/>
                  </w14:solidFill>
                </w14:textFill>
              </w:rPr>
              <w:t>1-低中山宽谷；2-冲积平原；3-沙地；4-黄土塬；5-</w:t>
            </w:r>
            <w:r>
              <w:rPr>
                <w:rFonts w:hint="eastAsia" w:cs="Times New Roman"/>
                <w:color w:val="000000" w:themeColor="text1"/>
                <w:sz w:val="18"/>
                <w:szCs w:val="18"/>
                <w:lang w:val="en-US" w:eastAsia="zh-CN"/>
                <w14:textFill>
                  <w14:solidFill>
                    <w14:schemeClr w14:val="tx1"/>
                  </w14:solidFill>
                </w14:textFill>
              </w:rPr>
              <w:t>勘查区</w:t>
            </w:r>
            <w:r>
              <w:rPr>
                <w:rFonts w:hint="default" w:ascii="Times New Roman" w:hAnsi="Times New Roman" w:eastAsia="宋体" w:cs="Times New Roman"/>
                <w:color w:val="000000" w:themeColor="text1"/>
                <w:sz w:val="18"/>
                <w:szCs w:val="18"/>
                <w:lang w:val="en-US" w:eastAsia="zh-CN"/>
                <w14:textFill>
                  <w14:solidFill>
                    <w14:schemeClr w14:val="tx1"/>
                  </w14:solidFill>
                </w14:textFill>
              </w:rPr>
              <w:t>范围；6-地名</w:t>
            </w:r>
          </w:p>
          <w:tbl>
            <w:tblPr>
              <w:tblStyle w:val="14"/>
              <w:tblW w:w="4999" w:type="pct"/>
              <w:jc w:val="center"/>
              <w:tblLayout w:type="autofit"/>
              <w:tblCellMar>
                <w:top w:w="0" w:type="dxa"/>
                <w:left w:w="108" w:type="dxa"/>
                <w:bottom w:w="0" w:type="dxa"/>
                <w:right w:w="108" w:type="dxa"/>
              </w:tblCellMar>
            </w:tblPr>
            <w:tblGrid>
              <w:gridCol w:w="4746"/>
              <w:gridCol w:w="4825"/>
            </w:tblGrid>
            <w:tr>
              <w:tblPrEx>
                <w:tblCellMar>
                  <w:top w:w="0" w:type="dxa"/>
                  <w:left w:w="108" w:type="dxa"/>
                  <w:bottom w:w="0" w:type="dxa"/>
                  <w:right w:w="108" w:type="dxa"/>
                </w:tblCellMar>
              </w:tblPrEx>
              <w:trPr>
                <w:jc w:val="center"/>
              </w:trPr>
              <w:tc>
                <w:tcPr>
                  <w:tcW w:w="2479" w:type="pct"/>
                  <w:noWrap w:val="0"/>
                  <w:vAlign w:val="center"/>
                </w:tcPr>
                <w:p>
                  <w:pPr>
                    <w:pStyle w:val="42"/>
                    <w:spacing w:line="360" w:lineRule="auto"/>
                    <w:rPr>
                      <w:rFonts w:eastAsia="仿宋_GB2312"/>
                      <w:color w:val="000000" w:themeColor="text1"/>
                      <w14:textFill>
                        <w14:solidFill>
                          <w14:schemeClr w14:val="tx1"/>
                        </w14:solidFill>
                      </w14:textFill>
                    </w:rPr>
                  </w:pPr>
                  <w:r>
                    <w:rPr>
                      <w:rFonts w:eastAsia="仿宋_GB2312"/>
                      <w:color w:val="000000" w:themeColor="text1"/>
                      <w14:textFill>
                        <w14:solidFill>
                          <w14:schemeClr w14:val="tx1"/>
                        </w14:solidFill>
                      </w14:textFill>
                    </w:rPr>
                    <w:drawing>
                      <wp:inline distT="0" distB="0" distL="114300" distR="114300">
                        <wp:extent cx="2523490" cy="1797050"/>
                        <wp:effectExtent l="0" t="0" r="3810" b="6350"/>
                        <wp:docPr id="4" name="图片 5" descr="2"/>
                        <wp:cNvGraphicFramePr/>
                        <a:graphic xmlns:a="http://schemas.openxmlformats.org/drawingml/2006/main">
                          <a:graphicData uri="http://schemas.openxmlformats.org/drawingml/2006/picture">
                            <pic:pic xmlns:pic="http://schemas.openxmlformats.org/drawingml/2006/picture">
                              <pic:nvPicPr>
                                <pic:cNvPr id="4" name="图片 5" descr="2"/>
                                <pic:cNvPicPr preferRelativeResize="0"/>
                              </pic:nvPicPr>
                              <pic:blipFill>
                                <a:blip r:embed="rId14"/>
                                <a:stretch>
                                  <a:fillRect/>
                                </a:stretch>
                              </pic:blipFill>
                              <pic:spPr>
                                <a:xfrm>
                                  <a:off x="0" y="0"/>
                                  <a:ext cx="2523490" cy="1797050"/>
                                </a:xfrm>
                                <a:prstGeom prst="rect">
                                  <a:avLst/>
                                </a:prstGeom>
                                <a:noFill/>
                                <a:ln>
                                  <a:noFill/>
                                </a:ln>
                              </pic:spPr>
                            </pic:pic>
                          </a:graphicData>
                        </a:graphic>
                      </wp:inline>
                    </w:drawing>
                  </w:r>
                </w:p>
              </w:tc>
              <w:tc>
                <w:tcPr>
                  <w:tcW w:w="2520" w:type="pct"/>
                  <w:noWrap w:val="0"/>
                  <w:vAlign w:val="center"/>
                </w:tcPr>
                <w:p>
                  <w:pPr>
                    <w:pStyle w:val="42"/>
                    <w:spacing w:line="360" w:lineRule="auto"/>
                    <w:jc w:val="right"/>
                    <w:rPr>
                      <w:rFonts w:eastAsia="仿宋_GB2312"/>
                      <w:color w:val="000000" w:themeColor="text1"/>
                      <w14:textFill>
                        <w14:solidFill>
                          <w14:schemeClr w14:val="tx1"/>
                        </w14:solidFill>
                      </w14:textFill>
                    </w:rPr>
                  </w:pPr>
                  <w:r>
                    <w:rPr>
                      <w:rFonts w:eastAsia="仿宋_GB2312"/>
                      <w:color w:val="000000" w:themeColor="text1"/>
                      <w14:textFill>
                        <w14:solidFill>
                          <w14:schemeClr w14:val="tx1"/>
                        </w14:solidFill>
                      </w14:textFill>
                    </w:rPr>
                    <w:drawing>
                      <wp:inline distT="0" distB="0" distL="114300" distR="114300">
                        <wp:extent cx="2520950" cy="1799590"/>
                        <wp:effectExtent l="0" t="0" r="6350" b="3810"/>
                        <wp:docPr id="7" name="图片 6" descr="P8260131"/>
                        <wp:cNvGraphicFramePr/>
                        <a:graphic xmlns:a="http://schemas.openxmlformats.org/drawingml/2006/main">
                          <a:graphicData uri="http://schemas.openxmlformats.org/drawingml/2006/picture">
                            <pic:pic xmlns:pic="http://schemas.openxmlformats.org/drawingml/2006/picture">
                              <pic:nvPicPr>
                                <pic:cNvPr id="7" name="图片 6" descr="P8260131"/>
                                <pic:cNvPicPr preferRelativeResize="0"/>
                              </pic:nvPicPr>
                              <pic:blipFill>
                                <a:blip r:embed="rId15"/>
                                <a:stretch>
                                  <a:fillRect/>
                                </a:stretch>
                              </pic:blipFill>
                              <pic:spPr>
                                <a:xfrm>
                                  <a:off x="0" y="0"/>
                                  <a:ext cx="2520950" cy="1799590"/>
                                </a:xfrm>
                                <a:prstGeom prst="rect">
                                  <a:avLst/>
                                </a:prstGeom>
                                <a:noFill/>
                                <a:ln>
                                  <a:noFill/>
                                </a:ln>
                              </pic:spPr>
                            </pic:pic>
                          </a:graphicData>
                        </a:graphic>
                      </wp:inline>
                    </w:drawing>
                  </w:r>
                </w:p>
              </w:tc>
            </w:tr>
            <w:tr>
              <w:tblPrEx>
                <w:tblCellMar>
                  <w:top w:w="0" w:type="dxa"/>
                  <w:left w:w="108" w:type="dxa"/>
                  <w:bottom w:w="0" w:type="dxa"/>
                  <w:right w:w="108" w:type="dxa"/>
                </w:tblCellMar>
              </w:tblPrEx>
              <w:trPr>
                <w:jc w:val="center"/>
              </w:trPr>
              <w:tc>
                <w:tcPr>
                  <w:tcW w:w="2479" w:type="pct"/>
                  <w:noWrap w:val="0"/>
                  <w:vAlign w:val="center"/>
                </w:tcPr>
                <w:p>
                  <w:pPr>
                    <w:snapToGrid w:val="0"/>
                    <w:spacing w:line="320" w:lineRule="atLeast"/>
                    <w:ind w:firstLine="210" w:firstLineChars="100"/>
                    <w:jc w:val="center"/>
                    <w:rPr>
                      <w:rFonts w:hint="default" w:ascii="Times New Roman" w:hAnsi="Times New Roman" w:eastAsia="宋体" w:cs="Times New Roman"/>
                      <w:b w:val="0"/>
                      <w:bCs/>
                      <w:color w:val="000000" w:themeColor="text1"/>
                      <w:szCs w:val="21"/>
                      <w14:textFill>
                        <w14:solidFill>
                          <w14:schemeClr w14:val="tx1"/>
                        </w14:solidFill>
                      </w14:textFill>
                    </w:rPr>
                  </w:pPr>
                  <w:r>
                    <w:rPr>
                      <w:rFonts w:hint="default" w:ascii="Times New Roman" w:hAnsi="Times New Roman" w:eastAsia="宋体" w:cs="Times New Roman"/>
                      <w:b w:val="0"/>
                      <w:bCs/>
                      <w:color w:val="000000" w:themeColor="text1"/>
                      <w:szCs w:val="21"/>
                      <w14:textFill>
                        <w14:solidFill>
                          <w14:schemeClr w14:val="tx1"/>
                        </w14:solidFill>
                      </w14:textFill>
                    </w:rPr>
                    <w:t>照片</w:t>
                  </w:r>
                  <w:r>
                    <w:rPr>
                      <w:rFonts w:hint="default" w:ascii="Times New Roman" w:hAnsi="Times New Roman" w:eastAsia="宋体" w:cs="Times New Roman"/>
                      <w:b w:val="0"/>
                      <w:bCs/>
                      <w:color w:val="000000" w:themeColor="text1"/>
                      <w:szCs w:val="21"/>
                      <w:lang w:val="en-US" w:eastAsia="zh-CN"/>
                      <w14:textFill>
                        <w14:solidFill>
                          <w14:schemeClr w14:val="tx1"/>
                        </w14:solidFill>
                      </w14:textFill>
                    </w:rPr>
                    <w:t>3</w:t>
                  </w:r>
                  <w:r>
                    <w:rPr>
                      <w:rFonts w:hint="default" w:ascii="Times New Roman" w:hAnsi="Times New Roman" w:eastAsia="宋体" w:cs="Times New Roman"/>
                      <w:b w:val="0"/>
                      <w:bCs/>
                      <w:color w:val="000000" w:themeColor="text1"/>
                      <w:szCs w:val="21"/>
                      <w14:textFill>
                        <w14:solidFill>
                          <w14:schemeClr w14:val="tx1"/>
                        </w14:solidFill>
                      </w14:textFill>
                    </w:rPr>
                    <w:t xml:space="preserve">-1  </w:t>
                  </w:r>
                  <w:r>
                    <w:rPr>
                      <w:rFonts w:hint="eastAsia" w:cs="Times New Roman"/>
                      <w:b w:val="0"/>
                      <w:bCs/>
                      <w:color w:val="000000" w:themeColor="text1"/>
                      <w:szCs w:val="21"/>
                      <w:lang w:eastAsia="zh-CN"/>
                      <w14:textFill>
                        <w14:solidFill>
                          <w14:schemeClr w14:val="tx1"/>
                        </w14:solidFill>
                      </w14:textFill>
                    </w:rPr>
                    <w:t>勘查区</w:t>
                  </w:r>
                  <w:r>
                    <w:rPr>
                      <w:rFonts w:hint="default" w:ascii="Times New Roman" w:hAnsi="Times New Roman" w:eastAsia="宋体" w:cs="Times New Roman"/>
                      <w:b w:val="0"/>
                      <w:bCs/>
                      <w:color w:val="000000" w:themeColor="text1"/>
                      <w:szCs w:val="21"/>
                      <w14:textFill>
                        <w14:solidFill>
                          <w14:schemeClr w14:val="tx1"/>
                        </w14:solidFill>
                      </w14:textFill>
                    </w:rPr>
                    <w:t>北部盐池地区地貌</w:t>
                  </w:r>
                </w:p>
              </w:tc>
              <w:tc>
                <w:tcPr>
                  <w:tcW w:w="2520" w:type="pct"/>
                  <w:noWrap w:val="0"/>
                  <w:vAlign w:val="center"/>
                </w:tcPr>
                <w:p>
                  <w:pPr>
                    <w:snapToGrid w:val="0"/>
                    <w:spacing w:line="320" w:lineRule="atLeast"/>
                    <w:jc w:val="center"/>
                    <w:rPr>
                      <w:rFonts w:hint="default" w:ascii="Times New Roman" w:hAnsi="Times New Roman" w:eastAsia="宋体" w:cs="Times New Roman"/>
                      <w:b w:val="0"/>
                      <w:bCs/>
                      <w:color w:val="000000" w:themeColor="text1"/>
                      <w:spacing w:val="-8"/>
                      <w:szCs w:val="21"/>
                      <w14:textFill>
                        <w14:solidFill>
                          <w14:schemeClr w14:val="tx1"/>
                        </w14:solidFill>
                      </w14:textFill>
                    </w:rPr>
                  </w:pPr>
                  <w:r>
                    <w:rPr>
                      <w:rFonts w:hint="default" w:ascii="Times New Roman" w:hAnsi="Times New Roman" w:eastAsia="宋体" w:cs="Times New Roman"/>
                      <w:b w:val="0"/>
                      <w:bCs/>
                      <w:color w:val="000000" w:themeColor="text1"/>
                      <w:spacing w:val="-8"/>
                      <w:szCs w:val="21"/>
                      <w14:textFill>
                        <w14:solidFill>
                          <w14:schemeClr w14:val="tx1"/>
                        </w14:solidFill>
                      </w14:textFill>
                    </w:rPr>
                    <w:t>照片</w:t>
                  </w:r>
                  <w:r>
                    <w:rPr>
                      <w:rFonts w:hint="default" w:ascii="Times New Roman" w:hAnsi="Times New Roman" w:eastAsia="宋体" w:cs="Times New Roman"/>
                      <w:b w:val="0"/>
                      <w:bCs/>
                      <w:color w:val="000000" w:themeColor="text1"/>
                      <w:spacing w:val="-8"/>
                      <w:szCs w:val="21"/>
                      <w:lang w:val="en-US" w:eastAsia="zh-CN"/>
                      <w14:textFill>
                        <w14:solidFill>
                          <w14:schemeClr w14:val="tx1"/>
                        </w14:solidFill>
                      </w14:textFill>
                    </w:rPr>
                    <w:t>3</w:t>
                  </w:r>
                  <w:r>
                    <w:rPr>
                      <w:rFonts w:hint="default" w:ascii="Times New Roman" w:hAnsi="Times New Roman" w:eastAsia="宋体" w:cs="Times New Roman"/>
                      <w:b w:val="0"/>
                      <w:bCs/>
                      <w:color w:val="000000" w:themeColor="text1"/>
                      <w:spacing w:val="-8"/>
                      <w:szCs w:val="21"/>
                      <w14:textFill>
                        <w14:solidFill>
                          <w14:schemeClr w14:val="tx1"/>
                        </w14:solidFill>
                      </w14:textFill>
                    </w:rPr>
                    <w:t xml:space="preserve">-2 </w:t>
                  </w:r>
                  <w:r>
                    <w:rPr>
                      <w:rFonts w:hint="eastAsia" w:cs="Times New Roman"/>
                      <w:b w:val="0"/>
                      <w:bCs/>
                      <w:color w:val="000000" w:themeColor="text1"/>
                      <w:spacing w:val="-8"/>
                      <w:szCs w:val="21"/>
                      <w:lang w:eastAsia="zh-CN"/>
                      <w14:textFill>
                        <w14:solidFill>
                          <w14:schemeClr w14:val="tx1"/>
                        </w14:solidFill>
                      </w14:textFill>
                    </w:rPr>
                    <w:t>勘查区</w:t>
                  </w:r>
                  <w:r>
                    <w:rPr>
                      <w:rFonts w:hint="default" w:ascii="Times New Roman" w:hAnsi="Times New Roman" w:eastAsia="宋体" w:cs="Times New Roman"/>
                      <w:b w:val="0"/>
                      <w:bCs/>
                      <w:color w:val="000000" w:themeColor="text1"/>
                      <w:spacing w:val="-8"/>
                      <w:szCs w:val="21"/>
                      <w14:textFill>
                        <w14:solidFill>
                          <w14:schemeClr w14:val="tx1"/>
                        </w14:solidFill>
                      </w14:textFill>
                    </w:rPr>
                    <w:t>南部环县－镇原－旬邑地区地貌</w:t>
                  </w:r>
                </w:p>
              </w:tc>
            </w:tr>
          </w:tbl>
          <w:p>
            <w:pPr>
              <w:adjustRightInd w:val="0"/>
              <w:snapToGrid w:val="0"/>
              <w:jc w:val="center"/>
              <w:rPr>
                <w:rFonts w:hint="default" w:ascii="Times New Roman" w:hAnsi="Times New Roman" w:eastAsia="仿宋_GB2312" w:cs="Times New Roman"/>
                <w:color w:val="000000" w:themeColor="text1"/>
                <w:sz w:val="18"/>
                <w:szCs w:val="18"/>
                <w14:textFill>
                  <w14:solidFill>
                    <w14:schemeClr w14:val="tx1"/>
                  </w14:solidFill>
                </w14:textFill>
              </w:rPr>
            </w:pP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3、地质构造</w:t>
            </w:r>
          </w:p>
          <w:p>
            <w:pPr>
              <w:autoSpaceDE w:val="0"/>
              <w:autoSpaceDN w:val="0"/>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鄂尔多斯盆地为中新生代在华北地台西缘多旋回发育的大型叠合盆地</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图3-2</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。盆地北邻阴山山脉的大青山和狼山，南抵秦岭山脉，西以六盘山、贺兰山为界，东以吕梁山为限。周缘包括几个面积不等的新生代断陷盆地，总面积约26万km</w:t>
            </w:r>
            <w:r>
              <w:rPr>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w:t>
            </w:r>
          </w:p>
          <w:p>
            <w:pPr>
              <w:numPr>
                <w:ilvl w:val="0"/>
                <w:numId w:val="0"/>
              </w:numPr>
              <w:autoSpaceDE w:val="0"/>
              <w:autoSpaceDN w:val="0"/>
              <w:spacing w:line="360" w:lineRule="auto"/>
              <w:ind w:firstLine="480" w:firstLineChars="200"/>
              <w:rPr>
                <w:rFonts w:hint="default" w:eastAsia="宋体" w:cs="Times New Roman"/>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鄂尔多斯盆地是一个整体升降、坳陷迁移、构造简单的大型多旋回克拉通盆地，基底为太古界及下元古界变质岩系，沉积盖层有长城系、蓟县系、震旦系、寒武系、奥陶系、石炭系、二叠系、三叠系、侏罗系、白垩系、第三系、第四系等，总厚5000—10000m。主要油气产层是中生界的三叠系、侏罗系以及下古生界的奥陶系。从盆地构造特征看，西降东升，东高西低，非常平缓，每公里坡降不足1</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勘查区地质构造见图3-2。</w:t>
            </w:r>
          </w:p>
          <w:p>
            <w:pPr>
              <w:numPr>
                <w:ilvl w:val="0"/>
                <w:numId w:val="0"/>
              </w:numPr>
              <w:autoSpaceDE w:val="0"/>
              <w:autoSpaceDN w:val="0"/>
              <w:spacing w:line="360" w:lineRule="auto"/>
              <w:ind w:firstLine="480" w:firstLineChars="200"/>
              <w:jc w:val="center"/>
              <w:rPr>
                <w:rFonts w:hint="eastAsia"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drawing>
                <wp:inline distT="0" distB="0" distL="114300" distR="114300">
                  <wp:extent cx="3094355" cy="4020820"/>
                  <wp:effectExtent l="0" t="0" r="4445" b="5080"/>
                  <wp:docPr id="16" name="图片 16" descr="图2-2  鄂尔多斯盆地大地构造单元位置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2-2  鄂尔多斯盆地大地构造单元位置图"/>
                          <pic:cNvPicPr>
                            <a:picLocks noChangeAspect="1"/>
                          </pic:cNvPicPr>
                        </pic:nvPicPr>
                        <pic:blipFill>
                          <a:blip r:embed="rId16"/>
                          <a:stretch>
                            <a:fillRect/>
                          </a:stretch>
                        </pic:blipFill>
                        <pic:spPr>
                          <a:xfrm>
                            <a:off x="0" y="0"/>
                            <a:ext cx="3094355" cy="4020820"/>
                          </a:xfrm>
                          <a:prstGeom prst="rect">
                            <a:avLst/>
                          </a:prstGeom>
                        </pic:spPr>
                      </pic:pic>
                    </a:graphicData>
                  </a:graphic>
                </wp:inline>
              </w:drawing>
            </w:r>
          </w:p>
          <w:p>
            <w:pPr>
              <w:spacing w:line="240" w:lineRule="auto"/>
              <w:jc w:val="center"/>
              <w:rPr>
                <w:rFonts w:hint="default"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图3-2  勘查区地质构造图</w:t>
            </w:r>
          </w:p>
          <w:p>
            <w:pPr>
              <w:numPr>
                <w:ilvl w:val="0"/>
                <w:numId w:val="0"/>
              </w:numPr>
              <w:autoSpaceDE w:val="0"/>
              <w:autoSpaceDN w:val="0"/>
              <w:spacing w:line="360" w:lineRule="auto"/>
              <w:ind w:firstLine="480" w:firstLineChars="200"/>
              <w:rPr>
                <w:rFonts w:hint="default" w:ascii="Times New Roman" w:hAnsi="Times New Roman"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4、气候气象</w:t>
            </w:r>
          </w:p>
          <w:p>
            <w:pPr>
              <w:spacing w:line="360" w:lineRule="auto"/>
              <w:ind w:firstLine="480" w:firstLineChars="200"/>
              <w:rPr>
                <w:rFonts w:hint="eastAsia"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北部盐池地区地处中纬度北温带，深居内陆，属荒漠半荒漠地区，为典型的大陆性干旱、半干旱季风气候区。冬寒春早，风多沙大，干旱少雨，干燥多风，降水量小，蒸发量大，潮湿度低等特点。多年平均降雨量为295.04mm，多年平均蒸发量为2147.94mm，是降雨量的7.28倍。蒸发度规律与降水量相反，年均蒸发度为降水量的4～8倍，潮湿系数0.13～0.3，属于湿度过低带。平均气温在8.01℃，最高气温为24.5℃，最低气温为-12.1℃，每年3～5月为风季，多为西北风，年平均大风日数为26天。每年11月中旬开始结冻，至翌年3～4月解冻，冻土期长达4～5个月。多年平均无霜期148天。勘查区南部环县－镇原－旬邑地区气候属于暖温带，一年四季分明。年平均气温13℃，一月平均气温-2℃，七月平均气温27℃，最高气温一般35～38℃。年降水量550～600mm，多集中于七至九月，夏季有伏旱，秋季有连阴雨，无霜期210天。春季多东北风，冬季多西北风，风速不大。整体来说勘查区气候条件较好，每年的野外施工有利时间为4～11月。</w:t>
            </w:r>
          </w:p>
          <w:p>
            <w:pPr>
              <w:numPr>
                <w:ilvl w:val="0"/>
                <w:numId w:val="0"/>
              </w:numPr>
              <w:autoSpaceDE w:val="0"/>
              <w:autoSpaceDN w:val="0"/>
              <w:spacing w:line="360" w:lineRule="auto"/>
              <w:ind w:firstLine="480" w:firstLineChars="200"/>
              <w:rPr>
                <w:rFonts w:hint="default"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5、水文特征</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鄂尔多斯盆地为一典型的向斜自流水盆地。喜山运动之前盆地四周为山系所环绕。盆缘与盆内碎屑岩沉积物相比，形成了两套完全不同的水文地质体系，即水文地质地块与自流水盆地区。其地下水接受山系地下水的补给并向盆地径流、排泄，具有完整的补给、径流、排泄系统。因此，喜山运动之前，鄂尔多斯盆地属半封闭具渗入型特点的向斜自流水盆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鄂尔多斯盆地中部白于山一线的区域分水岭将盆地分割为南北两个相对独立的水文地质单元，即南部的黄土高原水文地质区和北部的鄂尔多斯高原水文地质区。其中，南部的黄土高原水文地质区分为陕北黄土高原水文地质亚区与陇东黄土高原水文地质亚区；北部的鄂尔多斯高原水文地质区分为鄂尔多斯高原东部水文地质亚区与鄂尔多斯高原西部水文地质亚区。</w:t>
            </w:r>
          </w:p>
          <w:p>
            <w:pPr>
              <w:numPr>
                <w:ilvl w:val="0"/>
                <w:numId w:val="0"/>
              </w:numPr>
              <w:autoSpaceDE w:val="0"/>
              <w:autoSpaceDN w:val="0"/>
              <w:spacing w:line="360" w:lineRule="auto"/>
              <w:ind w:firstLine="480" w:firstLineChars="200"/>
              <w:rPr>
                <w:rFonts w:hint="default"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6、地表水系</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勘查区内主要河流为黄河、洛河、无定河、泾河和千河。</w:t>
            </w:r>
          </w:p>
          <w:p>
            <w:pPr>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黄河：黄河自河口镇至河南郑州市的桃花峪为中游。中游河段长1206.4公里，流域面积34.4万平方公里，占全流域面积的43.3%，落差890米，平均比降7.4‱。黄河自河口镇急转南下，直至禹门口，飞流直下725公里，水面跌落607米，比降为8.4‱。滚滚黄流，奔腾不息，将黄土高原分割两半，构成峡谷型河道。以河为界，左岸是山西省，右岸是陕西省，因之称</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"https://baike.baidu.com/item/%E6%99%8B%E9%99%95%E5%B3%A1%E8%B0%B7" \t "https://baike.baidu.com/item/%E9%BB%84%E6%B2%B3/_blank"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晋陕峡谷</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晋陕峡谷位于鄂尔多斯地台向斜与山西地台背斜交界，构造较简单。本河段河道比较顺直，河谷谷底宽，绝大部分都在400～600米。峡谷两岸是广阔的黄土高原，土质疏松，水土流失严重。支流水系特别发育，大于100平方公里的支流有56条。本峡谷段流域面积11万平方公里，占全河集流面积的15%。区间支流平均每年向干流输送泥沙9亿吨，占全河年输沙量的56%，是黄河流域泥沙来源最多的地区。</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洛河发源于陕西省华山南麓蓝田县境，至河南省巩县境汇入黄河，河道长447公里，流域面积18881平方公里，流域平均宽42公里，流域形状狭长。据黑石关水文站资料统计，年平均径流量34.3亿立方米，年输沙量0.18亿吨，平均含沙量仅5.3公斤每立方米，径流模数每平方公里为18.2万立方米，水多沙少，是黄河的多水支流之一。</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无定河，</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"https://baike.baidu.com/item/%E9%BB%84%E6%B2%B3/5394"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黄河</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一级支流，位于中国陕西省北部，是陕西</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"https://baike.baidu.com/item/%E6%A6%86%E6%9E%97/951162"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榆林</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地区最大的河流，它发源于</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"https://baike.baidu.com/item/%E5%AE%9A%E8%BE%B9%E5%8E%BF/4612817"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定边县</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"https://baike.baidu.com/item/%E7%99%BD%E4%BA%8E%E5%B1%B1/3491836"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白于山</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北麓，上游叫红柳河，流经靖边新桥后称为无定河。流经定边、靖边、米脂、绥德和</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"https://baike.baidu.com/item/%E6%B8%85%E6%B6%A7%E5%8E%BF/3368934"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清涧县</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，由西北向东南注入黄河。上游红柳河源于</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"https://baike.baidu.com/item/%E5%AE%9A%E8%BE%B9/10555556"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定边</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东南长春梁东麓，东南流向，沿途纳</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"https://baike.baidu.com/item/%E6%A6%86%E6%BA%AA%E6%B2%B3/9927222"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榆溪河</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"https://baike.baidu.com/item/%E8%8A%A6%E6%B2%B3/3261939"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芦河</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"https://baike.baidu.com/item/%E5%A4%A7%E7%90%86%E6%B2%B3/2229440"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大理河</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"https://baike.baidu.com/item/%E6%B7%AE%E5%AE%81%E6%B2%B3/5320820" \t "https://baike.baidu.com/item/%E6%97%A0%E5%AE%9A%E6%B2%B3/_blank"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淮宁河</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等支流，在清涧县河口注入黄河。全长491.0km，流域面积30260km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，陕西境内河长442.8km，流域面积21049.3km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，河道平均比降1.8‰。</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泾河：黄河支流</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"https://baike.baidu.com/item/%E6%B8%AD%E6%B2%B3/932174" \t "https://baike.baidu.com/item/%E6%B3%BE%E6%B2%B3/_blank"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渭河</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的第一大支流。发源于宁夏</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"https://baike.baidu.com/item/%E5%85%AD%E7%9B%98%E5%B1%B1/31428" \t "https://baike.baidu.com/item/%E6%B3%BE%E6%B2%B3/_blank"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六盘山</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东麓，上有两源，南源出于</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"https://baike.baidu.com/item/%E6%B3%BE%E6%BA%90%E5%8E%BF" \t "https://baike.baidu.com/item/%E6%B3%BE%E6%B2%B3/_blank"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泾源县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老龙潭以上，北源出于固原大湾镇，至平凉八里桥汇合，东流经平凉、泾川于杨家坪进入陕西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"https://baike.baidu.com/item/%E9%95%BF%E6%AD%A6%E5%8E%BF" \t "https://baike.baidu.com/item/%E6%B3%BE%E6%B2%B3/_blank"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长武县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，再经彬县、泾阳等，于西安市高陵区陈家滩注入渭河。泾河全长455.1km（泾川县志记为451km），流域面积45421km</w:t>
            </w:r>
            <w:r>
              <w:rPr>
                <w:rFonts w:hint="eastAsia" w:ascii="Times New Roman" w:hAnsi="Times New Roman" w:eastAsia="宋体" w:cs="Times New Roman"/>
                <w:b w:val="0"/>
                <w:bCs w:val="0"/>
                <w:color w:val="000000" w:themeColor="text1"/>
                <w:kern w:val="2"/>
                <w:sz w:val="24"/>
                <w:szCs w:val="24"/>
                <w:vertAlign w:val="superscript"/>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。泾河干流河谷开阔，一般在1km以上，平凉至泾川间，谷宽2－3km，川地平坦完整，有良好的灌溉条件。</w:t>
            </w:r>
          </w:p>
          <w:p>
            <w:pPr>
              <w:spacing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千河</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"https://baike.baidu.com/item/%E6%B8%AD%E6%B2%B3/932174"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渭河</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左岸较大支流之一，发源于甘肃</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"https://baike.baidu.com/item/%E5%85%AD%E7%9B%98%E5%B1%B1/31428"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六盘山</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南坡石嘴梁南侧（一说</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"https://baike.baidu.com/item/%E5%BC%A0%E5%AE%B6%E5%B7%9D/1588899"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张家川</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县，一说</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"https://baike.baidu.com/item/%E5%8D%8E%E4%BA%AD%E5%8E%BF/51095"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华亭县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境内），于陕西省</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"https://baike.baidu.com/item/%E9%99%88%E4%BB%93%E5%8C%BA"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陈仓区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底店汇入</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"https://baike.baidu.com/item/%E6%B8%AD%E6%B2%B3/932174"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渭河</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；流经甘肃张家川、陕西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"https://baike.baidu.com/item/%E9%99%87%E5%8E%BF/2700153"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陇县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"https://baike.baidu.com/item/%E5%8D%83%E9%98%B3%E5%8E%BF/2698812"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千阳县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"https://baike.baidu.com/item/%E5%87%A4%E7%BF%94%E5%8E%BF/2697074"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凤翔县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、陈仓区，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"https://baike.baidu.com/item/%E6%B5%81%E5%9F%9F"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流域</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面积3493平方公里，干流总长152.6公里，河道平均比降为0.58%。在陕西省</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"https://baike.baidu.com/item/%E9%99%87%E5%8E%BF"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陇县</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境内，千河干流从县境西部</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"https://baike.baidu.com/item/%E5%9B%BA%E5%85%B3%E9%95%87"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固关镇</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唐家河入境，至</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begin"/>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instrText xml:space="preserve"> HYPERLINK "https://baike.baidu.com/item/%E4%B8%9C%E9%A3%8E%E9%95%87/9089" \t "https://baike.baidu.com/item/%E5%8D%83%E6%B2%B3/_blank" </w:instrTex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separate"/>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东风镇</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fldChar w:fldCharType="end"/>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交界村出境入千阳县。横贯全县东西，境内流长68.8公里。河床平均比降1:135，河道宽阔，漫滩较多。流域面积1957.9平方公里，占县境内渭河水系流域总面积的90%，占全县土地面积的85.60%。年径流量3.3亿立方米，多年平均流量5.6立方米/秒。千河上游比降大，水流湍急，属花岗岩、灰岩、砂岩、片麻岩山区，植被良好；下游河谷阶地较宽，土地肥沃，灌溉条件较好，为宜农区。</w:t>
            </w:r>
          </w:p>
          <w:p>
            <w:pPr>
              <w:pStyle w:val="2"/>
              <w:spacing w:line="360" w:lineRule="auto"/>
              <w:ind w:firstLine="480" w:firstLineChars="200"/>
              <w:rPr>
                <w:rFonts w:hint="default"/>
                <w:lang w:val="en-US" w:eastAsia="zh-CN"/>
              </w:rPr>
            </w:pPr>
            <w:r>
              <w:rPr>
                <w:rFonts w:hint="eastAsia" w:ascii="Times New Roman" w:hAnsi="Times New Roman" w:cs="Times New Roman"/>
                <w:b w:val="0"/>
                <w:bCs w:val="0"/>
                <w:color w:val="000000" w:themeColor="text1"/>
                <w:kern w:val="2"/>
                <w:sz w:val="24"/>
                <w:szCs w:val="24"/>
                <w:lang w:val="en-US" w:eastAsia="zh-CN" w:bidi="ar-SA"/>
                <w14:textFill>
                  <w14:solidFill>
                    <w14:schemeClr w14:val="tx1"/>
                  </w14:solidFill>
                </w14:textFill>
              </w:rPr>
              <w:t>勘查区主要河流分布见图3-3。</w:t>
            </w:r>
          </w:p>
          <w:p>
            <w:pPr>
              <w:spacing w:line="240" w:lineRule="auto"/>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drawing>
                <wp:inline distT="0" distB="0" distL="114300" distR="114300">
                  <wp:extent cx="4443095" cy="3999865"/>
                  <wp:effectExtent l="9525" t="9525" r="17780" b="16510"/>
                  <wp:docPr id="18" name="图片 18" descr="图1-3  鄂尔多斯盆地南部地貌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1-3  鄂尔多斯盆地南部地貌图"/>
                          <pic:cNvPicPr>
                            <a:picLocks noChangeAspect="1"/>
                          </pic:cNvPicPr>
                        </pic:nvPicPr>
                        <pic:blipFill>
                          <a:blip r:embed="rId13"/>
                          <a:srcRect t="1967" r="244" b="6557"/>
                          <a:stretch>
                            <a:fillRect/>
                          </a:stretch>
                        </pic:blipFill>
                        <pic:spPr>
                          <a:xfrm>
                            <a:off x="0" y="0"/>
                            <a:ext cx="4443095" cy="3999865"/>
                          </a:xfrm>
                          <a:prstGeom prst="rect">
                            <a:avLst/>
                          </a:prstGeom>
                          <a:ln>
                            <a:solidFill>
                              <a:schemeClr val="tx1"/>
                            </a:solidFill>
                          </a:ln>
                        </pic:spPr>
                      </pic:pic>
                    </a:graphicData>
                  </a:graphic>
                </wp:inline>
              </w:drawing>
            </w:r>
          </w:p>
          <w:p>
            <w:pPr>
              <w:spacing w:line="240" w:lineRule="auto"/>
              <w:jc w:val="cente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图3-</w:t>
            </w:r>
            <w:r>
              <w:rPr>
                <w:rFonts w:hint="eastAsia" w:cs="Times New Roman"/>
                <w:b w:val="0"/>
                <w:bCs/>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 xml:space="preserve">  </w:t>
            </w:r>
            <w:r>
              <w:rPr>
                <w:rFonts w:hint="eastAsia" w:cs="Times New Roman"/>
                <w:b w:val="0"/>
                <w:bCs/>
                <w:color w:val="000000" w:themeColor="text1"/>
                <w:sz w:val="24"/>
                <w:szCs w:val="24"/>
                <w:lang w:val="en-US" w:eastAsia="zh-CN"/>
                <w14:textFill>
                  <w14:solidFill>
                    <w14:schemeClr w14:val="tx1"/>
                  </w14:solidFill>
                </w14:textFill>
              </w:rPr>
              <w:t>勘查区</w:t>
            </w:r>
            <w:r>
              <w:rPr>
                <w:rFonts w:hint="eastAsia" w:ascii="Times New Roman" w:hAnsi="Times New Roman" w:eastAsia="宋体" w:cs="Times New Roman"/>
                <w:b w:val="0"/>
                <w:bCs/>
                <w:color w:val="000000" w:themeColor="text1"/>
                <w:sz w:val="24"/>
                <w:szCs w:val="24"/>
                <w:lang w:val="en-US" w:eastAsia="zh-CN"/>
                <w14:textFill>
                  <w14:solidFill>
                    <w14:schemeClr w14:val="tx1"/>
                  </w14:solidFill>
                </w14:textFill>
              </w:rPr>
              <w:t>主要河流分布图</w:t>
            </w:r>
          </w:p>
          <w:p>
            <w:pPr>
              <w:numPr>
                <w:ilvl w:val="0"/>
                <w:numId w:val="0"/>
              </w:numPr>
              <w:autoSpaceDE w:val="0"/>
              <w:autoSpaceDN w:val="0"/>
              <w:spacing w:line="360" w:lineRule="auto"/>
              <w:ind w:firstLine="480" w:firstLineChars="200"/>
              <w:rPr>
                <w:rFonts w:hint="default" w:eastAsia="黑体" w:cs="Times New Roman"/>
                <w:color w:val="000000" w:themeColor="text1"/>
                <w:sz w:val="24"/>
                <w:lang w:val="en-US" w:eastAsia="zh-CN"/>
                <w14:textFill>
                  <w14:solidFill>
                    <w14:schemeClr w14:val="tx1"/>
                  </w14:solidFill>
                </w14:textFill>
              </w:rPr>
            </w:pPr>
            <w:r>
              <w:rPr>
                <w:rFonts w:hint="eastAsia" w:eastAsia="黑体" w:cs="Times New Roman"/>
                <w:color w:val="000000" w:themeColor="text1"/>
                <w:sz w:val="24"/>
                <w:lang w:val="en-US" w:eastAsia="zh-CN"/>
                <w14:textFill>
                  <w14:solidFill>
                    <w14:schemeClr w14:val="tx1"/>
                  </w14:solidFill>
                </w14:textFill>
              </w:rPr>
              <w:t>7、动物、植物资源</w:t>
            </w:r>
          </w:p>
          <w:p>
            <w:pPr>
              <w:spacing w:line="360" w:lineRule="auto"/>
              <w:ind w:firstLine="480" w:firstLineChars="200"/>
              <w:rPr>
                <w:rFonts w:hint="default" w:cs="Times New Roman"/>
                <w:color w:val="000000" w:themeColor="text1"/>
                <w:sz w:val="24"/>
                <w:szCs w:val="24"/>
                <w:vertAlign w:val="baseline"/>
                <w:lang w:val="en-US"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详见环境质量状况中生态环境现状调查小节。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625" w:hRule="atLeast"/>
          <w:jc w:val="center"/>
        </w:trPr>
        <w:tc>
          <w:tcPr>
            <w:tcW w:w="5000" w:type="pct"/>
          </w:tcPr>
          <w:p>
            <w:pPr>
              <w:spacing w:line="360" w:lineRule="auto"/>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社会环境简况（人口、生活习性等）</w:t>
            </w:r>
          </w:p>
          <w:p>
            <w:pPr>
              <w:numPr>
                <w:ilvl w:val="0"/>
                <w:numId w:val="0"/>
              </w:numPr>
              <w:autoSpaceDE w:val="0"/>
              <w:autoSpaceDN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本项目勘查区</w:t>
            </w:r>
            <w:r>
              <w:rPr>
                <w:rFonts w:hint="default" w:ascii="Times New Roman" w:hAnsi="Times New Roman" w:cs="Times New Roman"/>
                <w:color w:val="000000" w:themeColor="text1"/>
                <w:sz w:val="24"/>
                <w:lang w:val="en-US" w:eastAsia="zh-CN"/>
                <w14:textFill>
                  <w14:solidFill>
                    <w14:schemeClr w14:val="tx1"/>
                  </w14:solidFill>
                </w14:textFill>
              </w:rPr>
              <w:t>涉及</w:t>
            </w:r>
            <w:r>
              <w:rPr>
                <w:rFonts w:hint="eastAsia" w:cs="Times New Roman"/>
                <w:color w:val="000000" w:themeColor="text1"/>
                <w:sz w:val="24"/>
                <w:lang w:val="en-US" w:eastAsia="zh-CN"/>
                <w14:textFill>
                  <w14:solidFill>
                    <w14:schemeClr w14:val="tx1"/>
                  </w14:solidFill>
                </w14:textFill>
              </w:rPr>
              <w:t>陕西省（榆林市、</w:t>
            </w:r>
            <w:r>
              <w:rPr>
                <w:rFonts w:hint="eastAsia"/>
                <w:color w:val="000000" w:themeColor="text1"/>
                <w:sz w:val="24"/>
                <w:lang w:val="en-US" w:eastAsia="zh-CN"/>
                <w14:textFill>
                  <w14:solidFill>
                    <w14:schemeClr w14:val="tx1"/>
                  </w14:solidFill>
                </w14:textFill>
              </w:rPr>
              <w:t>延安市、渭南市、咸阳市和宝鸡市</w:t>
            </w:r>
            <w:r>
              <w:rPr>
                <w:rFonts w:hint="eastAsia" w:cs="Times New Roman"/>
                <w:color w:val="000000" w:themeColor="text1"/>
                <w:sz w:val="24"/>
                <w:lang w:val="en-US" w:eastAsia="zh-CN"/>
                <w14:textFill>
                  <w14:solidFill>
                    <w14:schemeClr w14:val="tx1"/>
                  </w14:solidFill>
                </w14:textFill>
              </w:rPr>
              <w:t>）、甘肃省（平凉市和庆阳市）、</w:t>
            </w:r>
            <w:r>
              <w:rPr>
                <w:rFonts w:hint="eastAsia"/>
                <w:bCs/>
                <w:color w:val="000000" w:themeColor="text1"/>
                <w:sz w:val="24"/>
                <w:lang w:val="en-US" w:eastAsia="zh-CN"/>
                <w14:textFill>
                  <w14:solidFill>
                    <w14:schemeClr w14:val="tx1"/>
                  </w14:solidFill>
                </w14:textFill>
              </w:rPr>
              <w:t>内蒙古自治区鄂尔多斯市（鄂托克前旗和乌审旗）、</w:t>
            </w:r>
            <w:r>
              <w:rPr>
                <w:rFonts w:hint="eastAsia"/>
                <w:color w:val="000000" w:themeColor="text1"/>
                <w:sz w:val="24"/>
                <w:lang w:val="en-US" w:eastAsia="zh-CN"/>
                <w14:textFill>
                  <w14:solidFill>
                    <w14:schemeClr w14:val="tx1"/>
                  </w14:solidFill>
                </w14:textFill>
              </w:rPr>
              <w:t>宁夏回族自治区（银川市、吴忠市和固原市）和山西省（吕梁市和临汾市）。</w:t>
            </w:r>
          </w:p>
          <w:p>
            <w:pPr>
              <w:autoSpaceDE w:val="0"/>
              <w:autoSpaceDN w:val="0"/>
              <w:spacing w:line="360" w:lineRule="auto"/>
              <w:ind w:firstLine="480" w:firstLineChars="20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榆林市，位于陕西省最北部，东临黄河与山西相望，西连宁夏、甘肃，北邻内蒙古，南接本省延安市。地域东西长385公里，南北宽263公里，总土地面积42920.2平方公里。户籍人口385.89万人。农作物以小麦、玉米、土豆、青稞、玉米为主，人们日常饮食以小麦为主食，玉米、谷类为杂食，同时辅以蔬菜、瓜果、肉蛋和调料等。</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延安市，</w:t>
            </w:r>
            <w:r>
              <w:rPr>
                <w:color w:val="000000" w:themeColor="text1"/>
                <w:sz w:val="24"/>
                <w:lang w:val="en-GB"/>
                <w14:textFill>
                  <w14:solidFill>
                    <w14:schemeClr w14:val="tx1"/>
                  </w14:solidFill>
                </w14:textFill>
              </w:rPr>
              <w:t>属陕西省辖市，位于黄土高原的中南部，介于东经107°38′59″～110°32′46″，北纬35°20′39″～37°30′00″之间。北连榆林市，南接咸阳市、铜川市、渭南市，东隔黄河与山西省临汾市、吕梁市相望，西依子午岭与甘肃省庆阳市为邻，东西长度261.1千米，南北长度239.9千米，面积37031.3平方千米，距西安371千米。</w:t>
            </w:r>
            <w:r>
              <w:rPr>
                <w:rFonts w:hint="eastAsia"/>
                <w:color w:val="000000" w:themeColor="text1"/>
                <w:sz w:val="24"/>
                <w:lang w:val="en-GB"/>
                <w14:textFill>
                  <w14:solidFill>
                    <w14:schemeClr w14:val="tx1"/>
                  </w14:solidFill>
                </w14:textFill>
              </w:rPr>
              <w:t>全市常住人口225.57万人。农作物以小麦、玉米、土豆、青稞、玉米为主，人们日常饮食以小麦为主食，玉米、谷类为杂食，同时辅以蔬菜、瓜果、肉蛋和调料等。</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咸阳市，地处陕西省关中盆地的中部，东与铜川市、渭南市为邻，西与宝鸡市接壤，北同甘肃省庆阳市、平凉市毗连，南接西安市，南北长149.4千米，东西宽139.7千米，总面积10189.4平方千米（2017年4月，西咸新区交由西安市托管，含咸阳市15个镇（街道），面积644.56平方千米）。全市常住人口436.61万人。咸阳地处黄土高原沟壑区和关中盆地平原区过渡地带，农作物以小麦、玉米、豆类、薯类为主，人们日常饮食以小麦为主食，玉米、豆类、薯类、谷类为杂食，同时辅以蔬菜、瓜果、肉蛋和调料等。</w:t>
            </w:r>
          </w:p>
          <w:p>
            <w:pPr>
              <w:autoSpaceDE w:val="0"/>
              <w:autoSpaceDN w:val="0"/>
              <w:spacing w:line="360" w:lineRule="auto"/>
              <w:ind w:firstLine="480" w:firstLineChars="200"/>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渭南市，位于</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"https://baike.baidu.com/item/%E5%85%B3%E4%B8%AD%E5%B9%B3%E5%8E%9F/10791516" \t "https://baike.baidu.com/item/_blank"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关中平原</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东部，</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"https://baike.baidu.com/item/%E9%99%95%E8%A5%BF%E7%9C%81/19657132" \t "https://baike.baidu.com/item/_blank"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陕西省</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东部，地势以</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"https://baike.baidu.com/item/%E6%B8%AD%E6%B2%B3/932174" \t "https://baike.baidu.com/item/_blank"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渭河</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为轴线，形成南北两山、两塬和中部平川五大地貌类型区，属温带季风气候。东与</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"https://baike.baidu.com/item/%E5%B1%B1%E8%A5%BF/188460" \t "https://baike.baidu.com/item/_blank"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山西</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fldChar w:fldCharType="begin"/>
            </w:r>
            <w:r>
              <w:rPr>
                <w:rFonts w:hint="eastAsia"/>
                <w:color w:val="000000" w:themeColor="text1"/>
                <w:sz w:val="24"/>
                <w:lang w:val="en-US" w:eastAsia="zh-CN"/>
                <w14:textFill>
                  <w14:solidFill>
                    <w14:schemeClr w14:val="tx1"/>
                  </w14:solidFill>
                </w14:textFill>
              </w:rPr>
              <w:instrText xml:space="preserve"> HYPERLINK "https://baike.baidu.com/item/%E6%B2%B3%E5%8D%97/132980" \t "https://baike.baidu.com/item/_blank" </w:instrText>
            </w:r>
            <w:r>
              <w:rPr>
                <w:rFonts w:hint="eastAsia"/>
                <w:color w:val="000000" w:themeColor="text1"/>
                <w:sz w:val="24"/>
                <w:lang w:val="en-US" w:eastAsia="zh-CN"/>
                <w14:textFill>
                  <w14:solidFill>
                    <w14:schemeClr w14:val="tx1"/>
                  </w14:solidFill>
                </w14:textFill>
              </w:rPr>
              <w:fldChar w:fldCharType="separate"/>
            </w:r>
            <w:r>
              <w:rPr>
                <w:rFonts w:hint="eastAsia"/>
                <w:color w:val="000000" w:themeColor="text1"/>
                <w:sz w:val="24"/>
                <w:lang w:val="en-US" w:eastAsia="zh-CN"/>
                <w14:textFill>
                  <w14:solidFill>
                    <w14:schemeClr w14:val="tx1"/>
                  </w14:solidFill>
                </w14:textFill>
              </w:rPr>
              <w:t>河南</w:t>
            </w:r>
            <w:r>
              <w:rPr>
                <w:rFonts w:hint="eastAsia"/>
                <w:color w:val="000000" w:themeColor="text1"/>
                <w:sz w:val="24"/>
                <w:lang w:val="en-US"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毗邻，西与西安、咸阳相接，南依秦岭与商洛为界，北靠黄龙山、乔山与延安、铜川接壤。南北长182.3千米，东西宽149.7千米，全市总面积13030平方千米。下辖2区、7县，代管2个县级市，渭南市常住人口为4688744人。农作物</w:t>
            </w:r>
            <w:r>
              <w:rPr>
                <w:rFonts w:hint="eastAsia"/>
                <w:color w:val="000000" w:themeColor="text1"/>
                <w:sz w:val="24"/>
                <w:lang w:val="en-GB"/>
                <w14:textFill>
                  <w14:solidFill>
                    <w14:schemeClr w14:val="tx1"/>
                  </w14:solidFill>
                </w14:textFill>
              </w:rPr>
              <w:t>主要有小麦、玉米、谷子、薯类、豆类、棉花、烟叶、油菜、花生、芝麻、苹果、酥梨、葡萄、花椒、红枣、柿子、核桃、板栗、杏、桃等</w:t>
            </w:r>
            <w:r>
              <w:rPr>
                <w:rFonts w:hint="eastAsia"/>
                <w:color w:val="000000" w:themeColor="text1"/>
                <w:sz w:val="24"/>
                <w:lang w:val="en-GB" w:eastAsia="zh-CN"/>
                <w14:textFill>
                  <w14:solidFill>
                    <w14:schemeClr w14:val="tx1"/>
                  </w14:solidFill>
                </w14:textFill>
              </w:rPr>
              <w:t>。</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宝鸡市，地处陕、甘、宁、川四省（区）结合部，处于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"https://baike.baidu.com/item/%E8%A5%BF%E5%AE%89/121614"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西安</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"https://baike.baidu.com/item/%E5%85%B0%E5%B7%9E/170826"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兰州</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"https://baike.baidu.com/item/%E9%93%B6%E5%B7%9D/306003"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银川</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"https://baike.baidu.com/item/%E6%88%90%E9%83%BD/128473"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成都</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四个省会城市的中心位置，介于东经106°18′~108°03′，北纬33°35′~35°06′之间。</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"https://baike.baidu.com/item/%E9%99%87%E6%B5%B7%E9%93%81%E8%B7%AF"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陇海铁路</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"https://baike.baidu.com/item/%E5%AE%9D%E6%88%90%E9%93%81%E8%B7%AF/747690"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宝成铁路</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"https://baike.baidu.com/item/%E5%AE%9D%E4%B8%AD%E9%93%81%E8%B7%AF"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宝中铁路</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在此交会，是中国境内亚欧大陆桥上第三个大十字枢纽。东连</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"https://baike.baidu.com/item/%E5%92%B8%E9%98%B3/183345"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咸阳</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"https://baike.baidu.com/item/%E6%9D%A8%E5%87%8C%E7%A4%BA%E8%8C%83%E5%8C%BA/11030193"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杨凌示范区</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，南接</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"https://baike.baidu.com/item/%E6%B1%89%E4%B8%AD/363309"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汉中</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"https://baike.baidu.com/item/%E8%A5%BF%E5%8C%97/8101947"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西北</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与甘肃省的</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"https://baike.baidu.com/item/%E5%A4%A9%E6%B0%B4/292960"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天水</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和</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"https://baike.baidu.com/item/%E5%B9%B3%E5%87%89/354657"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平凉</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毗邻。</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"https://baike.baidu.com/item/%E7%A7%A6%E5%B2%AD/1396"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秦岭</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南屏，</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"https://baike.baidu.com/item/%E6%B8%AD%E6%B0%B4/4827164"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渭水</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中流，关陇西阻北横，渭北沃野平原。东西长156.6千米，南北宽160.6千米，总面积18117平方千米，其中市区面积3625平方千米。种植作物包括苹果、</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"https://baike.baidu.com/item/%E6%A0%B8%E6%A1%83/549550"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核桃</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"https://baike.baidu.com/item/%E6%9D%BF%E6%A0%97/6064"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板栗</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"https://baike.baidu.com/item/%E6%9F%BF%E5%AD%90/62552"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柿子</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"https://baike.baidu.com/item/%E6%A2%A8/11871"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梨</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"https://baike.baidu.com/item/%E6%A1%83%E5%AD%90/53936" \t "https://baike.baidu.com/item/%E5%AE%9D%E9%B8%A1/_blank"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桃子</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等。</w:t>
            </w:r>
            <w:r>
              <w:rPr>
                <w:rFonts w:hint="eastAsia"/>
                <w:color w:val="000000" w:themeColor="text1"/>
                <w:sz w:val="24"/>
                <w:lang w:val="en-GB"/>
                <w14:textFill>
                  <w14:solidFill>
                    <w14:schemeClr w14:val="tx1"/>
                  </w14:solidFill>
                </w14:textFill>
              </w:rPr>
              <w:t>日常饮食以小麦为主食，玉米、豆类、薯类、谷类为杂食，同时辅以蔬菜、瓜果、肉蛋和调料等。</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庆阳市，地处中国西部地区、甘肃省东部，东接陕西省的宜君、黄陵、富县、甘泉、志丹等县；北邻陕西省定边、吴起、志丹县及宁夏回族自治区盐池县；西与宁夏回族自治区固原市原州区、彭阳县、同心县接壤；南与甘肃省的泾川县及陕西的彬州市、长武、旬邑县相连。总面积27119平方公里，总人口265万，常住人口227.88万人。盛产小麦、玉米、油料、荞麦、小米、燕麦、黄豆等特色小杂粮，被农业部列入西北黄土高原苹果优生带。</w:t>
            </w:r>
            <w:r>
              <w:rPr>
                <w:rFonts w:hint="eastAsia"/>
                <w:color w:val="000000" w:themeColor="text1"/>
                <w:sz w:val="24"/>
                <w14:textFill>
                  <w14:solidFill>
                    <w14:schemeClr w14:val="tx1"/>
                  </w14:solidFill>
                </w14:textFill>
              </w:rPr>
              <w:t>日常饮食以小麦为主，辅以多种杂粮（豆类、玉米、高粱、荞麦、燕麦、莜麦、小米、大米等）</w:t>
            </w:r>
            <w:r>
              <w:rPr>
                <w:rFonts w:hint="eastAsia"/>
                <w:color w:val="000000" w:themeColor="text1"/>
                <w:sz w:val="24"/>
                <w:lang w:val="en-GB"/>
                <w14:textFill>
                  <w14:solidFill>
                    <w14:schemeClr w14:val="tx1"/>
                  </w14:solidFill>
                </w14:textFill>
              </w:rPr>
              <w:t>。</w:t>
            </w:r>
          </w:p>
          <w:p>
            <w:pPr>
              <w:autoSpaceDE w:val="0"/>
              <w:autoSpaceDN w:val="0"/>
              <w:spacing w:line="360" w:lineRule="auto"/>
              <w:ind w:firstLine="480" w:firstLineChars="200"/>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平凉市，</w:t>
            </w:r>
            <w:r>
              <w:rPr>
                <w:rFonts w:hint="default" w:ascii="Times New Roman" w:hAnsi="Times New Roman" w:cs="Times New Roman"/>
                <w:color w:val="000000" w:themeColor="text1"/>
                <w:sz w:val="24"/>
                <w:lang w:val="en-US" w:eastAsia="zh-CN"/>
                <w14:textFill>
                  <w14:solidFill>
                    <w14:schemeClr w14:val="tx1"/>
                  </w14:solidFill>
                </w14:textFill>
              </w:rPr>
              <w:t>位于甘肃省东部，陕、甘、宁三省（区）交汇处，地处北纬34°54'至35°43'，东经108°30'至107°45'之间，海拔在890—2857米之间。主要农林产品生产基地和畜牧业、经济作物的主产区，盛产小麦、玉米、谷类、荞麦、油菜、胡麻、林果、烤烟等</w:t>
            </w:r>
            <w:r>
              <w:rPr>
                <w:rFonts w:hint="eastAsia" w:ascii="Times New Roman" w:hAnsi="Times New Roman" w:cs="Times New Roman"/>
                <w:color w:val="000000" w:themeColor="text1"/>
                <w:sz w:val="24"/>
                <w:lang w:val="en-US" w:eastAsia="zh-CN"/>
                <w14:textFill>
                  <w14:solidFill>
                    <w14:schemeClr w14:val="tx1"/>
                  </w14:solidFill>
                </w14:textFill>
              </w:rPr>
              <w:t>。</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color w:val="000000" w:themeColor="text1"/>
                <w:sz w:val="24"/>
                <w:lang w:val="en-GB"/>
                <w14:textFill>
                  <w14:solidFill>
                    <w14:schemeClr w14:val="tx1"/>
                  </w14:solidFill>
                </w14:textFill>
              </w:rPr>
              <w:t>鄂尔多斯市，位于内蒙古自治区西南部，地处鄂尔多斯高原腹地，介于北纬37°35′24″～40°51′40″，东经106°42′40″～111°27′20″之间，东、南、西与晋、陕、宁接壤，东部、北部和西部分别与呼和浩特市、山西省忻州市，包头市、巴彦淖尔市、乌海市，宁夏回族自治区、阿拉善盟隔河相望；南部与陕西省榆林市接壤。东西长约400公里，南北宽约340公里，总面积86752平方公里。</w:t>
            </w:r>
            <w:r>
              <w:rPr>
                <w:rFonts w:hint="eastAsia"/>
                <w:color w:val="000000" w:themeColor="text1"/>
                <w:sz w:val="24"/>
                <w:lang w:val="en-GB"/>
                <w14:textFill>
                  <w14:solidFill>
                    <w14:schemeClr w14:val="tx1"/>
                  </w14:solidFill>
                </w14:textFill>
              </w:rPr>
              <w:t>常住人口208.76万人，蒙古族为主体、汉族占多数。境内的蒙古族人的主要食品为奶食、肉食和粮食三大类。除奶、肉等主要食物外，还兼食粮食，一般的粮食是炒米，此外是面食。</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固原市，</w:t>
            </w:r>
            <w:r>
              <w:rPr>
                <w:color w:val="000000" w:themeColor="text1"/>
                <w:sz w:val="24"/>
                <w:lang w:val="en-GB"/>
                <w14:textFill>
                  <w14:solidFill>
                    <w14:schemeClr w14:val="tx1"/>
                  </w14:solidFill>
                </w14:textFill>
              </w:rPr>
              <w:t>位于宁夏回族自治区南部的六盘山地区。东部与甘肃省庆阳市、平凉市为邻，南与平凉市相连，西部与甘肃省白银市相连，北部与中卫市、吴忠市接壤。地域范围在北纬35º14′～36º31′，东经105º19′～106º57′之间。总面积10541.4平方公里</w:t>
            </w:r>
            <w:r>
              <w:rPr>
                <w:rFonts w:hint="eastAsia"/>
                <w:color w:val="000000" w:themeColor="text1"/>
                <w:sz w:val="24"/>
                <w:lang w:val="en-GB"/>
                <w14:textFill>
                  <w14:solidFill>
                    <w14:schemeClr w14:val="tx1"/>
                  </w14:solidFill>
                </w14:textFill>
              </w:rPr>
              <w:t>。常住总人口为125.05万人。农作物以稻谷，小麦，玉米，薯类，豆类，油料，胡麻，向日葵，药材，蔬菜，瓜果类为主。以食大米和春小麦磨制的面粉为主。</w:t>
            </w:r>
          </w:p>
          <w:p>
            <w:pPr>
              <w:autoSpaceDE w:val="0"/>
              <w:autoSpaceDN w:val="0"/>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吴忠市，位于宁夏中部，原为古灵州城和金积县驻地，地处宁夏平原腹地，地势南高北低，属中温带干旱、半干旱气候地区。全市总面积2.14万平方千米。常住总人口141.54万人。农作物以稻谷，小麦，玉米，薯类，蔬菜，瓜果类为主。以食大米和春小麦磨制的面粉为主。</w:t>
            </w:r>
          </w:p>
          <w:p>
            <w:pPr>
              <w:autoSpaceDE w:val="0"/>
              <w:autoSpaceDN w:val="0"/>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银川市，</w:t>
            </w:r>
            <w:r>
              <w:rPr>
                <w:rFonts w:hint="default" w:ascii="Times New Roman" w:hAnsi="Times New Roman" w:cs="Times New Roman"/>
                <w:color w:val="000000" w:themeColor="text1"/>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"https://baike.baidu.com/item/%E5%90%B4%E5%BF%A0%E5%B8%82"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吴忠市</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盐池县接壤，西依</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"https://baike.baidu.com/item/%E8%B4%BA%E5%85%B0%E5%B1%B1/3800"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贺兰山</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"https://baike.baidu.com/item/%E5%86%85%E8%92%99%E5%8F%A4/173741"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内蒙古</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自治区阿拉善盟阿拉善左旗为邻，南与吴忠市利通区、</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"https://baike.baidu.com/item/%E9%9D%92%E9%93%9C%E5%B3%A1%E5%B8%82"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青铜峡市</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相连，北接</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"https://baike.baidu.com/item/%E7%9F%B3%E5%98%B4%E5%B1%B1"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石嘴山</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市平罗县，与内蒙古自治区鄂尔多斯市鄂托克前旗相邻（以明长城为界）。其地域范围在北纬37°29′～38°53′，东经105°49′～106°53′之间</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面积9025.38平方公里</w:t>
            </w:r>
            <w:r>
              <w:rPr>
                <w:rFonts w:hint="eastAsia" w:ascii="Times New Roman" w:hAnsi="Times New Roman" w:cs="Times New Roman"/>
                <w:color w:val="000000" w:themeColor="text1"/>
                <w:sz w:val="24"/>
                <w:lang w:val="en-US" w:eastAsia="zh-CN"/>
                <w14:textFill>
                  <w14:solidFill>
                    <w14:schemeClr w14:val="tx1"/>
                  </w14:solidFill>
                </w14:textFill>
              </w:rPr>
              <w:t>；银川的饮食以汉族和回族的饮食习惯为主，汉族饮食以西北菜为主。</w:t>
            </w:r>
          </w:p>
          <w:p>
            <w:pPr>
              <w:autoSpaceDE w:val="0"/>
              <w:autoSpaceDN w:val="0"/>
              <w:spacing w:line="360" w:lineRule="auto"/>
              <w:ind w:firstLine="480" w:firstLineChars="200"/>
              <w:rPr>
                <w:rFonts w:hint="default"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吕梁市，吕梁市位于山西省中部西侧，因</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"https://baike.baidu.com/item/%E5%90%95%E6%A2%81%E5%B1%B1%E8%84%89/6514905" \t "https://baike.baidu.com/item/%E5%90%95%E6%A2%81/_blank"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吕梁山脉</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纵贯全境而得名。地理坐标北纬36°43'—38°43'，东经110°22'—112°19'，西隔黄河与陕西相望，东与太原市和</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"https://baike.baidu.com/item/%E6%99%8B%E4%B8%AD%E5%B8%82/529804" \t "https://baike.baidu.com/item/%E5%90%95%E6%A2%81/_blank"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晋中市</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相邻，南与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"https://baike.baidu.com/item/%E4%B8%B4%E6%B1%BE%E5%B8%82/529505" \t "https://baike.baidu.com/item/%E5%90%95%E6%A2%81/_blank"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临汾市</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接壤，北与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"https://baike.baidu.com/item/%E5%BF%BB%E5%B7%9E%E5%B8%82/528415" \t "https://baike.baidu.com/item/%E5%90%95%E6%A2%81/_blank"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忻州市</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为邻。面积2.1万平方公里，占全省国土面积的13.5%。</w:t>
            </w:r>
          </w:p>
          <w:p>
            <w:pPr>
              <w:autoSpaceDE w:val="0"/>
              <w:autoSpaceDN w:val="0"/>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临汾市，位于山西省西南部，东倚</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"https://baike.baidu.com/item/%E5%A4%AA%E5%B2%B3"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太岳</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"https://baike.baidu.com/item/%E9%95%BF%E6%B2%BB/72841"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长治</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"https://baike.baidu.com/item/%E6%99%8B%E5%9F%8E"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晋城</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为邻；西临</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"https://baike.baidu.com/item/%E9%BB%84%E6%B2%B3/5394"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黄河</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，与</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"https://baike.baidu.com/item/%E9%99%95%E8%A5%BF%E7%9C%81/19657132"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陕西省</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隔河相望；北起</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"https://baike.baidu.com/item/%E9%9F%A9%E4%BF%A1%E5%B2%AD/16552683"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韩信岭</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，与晋中、</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"https://baike.baidu.com/item/%E5%90%95%E6%A2%81/21755"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吕梁</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毗连；南与运城市接壤。地理坐标为北纬35°23′～36°57′，东经110°22′～112°34′之间，南北最大纵距170多平方公里，东西最大横距约200公里，面积2.03万平方公里。地处半干旱、半湿润季风气候区，属</w:t>
            </w:r>
            <w:r>
              <w:rPr>
                <w:rFonts w:hint="default" w:ascii="Times New Roman" w:hAnsi="Times New Roman" w:cs="Times New Roman"/>
                <w:color w:val="000000" w:themeColor="text1"/>
                <w:sz w:val="24"/>
                <w:lang w:val="en-US" w:eastAsia="zh-CN"/>
                <w14:textFill>
                  <w14:solidFill>
                    <w14:schemeClr w14:val="tx1"/>
                  </w14:solidFill>
                </w14:textFill>
              </w:rPr>
              <w:fldChar w:fldCharType="begin"/>
            </w:r>
            <w:r>
              <w:rPr>
                <w:rFonts w:hint="default" w:ascii="Times New Roman" w:hAnsi="Times New Roman" w:cs="Times New Roman"/>
                <w:color w:val="000000" w:themeColor="text1"/>
                <w:sz w:val="24"/>
                <w:lang w:val="en-US" w:eastAsia="zh-CN"/>
                <w14:textFill>
                  <w14:solidFill>
                    <w14:schemeClr w14:val="tx1"/>
                  </w14:solidFill>
                </w14:textFill>
              </w:rPr>
              <w:instrText xml:space="preserve"> HYPERLINK "https://baike.baidu.com/item/%E6%B8%A9%E5%B8%A6%E5%A4%A7%E9%99%86%E6%80%A7%E6%B0%94%E5%80%99" \t "https://baike.baidu.com/item/_blank" </w:instrText>
            </w:r>
            <w:r>
              <w:rPr>
                <w:rFonts w:hint="default" w:ascii="Times New Roman" w:hAnsi="Times New Roman" w:cs="Times New Roman"/>
                <w:color w:val="000000" w:themeColor="text1"/>
                <w:sz w:val="24"/>
                <w:lang w:val="en-US" w:eastAsia="zh-CN"/>
                <w14:textFill>
                  <w14:solidFill>
                    <w14:schemeClr w14:val="tx1"/>
                  </w14:solidFill>
                </w14:textFill>
              </w:rPr>
              <w:fldChar w:fldCharType="separate"/>
            </w:r>
            <w:r>
              <w:rPr>
                <w:rFonts w:hint="default" w:ascii="Times New Roman" w:hAnsi="Times New Roman" w:cs="Times New Roman"/>
                <w:color w:val="000000" w:themeColor="text1"/>
                <w:sz w:val="24"/>
                <w:lang w:val="en-US" w:eastAsia="zh-CN"/>
                <w14:textFill>
                  <w14:solidFill>
                    <w14:schemeClr w14:val="tx1"/>
                  </w14:solidFill>
                </w14:textFill>
              </w:rPr>
              <w:t>温带大陆性气候</w:t>
            </w:r>
            <w:r>
              <w:rPr>
                <w:rFonts w:hint="default" w:ascii="Times New Roman" w:hAnsi="Times New Roman" w:cs="Times New Roman"/>
                <w:color w:val="000000" w:themeColor="text1"/>
                <w:sz w:val="24"/>
                <w:lang w:val="en-US" w:eastAsia="zh-CN"/>
                <w14:textFill>
                  <w14:solidFill>
                    <w14:schemeClr w14:val="tx1"/>
                  </w14:solidFill>
                </w14:textFill>
              </w:rPr>
              <w:fldChar w:fldCharType="end"/>
            </w:r>
            <w:r>
              <w:rPr>
                <w:rFonts w:hint="default" w:ascii="Times New Roman" w:hAnsi="Times New Roman" w:cs="Times New Roman"/>
                <w:color w:val="000000" w:themeColor="text1"/>
                <w:sz w:val="24"/>
                <w:lang w:val="en-US" w:eastAsia="zh-CN"/>
                <w14:textFill>
                  <w14:solidFill>
                    <w14:schemeClr w14:val="tx1"/>
                  </w14:solidFill>
                </w14:textFill>
              </w:rPr>
              <w:t>，四季分明，雨热同期；辖1个市辖区、14个县，代管2个县级市</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面积2.03万平方公里</w:t>
            </w:r>
            <w:r>
              <w:rPr>
                <w:rFonts w:hint="eastAsia" w:ascii="Times New Roman" w:hAnsi="Times New Roman" w:cs="Times New Roman"/>
                <w:color w:val="000000" w:themeColor="text1"/>
                <w:sz w:val="24"/>
                <w:lang w:val="en-US" w:eastAsia="zh-CN"/>
                <w14:textFill>
                  <w14:solidFill>
                    <w14:schemeClr w14:val="tx1"/>
                  </w14:solidFill>
                </w14:textFill>
              </w:rPr>
              <w:t>，临汾市有回族、满族等28个少数民族，</w:t>
            </w:r>
            <w:r>
              <w:rPr>
                <w:rFonts w:hint="default" w:ascii="Times New Roman" w:hAnsi="Times New Roman" w:cs="Times New Roman"/>
                <w:color w:val="000000" w:themeColor="text1"/>
                <w:sz w:val="24"/>
                <w:lang w:val="en-US" w:eastAsia="zh-CN"/>
                <w14:textFill>
                  <w14:solidFill>
                    <w14:schemeClr w14:val="tx1"/>
                  </w14:solidFill>
                </w14:textFill>
              </w:rPr>
              <w:t>常住人口为3976481人</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eastAsia"/>
                <w:color w:val="000000" w:themeColor="text1"/>
                <w:sz w:val="24"/>
                <w:lang w:val="en-GB"/>
                <w14:textFill>
                  <w14:solidFill>
                    <w14:schemeClr w14:val="tx1"/>
                  </w14:solidFill>
                </w14:textFill>
              </w:rPr>
              <w:t>农作物以稻谷，小麦，玉米，薯类，蔬菜，瓜果类为主。</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4" w:name="_Toc3795900"/>
      <w:bookmarkStart w:id="5" w:name="_Toc3795899"/>
      <w:r>
        <w:rPr>
          <w:rFonts w:hint="eastAsia" w:eastAsia="黑体"/>
          <w:color w:val="000000" w:themeColor="text1"/>
          <w:w w:val="95"/>
          <w:sz w:val="32"/>
          <w:lang w:val="en-US" w:eastAsia="zh-CN"/>
          <w14:textFill>
            <w14:solidFill>
              <w14:schemeClr w14:val="tx1"/>
            </w14:solidFill>
          </w14:textFill>
        </w:rPr>
        <w:t>四、</w:t>
      </w:r>
      <w:r>
        <w:rPr>
          <w:rFonts w:eastAsia="黑体"/>
          <w:color w:val="000000" w:themeColor="text1"/>
          <w:w w:val="95"/>
          <w:sz w:val="32"/>
          <w14:textFill>
            <w14:solidFill>
              <w14:schemeClr w14:val="tx1"/>
            </w14:solidFill>
          </w14:textFill>
        </w:rPr>
        <w:t>评价适用标准</w:t>
      </w:r>
      <w:bookmarkEnd w:id="4"/>
    </w:p>
    <w:tbl>
      <w:tblPr>
        <w:tblStyle w:val="14"/>
        <w:tblW w:w="4906"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55"/>
        <w:gridCol w:w="902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环境</w:t>
            </w:r>
            <w:r>
              <w:rPr>
                <w:rFonts w:eastAsia="黑体"/>
                <w:color w:val="000000" w:themeColor="text1"/>
                <w:sz w:val="28"/>
                <w:szCs w:val="28"/>
                <w14:textFill>
                  <w14:solidFill>
                    <w14:schemeClr w14:val="tx1"/>
                  </w14:solidFill>
                </w14:textFill>
              </w:rPr>
              <w:t>质量标准</w:t>
            </w:r>
          </w:p>
        </w:tc>
        <w:tc>
          <w:tcPr>
            <w:tcW w:w="4613" w:type="pct"/>
            <w:vAlign w:val="center"/>
          </w:tcPr>
          <w:p>
            <w:pPr>
              <w:autoSpaceDE w:val="0"/>
              <w:autoSpaceDN w:val="0"/>
              <w:spacing w:line="360" w:lineRule="auto"/>
              <w:ind w:firstLine="480" w:firstLineChars="200"/>
              <w:jc w:val="left"/>
              <w:rPr>
                <w:rStyle w:val="29"/>
                <w:rFonts w:ascii="Times New Roman" w:hAnsi="Times New Roman" w:eastAsia="宋体" w:cs="Times New Roman"/>
                <w:color w:val="000000" w:themeColor="text1"/>
                <w:kern w:val="2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1、环境空气质量执行《环境空气质量标准》</w:t>
            </w:r>
            <w:r>
              <w:rPr>
                <w:rStyle w:val="29"/>
                <w:rFonts w:hint="eastAsia" w:cs="Times New Roman"/>
                <w:color w:val="000000" w:themeColor="text1"/>
                <w:kern w:val="28"/>
                <w:lang w:eastAsia="zh-CN"/>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GB3095-2012</w:t>
            </w:r>
            <w:r>
              <w:rPr>
                <w:rStyle w:val="29"/>
                <w:rFonts w:hint="eastAsia" w:cs="Times New Roman"/>
                <w:color w:val="000000" w:themeColor="text1"/>
                <w:kern w:val="28"/>
                <w:lang w:eastAsia="zh-CN"/>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中二级标准。</w:t>
            </w:r>
          </w:p>
          <w:p>
            <w:pPr>
              <w:autoSpaceDE w:val="0"/>
              <w:autoSpaceDN w:val="0"/>
              <w:spacing w:line="360" w:lineRule="auto"/>
              <w:ind w:firstLine="480" w:firstLineChars="200"/>
              <w:jc w:val="left"/>
              <w:rPr>
                <w:rStyle w:val="29"/>
                <w:rFonts w:ascii="Times New Roman" w:hAnsi="Times New Roman" w:eastAsia="宋体" w:cs="Times New Roman"/>
                <w:color w:val="000000" w:themeColor="text1"/>
                <w:kern w:val="2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2</w:t>
            </w:r>
            <w:r>
              <w:rPr>
                <w:rStyle w:val="29"/>
                <w:rFonts w:ascii="Times New Roman" w:hAnsi="Times New Roman" w:eastAsia="宋体" w:cs="Times New Roman"/>
                <w:color w:val="000000" w:themeColor="text1"/>
                <w:kern w:val="28"/>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地下水环境质量执行《地下水质量标准》（GB</w:t>
            </w:r>
            <w:r>
              <w:rPr>
                <w:rStyle w:val="29"/>
                <w:rFonts w:ascii="Times New Roman" w:hAnsi="Times New Roman" w:eastAsia="宋体" w:cs="Times New Roman"/>
                <w:color w:val="000000" w:themeColor="text1"/>
                <w:kern w:val="28"/>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T14848-2017）中</w:t>
            </w:r>
            <w:r>
              <w:rPr>
                <w:rStyle w:val="29"/>
                <w:rFonts w:ascii="Times New Roman" w:hAnsi="Times New Roman" w:eastAsia="宋体" w:cs="Times New Roman"/>
                <w:color w:val="000000" w:themeColor="text1"/>
                <w:kern w:val="28"/>
                <w14:textFill>
                  <w14:solidFill>
                    <w14:schemeClr w14:val="tx1"/>
                  </w14:solidFill>
                </w14:textFill>
              </w:rPr>
              <w:t>Ⅲ</w:t>
            </w:r>
            <w:r>
              <w:rPr>
                <w:rStyle w:val="29"/>
                <w:rFonts w:hint="eastAsia" w:ascii="Times New Roman" w:hAnsi="Times New Roman" w:eastAsia="宋体" w:cs="Times New Roman"/>
                <w:color w:val="000000" w:themeColor="text1"/>
                <w:kern w:val="28"/>
                <w14:textFill>
                  <w14:solidFill>
                    <w14:schemeClr w14:val="tx1"/>
                  </w14:solidFill>
                </w14:textFill>
              </w:rPr>
              <w:t>类标准。</w:t>
            </w:r>
          </w:p>
          <w:p>
            <w:pPr>
              <w:autoSpaceDE w:val="0"/>
              <w:autoSpaceDN w:val="0"/>
              <w:spacing w:line="360" w:lineRule="auto"/>
              <w:ind w:firstLine="480" w:firstLineChars="200"/>
              <w:jc w:val="left"/>
              <w:rPr>
                <w:rStyle w:val="29"/>
                <w:rFonts w:ascii="Times New Roman" w:hAnsi="Times New Roman" w:eastAsia="宋体" w:cs="Times New Roman"/>
                <w:color w:val="000000" w:themeColor="text1"/>
                <w:kern w:val="2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3</w:t>
            </w:r>
            <w:r>
              <w:rPr>
                <w:rStyle w:val="29"/>
                <w:rFonts w:ascii="Times New Roman" w:hAnsi="Times New Roman" w:eastAsia="宋体" w:cs="Times New Roman"/>
                <w:color w:val="000000" w:themeColor="text1"/>
                <w:kern w:val="28"/>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环境噪声执行《声环境质量标准》</w:t>
            </w:r>
            <w:r>
              <w:rPr>
                <w:rStyle w:val="29"/>
                <w:rFonts w:hint="eastAsia" w:cs="Times New Roman"/>
                <w:color w:val="000000" w:themeColor="text1"/>
                <w:kern w:val="28"/>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GB3096-2008</w:t>
            </w:r>
            <w:r>
              <w:rPr>
                <w:rStyle w:val="29"/>
                <w:rFonts w:hint="eastAsia" w:cs="Times New Roman"/>
                <w:color w:val="000000" w:themeColor="text1"/>
                <w:kern w:val="28"/>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中</w:t>
            </w:r>
            <w:r>
              <w:rPr>
                <w:rStyle w:val="29"/>
                <w:rFonts w:ascii="Times New Roman" w:hAnsi="Times New Roman" w:eastAsia="宋体" w:cs="Times New Roman"/>
                <w:color w:val="000000" w:themeColor="text1"/>
                <w:kern w:val="28"/>
                <w14:textFill>
                  <w14:solidFill>
                    <w14:schemeClr w14:val="tx1"/>
                  </w14:solidFill>
                </w14:textFill>
              </w:rPr>
              <w:t>1</w:t>
            </w:r>
            <w:r>
              <w:rPr>
                <w:rStyle w:val="29"/>
                <w:rFonts w:hint="eastAsia" w:ascii="Times New Roman" w:hAnsi="Times New Roman" w:eastAsia="宋体" w:cs="Times New Roman"/>
                <w:color w:val="000000" w:themeColor="text1"/>
                <w:kern w:val="28"/>
                <w14:textFill>
                  <w14:solidFill>
                    <w14:schemeClr w14:val="tx1"/>
                  </w14:solidFill>
                </w14:textFill>
              </w:rPr>
              <w:t>类区标准。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86" w:type="pct"/>
            <w:vAlign w:val="center"/>
          </w:tcPr>
          <w:p>
            <w:pPr>
              <w:spacing w:line="360" w:lineRule="auto"/>
              <w:jc w:val="center"/>
              <w:rPr>
                <w:rFonts w:eastAsia="黑体"/>
                <w:color w:val="000000" w:themeColor="text1"/>
                <w:w w:val="95"/>
                <w:sz w:val="28"/>
                <w:szCs w:val="28"/>
                <w14:textFill>
                  <w14:solidFill>
                    <w14:schemeClr w14:val="tx1"/>
                  </w14:solidFill>
                </w14:textFill>
              </w:rPr>
            </w:pPr>
            <w:r>
              <w:rPr>
                <w:rFonts w:hint="eastAsia" w:eastAsia="黑体"/>
                <w:color w:val="000000" w:themeColor="text1"/>
                <w:sz w:val="28"/>
                <w:szCs w:val="28"/>
                <w14:textFill>
                  <w14:solidFill>
                    <w14:schemeClr w14:val="tx1"/>
                  </w14:solidFill>
                </w14:textFill>
              </w:rPr>
              <w:t>污染物</w:t>
            </w:r>
            <w:r>
              <w:rPr>
                <w:rFonts w:eastAsia="黑体"/>
                <w:color w:val="000000" w:themeColor="text1"/>
                <w:sz w:val="28"/>
                <w:szCs w:val="28"/>
                <w14:textFill>
                  <w14:solidFill>
                    <w14:schemeClr w14:val="tx1"/>
                  </w14:solidFill>
                </w14:textFill>
              </w:rPr>
              <w:t>排放标准</w:t>
            </w:r>
          </w:p>
        </w:tc>
        <w:tc>
          <w:tcPr>
            <w:tcW w:w="4613" w:type="pct"/>
            <w:vAlign w:val="center"/>
          </w:tcPr>
          <w:p>
            <w:pPr>
              <w:autoSpaceDE w:val="0"/>
              <w:autoSpaceDN w:val="0"/>
              <w:spacing w:line="360" w:lineRule="auto"/>
              <w:ind w:firstLine="480" w:firstLineChars="200"/>
              <w:rPr>
                <w:bCs/>
                <w:color w:val="000000" w:themeColor="text1"/>
                <w:sz w:val="18"/>
                <w:szCs w:val="1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1</w:t>
            </w:r>
            <w:r>
              <w:rPr>
                <w:rStyle w:val="29"/>
                <w:rFonts w:ascii="Times New Roman" w:hAnsi="Times New Roman" w:eastAsia="宋体" w:cs="Times New Roman"/>
                <w:color w:val="000000" w:themeColor="text1"/>
                <w:kern w:val="28"/>
                <w14:textFill>
                  <w14:solidFill>
                    <w14:schemeClr w14:val="tx1"/>
                  </w14:solidFill>
                </w14:textFill>
              </w:rPr>
              <w:t>、颗粒物</w:t>
            </w:r>
            <w:r>
              <w:rPr>
                <w:rStyle w:val="29"/>
                <w:rFonts w:hint="eastAsia" w:ascii="Times New Roman" w:hAnsi="Times New Roman" w:eastAsia="宋体" w:cs="Times New Roman"/>
                <w:color w:val="000000" w:themeColor="text1"/>
                <w:kern w:val="28"/>
                <w14:textFill>
                  <w14:solidFill>
                    <w14:schemeClr w14:val="tx1"/>
                  </w14:solidFill>
                </w14:textFill>
              </w:rPr>
              <w:t>、SO</w:t>
            </w:r>
            <w:r>
              <w:rPr>
                <w:rStyle w:val="29"/>
                <w:rFonts w:hint="eastAsia" w:ascii="Times New Roman" w:hAnsi="Times New Roman" w:eastAsia="宋体" w:cs="Times New Roman"/>
                <w:color w:val="000000" w:themeColor="text1"/>
                <w:kern w:val="28"/>
                <w:vertAlign w:val="subscript"/>
                <w14:textFill>
                  <w14:solidFill>
                    <w14:schemeClr w14:val="tx1"/>
                  </w14:solidFill>
                </w14:textFill>
              </w:rPr>
              <w:t>2</w:t>
            </w:r>
            <w:r>
              <w:rPr>
                <w:rStyle w:val="29"/>
                <w:rFonts w:hint="eastAsia" w:ascii="Times New Roman" w:hAnsi="Times New Roman" w:eastAsia="宋体" w:cs="Times New Roman"/>
                <w:color w:val="000000" w:themeColor="text1"/>
                <w:kern w:val="28"/>
                <w14:textFill>
                  <w14:solidFill>
                    <w14:schemeClr w14:val="tx1"/>
                  </w14:solidFill>
                </w14:textFill>
              </w:rPr>
              <w:t>、NO</w:t>
            </w:r>
            <w:r>
              <w:rPr>
                <w:rStyle w:val="29"/>
                <w:rFonts w:hint="eastAsia" w:ascii="Times New Roman" w:hAnsi="Times New Roman" w:eastAsia="宋体" w:cs="Times New Roman"/>
                <w:color w:val="000000" w:themeColor="text1"/>
                <w:kern w:val="28"/>
                <w:vertAlign w:val="subscript"/>
                <w14:textFill>
                  <w14:solidFill>
                    <w14:schemeClr w14:val="tx1"/>
                  </w14:solidFill>
                </w14:textFill>
              </w:rPr>
              <w:t>X</w:t>
            </w:r>
            <w:r>
              <w:rPr>
                <w:rStyle w:val="29"/>
                <w:rFonts w:ascii="Times New Roman" w:hAnsi="Times New Roman" w:eastAsia="宋体" w:cs="Times New Roman"/>
                <w:color w:val="000000" w:themeColor="text1"/>
                <w:kern w:val="28"/>
                <w14:textFill>
                  <w14:solidFill>
                    <w14:schemeClr w14:val="tx1"/>
                  </w14:solidFill>
                </w14:textFill>
              </w:rPr>
              <w:t>等大气污染物排放执行《大气污染物综合排放标准》</w:t>
            </w:r>
            <w:r>
              <w:rPr>
                <w:rStyle w:val="29"/>
                <w:rFonts w:hint="eastAsia" w:ascii="Times New Roman" w:hAnsi="Times New Roman" w:eastAsia="宋体" w:cs="Times New Roman"/>
                <w:color w:val="000000" w:themeColor="text1"/>
                <w:kern w:val="28"/>
                <w14:textFill>
                  <w14:solidFill>
                    <w14:schemeClr w14:val="tx1"/>
                  </w14:solidFill>
                </w14:textFill>
              </w:rPr>
              <w:t>（</w:t>
            </w:r>
            <w:r>
              <w:rPr>
                <w:rStyle w:val="29"/>
                <w:rFonts w:ascii="Times New Roman" w:hAnsi="Times New Roman" w:eastAsia="宋体" w:cs="Times New Roman"/>
                <w:color w:val="000000" w:themeColor="text1"/>
                <w:kern w:val="28"/>
                <w14:textFill>
                  <w14:solidFill>
                    <w14:schemeClr w14:val="tx1"/>
                  </w14:solidFill>
                </w14:textFill>
              </w:rPr>
              <w:t>GB16297-1996</w:t>
            </w:r>
            <w:r>
              <w:rPr>
                <w:rStyle w:val="29"/>
                <w:rFonts w:hint="eastAsia" w:ascii="Times New Roman" w:hAnsi="Times New Roman" w:eastAsia="宋体" w:cs="Times New Roman"/>
                <w:color w:val="000000" w:themeColor="text1"/>
                <w:kern w:val="28"/>
                <w14:textFill>
                  <w14:solidFill>
                    <w14:schemeClr w14:val="tx1"/>
                  </w14:solidFill>
                </w14:textFill>
              </w:rPr>
              <w:t>）</w:t>
            </w:r>
            <w:r>
              <w:rPr>
                <w:rStyle w:val="29"/>
                <w:rFonts w:ascii="Times New Roman" w:hAnsi="Times New Roman" w:eastAsia="宋体" w:cs="Times New Roman"/>
                <w:color w:val="000000" w:themeColor="text1"/>
                <w:kern w:val="28"/>
                <w14:textFill>
                  <w14:solidFill>
                    <w14:schemeClr w14:val="tx1"/>
                  </w14:solidFill>
                </w14:textFill>
              </w:rPr>
              <w:t>中</w:t>
            </w:r>
            <w:r>
              <w:rPr>
                <w:rStyle w:val="29"/>
                <w:rFonts w:hint="eastAsia" w:ascii="Times New Roman" w:hAnsi="Times New Roman" w:eastAsia="宋体" w:cs="Times New Roman"/>
                <w:color w:val="000000" w:themeColor="text1"/>
                <w:kern w:val="28"/>
                <w14:textFill>
                  <w14:solidFill>
                    <w14:schemeClr w14:val="tx1"/>
                  </w14:solidFill>
                </w14:textFill>
              </w:rPr>
              <w:t>表2</w:t>
            </w:r>
            <w:r>
              <w:rPr>
                <w:rStyle w:val="29"/>
                <w:rFonts w:ascii="Times New Roman" w:hAnsi="Times New Roman" w:eastAsia="宋体" w:cs="Times New Roman"/>
                <w:color w:val="000000" w:themeColor="text1"/>
                <w:kern w:val="28"/>
                <w14:textFill>
                  <w14:solidFill>
                    <w14:schemeClr w14:val="tx1"/>
                  </w14:solidFill>
                </w14:textFill>
              </w:rPr>
              <w:t>的</w:t>
            </w:r>
            <w:r>
              <w:rPr>
                <w:rStyle w:val="29"/>
                <w:rFonts w:hint="eastAsia" w:ascii="Times New Roman" w:hAnsi="Times New Roman" w:eastAsia="宋体" w:cs="Times New Roman"/>
                <w:color w:val="000000" w:themeColor="text1"/>
                <w:kern w:val="28"/>
                <w14:textFill>
                  <w14:solidFill>
                    <w14:schemeClr w14:val="tx1"/>
                  </w14:solidFill>
                </w14:textFill>
              </w:rPr>
              <w:t>无组织排放监控浓度限值，柴油发电机执行《非道路移动机械用柴油机排气污染物排放限值及测量方法(中国第三、四阶段）》</w:t>
            </w:r>
            <w:r>
              <w:rPr>
                <w:rStyle w:val="29"/>
                <w:rFonts w:hint="eastAsia" w:cs="Times New Roman"/>
                <w:color w:val="000000" w:themeColor="text1"/>
                <w:kern w:val="28"/>
                <w:lang w:eastAsia="zh-CN"/>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GB20891-2014</w:t>
            </w:r>
            <w:r>
              <w:rPr>
                <w:rStyle w:val="29"/>
                <w:rFonts w:hint="eastAsia" w:cs="Times New Roman"/>
                <w:color w:val="000000" w:themeColor="text1"/>
                <w:kern w:val="28"/>
                <w:lang w:eastAsia="zh-CN"/>
                <w14:textFill>
                  <w14:solidFill>
                    <w14:schemeClr w14:val="tx1"/>
                  </w14:solidFill>
                </w14:textFill>
              </w:rPr>
              <w:t>）</w:t>
            </w:r>
            <w:r>
              <w:rPr>
                <w:rStyle w:val="29"/>
                <w:rFonts w:hint="eastAsia" w:ascii="Times New Roman" w:hAnsi="Times New Roman" w:eastAsia="宋体" w:cs="Times New Roman"/>
                <w:color w:val="000000" w:themeColor="text1"/>
                <w:kern w:val="28"/>
                <w14:textFill>
                  <w14:solidFill>
                    <w14:schemeClr w14:val="tx1"/>
                  </w14:solidFill>
                </w14:textFill>
              </w:rPr>
              <w:t>及其修改单中的要求。</w:t>
            </w:r>
          </w:p>
          <w:p>
            <w:pPr>
              <w:autoSpaceDE w:val="0"/>
              <w:autoSpaceDN w:val="0"/>
              <w:spacing w:line="360" w:lineRule="auto"/>
              <w:ind w:firstLine="480" w:firstLineChars="200"/>
              <w:rPr>
                <w:rStyle w:val="29"/>
                <w:rFonts w:ascii="Times New Roman" w:hAnsi="Times New Roman" w:eastAsia="宋体" w:cs="Times New Roman"/>
                <w:color w:val="000000" w:themeColor="text1"/>
                <w:kern w:val="2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2、所有废、污水全部综合利用，不外排。</w:t>
            </w:r>
          </w:p>
          <w:p>
            <w:pPr>
              <w:autoSpaceDE w:val="0"/>
              <w:autoSpaceDN w:val="0"/>
              <w:spacing w:line="360" w:lineRule="auto"/>
              <w:ind w:firstLine="480" w:firstLineChars="200"/>
              <w:rPr>
                <w:rStyle w:val="29"/>
                <w:rFonts w:ascii="Times New Roman" w:hAnsi="Times New Roman" w:eastAsia="宋体" w:cs="Times New Roman"/>
                <w:color w:val="000000" w:themeColor="text1"/>
                <w:kern w:val="2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3、施工期场界噪声执行《建筑施工场界环境噪声排放标准》（GB12523-2011），即昼间≤70dB(A)，夜间≤55dB(A)。</w:t>
            </w:r>
          </w:p>
          <w:p>
            <w:pPr>
              <w:autoSpaceDE w:val="0"/>
              <w:autoSpaceDN w:val="0"/>
              <w:spacing w:line="360" w:lineRule="auto"/>
              <w:ind w:firstLine="480" w:firstLineChars="200"/>
              <w:rPr>
                <w:rStyle w:val="29"/>
                <w:rFonts w:ascii="Times New Roman" w:hAnsi="Times New Roman" w:eastAsia="宋体" w:cs="Times New Roman"/>
                <w:color w:val="000000" w:themeColor="text1"/>
                <w:kern w:val="28"/>
                <w14:textFill>
                  <w14:solidFill>
                    <w14:schemeClr w14:val="tx1"/>
                  </w14:solidFill>
                </w14:textFill>
              </w:rPr>
            </w:pPr>
            <w:r>
              <w:rPr>
                <w:rStyle w:val="29"/>
                <w:rFonts w:hint="eastAsia" w:ascii="Times New Roman" w:hAnsi="Times New Roman" w:eastAsia="宋体" w:cs="Times New Roman"/>
                <w:color w:val="000000" w:themeColor="text1"/>
                <w:kern w:val="28"/>
                <w14:textFill>
                  <w14:solidFill>
                    <w14:schemeClr w14:val="tx1"/>
                  </w14:solidFill>
                </w14:textFill>
              </w:rPr>
              <w:t>4、一般工业固体废物排放执行《一般工业固体废物贮存和填埋污染污染控制标准》（GB18599-20</w:t>
            </w:r>
            <w:r>
              <w:rPr>
                <w:rStyle w:val="29"/>
                <w:rFonts w:ascii="Times New Roman" w:hAnsi="Times New Roman" w:eastAsia="宋体" w:cs="Times New Roman"/>
                <w:color w:val="000000" w:themeColor="text1"/>
                <w:kern w:val="28"/>
                <w14:textFill>
                  <w14:solidFill>
                    <w14:schemeClr w14:val="tx1"/>
                  </w14:solidFill>
                </w14:textFill>
              </w:rPr>
              <w:t>2</w:t>
            </w:r>
            <w:r>
              <w:rPr>
                <w:rStyle w:val="29"/>
                <w:color w:val="000000" w:themeColor="text1"/>
                <w:kern w:val="28"/>
                <w14:textFill>
                  <w14:solidFill>
                    <w14:schemeClr w14:val="tx1"/>
                  </w14:solidFill>
                </w14:textFill>
              </w:rPr>
              <w:t>0</w:t>
            </w:r>
            <w:r>
              <w:rPr>
                <w:rStyle w:val="29"/>
                <w:rFonts w:hint="eastAsia" w:ascii="Times New Roman" w:hAnsi="Times New Roman" w:eastAsia="宋体" w:cs="Times New Roman"/>
                <w:color w:val="000000" w:themeColor="text1"/>
                <w:kern w:val="28"/>
                <w14:textFill>
                  <w14:solidFill>
                    <w14:schemeClr w14:val="tx1"/>
                  </w14:solidFill>
                </w14:textFill>
              </w:rPr>
              <w:t>）</w:t>
            </w:r>
            <w:r>
              <w:rPr>
                <w:rStyle w:val="29"/>
                <w:rFonts w:hint="eastAsia" w:ascii="Times New Roman" w:hAnsi="Times New Roman" w:eastAsia="宋体" w:cs="Times New Roman"/>
                <w:color w:val="000000" w:themeColor="text1"/>
                <w:kern w:val="28"/>
                <w:lang w:eastAsia="zh-CN"/>
                <w14:textFill>
                  <w14:solidFill>
                    <w14:schemeClr w14:val="tx1"/>
                  </w14:solidFill>
                </w14:textFill>
              </w:rPr>
              <w:t>及其修改单中的有关规定</w:t>
            </w:r>
            <w:r>
              <w:rPr>
                <w:rStyle w:val="29"/>
                <w:rFonts w:hint="eastAsia" w:ascii="Times New Roman" w:hAnsi="Times New Roman" w:eastAsia="宋体" w:cs="Times New Roman"/>
                <w:color w:val="000000" w:themeColor="text1"/>
                <w:kern w:val="28"/>
                <w14:textFill>
                  <w14:solidFill>
                    <w14:schemeClr w14:val="tx1"/>
                  </w14:solidFill>
                </w14:textFill>
              </w:rPr>
              <w:t>；危险废物处置执行《危险废物贮存污染控制标准》（GB18597-2001）及修改单（环境保护部2013年第36号公告）中的相关规定。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71" w:hRule="atLeast"/>
          <w:jc w:val="center"/>
        </w:trPr>
        <w:tc>
          <w:tcPr>
            <w:tcW w:w="386" w:type="pct"/>
            <w:vAlign w:val="center"/>
          </w:tcPr>
          <w:p>
            <w:pPr>
              <w:spacing w:line="360" w:lineRule="auto"/>
              <w:jc w:val="center"/>
              <w:rPr>
                <w:rFonts w:eastAsia="黑体"/>
                <w:color w:val="000000" w:themeColor="text1"/>
                <w:sz w:val="28"/>
                <w14:textFill>
                  <w14:solidFill>
                    <w14:schemeClr w14:val="tx1"/>
                  </w14:solidFill>
                </w14:textFill>
              </w:rPr>
            </w:pPr>
            <w:r>
              <w:rPr>
                <w:rFonts w:hint="eastAsia" w:eastAsia="黑体"/>
                <w:color w:val="000000" w:themeColor="text1"/>
                <w:w w:val="95"/>
                <w:sz w:val="28"/>
                <w:szCs w:val="28"/>
                <w14:textFill>
                  <w14:solidFill>
                    <w14:schemeClr w14:val="tx1"/>
                  </w14:solidFill>
                </w14:textFill>
              </w:rPr>
              <w:t>辐射控制指标</w:t>
            </w:r>
          </w:p>
        </w:tc>
        <w:tc>
          <w:tcPr>
            <w:tcW w:w="4613" w:type="pct"/>
            <w:vAlign w:val="center"/>
          </w:tcPr>
          <w:p>
            <w:pPr>
              <w:autoSpaceDE w:val="0"/>
              <w:autoSpaceDN w:val="0"/>
              <w:spacing w:line="360" w:lineRule="auto"/>
              <w:ind w:firstLine="480" w:firstLineChars="200"/>
              <w:rPr>
                <w:rStyle w:val="29"/>
                <w:rFonts w:ascii="Times New Roman" w:hAnsi="Times New Roman" w:eastAsia="宋体" w:cs="Times New Roman"/>
                <w:color w:val="000000" w:themeColor="text1"/>
                <w14:textFill>
                  <w14:solidFill>
                    <w14:schemeClr w14:val="tx1"/>
                  </w14:solidFill>
                </w14:textFill>
              </w:rPr>
            </w:pPr>
            <w:r>
              <w:rPr>
                <w:rFonts w:hint="eastAsia"/>
                <w:color w:val="000000" w:themeColor="text1"/>
                <w:sz w:val="24"/>
                <w:szCs w:val="24"/>
                <w:lang w:eastAsia="zh-CN"/>
                <w14:textFill>
                  <w14:solidFill>
                    <w14:schemeClr w14:val="tx1"/>
                  </w14:solidFill>
                </w14:textFill>
              </w:rPr>
              <w:t>根据同类铀矿地质勘探工程监测资料以及工程分析，本项目勘查过程中产生的 钻井泥浆中</w:t>
            </w:r>
            <w:r>
              <w:rPr>
                <w:color w:val="000000" w:themeColor="text1"/>
                <w:sz w:val="24"/>
                <w:szCs w:val="24"/>
                <w:lang w:eastAsia="zh-CN"/>
                <w14:textFill>
                  <w14:solidFill>
                    <w14:schemeClr w14:val="tx1"/>
                  </w14:solidFill>
                </w14:textFill>
              </w:rPr>
              <w:t>U</w:t>
            </w:r>
            <w:r>
              <w:rPr>
                <w:rFonts w:hint="eastAsia"/>
                <w:color w:val="000000" w:themeColor="text1"/>
                <w:sz w:val="24"/>
                <w:szCs w:val="24"/>
                <w:vertAlign w:val="subscript"/>
                <w:lang w:eastAsia="zh-CN"/>
                <w14:textFill>
                  <w14:solidFill>
                    <w14:schemeClr w14:val="tx1"/>
                  </w14:solidFill>
                </w14:textFill>
              </w:rPr>
              <w:t>天然</w:t>
            </w:r>
            <w:r>
              <w:rPr>
                <w:rFonts w:hint="eastAsia"/>
                <w:color w:val="000000" w:themeColor="text1"/>
                <w:sz w:val="24"/>
                <w:szCs w:val="24"/>
                <w:lang w:eastAsia="zh-CN"/>
                <w14:textFill>
                  <w14:solidFill>
                    <w14:schemeClr w14:val="tx1"/>
                  </w14:solidFill>
                </w14:textFill>
              </w:rPr>
              <w:t>、</w:t>
            </w:r>
            <w:r>
              <w:rPr>
                <w:color w:val="000000" w:themeColor="text1"/>
                <w:sz w:val="24"/>
                <w:szCs w:val="24"/>
                <w:vertAlign w:val="superscript"/>
                <w:lang w:eastAsia="zh-CN"/>
                <w14:textFill>
                  <w14:solidFill>
                    <w14:schemeClr w14:val="tx1"/>
                  </w14:solidFill>
                </w14:textFill>
              </w:rPr>
              <w:t>226</w:t>
            </w:r>
            <w:r>
              <w:rPr>
                <w:color w:val="000000" w:themeColor="text1"/>
                <w:sz w:val="24"/>
                <w:szCs w:val="24"/>
                <w:lang w:eastAsia="zh-CN"/>
                <w14:textFill>
                  <w14:solidFill>
                    <w14:schemeClr w14:val="tx1"/>
                  </w14:solidFill>
                </w14:textFill>
              </w:rPr>
              <w:t>Ra</w:t>
            </w:r>
            <w:r>
              <w:rPr>
                <w:rFonts w:hint="eastAsia"/>
                <w:color w:val="000000" w:themeColor="text1"/>
                <w:sz w:val="24"/>
                <w:szCs w:val="24"/>
                <w:lang w:eastAsia="zh-CN"/>
                <w14:textFill>
                  <w14:solidFill>
                    <w14:schemeClr w14:val="tx1"/>
                  </w14:solidFill>
                </w14:textFill>
              </w:rPr>
              <w:t>为当地环境本底水平，辐射水平均属于天然放射性水平，勘探过程不会对周围公众产生附加剂量。因此，本项目不设置公众剂量约束值指标</w:t>
            </w:r>
            <w:r>
              <w:rPr>
                <w:rStyle w:val="29"/>
                <w:rFonts w:hint="default" w:ascii="Times New Roman" w:hAnsi="Times New Roman" w:cs="Times New Roman"/>
                <w:color w:val="000000" w:themeColor="text1"/>
                <w:kern w:val="28"/>
                <w14:textFill>
                  <w14:solidFill>
                    <w14:schemeClr w14:val="tx1"/>
                  </w14:solidFill>
                </w14:textFill>
              </w:rPr>
              <w:t>。</w:t>
            </w:r>
          </w:p>
        </w:tc>
      </w:tr>
    </w:tbl>
    <w:p>
      <w:pPr>
        <w:outlineLvl w:val="0"/>
        <w:rPr>
          <w:rFonts w:eastAsia="黑体"/>
          <w:color w:val="000000" w:themeColor="text1"/>
          <w:w w:val="95"/>
          <w:sz w:val="32"/>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r>
        <w:rPr>
          <w:rFonts w:hint="eastAsia" w:eastAsia="黑体"/>
          <w:color w:val="000000" w:themeColor="text1"/>
          <w:w w:val="95"/>
          <w:sz w:val="32"/>
          <w:lang w:val="en-US" w:eastAsia="zh-CN"/>
          <w14:textFill>
            <w14:solidFill>
              <w14:schemeClr w14:val="tx1"/>
            </w14:solidFill>
          </w14:textFill>
        </w:rPr>
        <w:t>五、</w:t>
      </w:r>
      <w:r>
        <w:rPr>
          <w:rFonts w:eastAsia="黑体"/>
          <w:color w:val="000000" w:themeColor="text1"/>
          <w:w w:val="95"/>
          <w:sz w:val="32"/>
          <w14:textFill>
            <w14:solidFill>
              <w14:schemeClr w14:val="tx1"/>
            </w14:solidFill>
          </w14:textFill>
        </w:rPr>
        <w:t>环境质量状况</w:t>
      </w:r>
      <w:bookmarkEnd w:id="5"/>
    </w:p>
    <w:tbl>
      <w:tblPr>
        <w:tblStyle w:val="14"/>
        <w:tblW w:w="4883" w:type="pct"/>
        <w:tblInd w:w="13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2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trPr>
        <w:tc>
          <w:tcPr>
            <w:tcW w:w="5000" w:type="pct"/>
          </w:tcPr>
          <w:p>
            <w:pPr>
              <w:spacing w:line="500" w:lineRule="exact"/>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建设项目所在地区域环境质量现状及主要环境问题</w:t>
            </w:r>
            <w:bookmarkStart w:id="6" w:name="_Toc175590548"/>
            <w:bookmarkStart w:id="7" w:name="_Toc146186021"/>
            <w:bookmarkStart w:id="8" w:name="_Toc147204549"/>
            <w:r>
              <w:rPr>
                <w:color w:val="000000" w:themeColor="text1"/>
                <w:sz w:val="24"/>
                <w:szCs w:val="24"/>
                <w:lang w:eastAsia="zh-CN"/>
                <w14:textFill>
                  <w14:solidFill>
                    <w14:schemeClr w14:val="tx1"/>
                  </w14:solidFill>
                </w14:textFill>
              </w:rPr>
              <w:t>（</w:t>
            </w:r>
            <w:r>
              <w:rPr>
                <w:color w:val="000000" w:themeColor="text1"/>
                <w:spacing w:val="-3"/>
                <w:sz w:val="24"/>
                <w:szCs w:val="24"/>
                <w:lang w:eastAsia="zh-CN"/>
                <w14:textFill>
                  <w14:solidFill>
                    <w14:schemeClr w14:val="tx1"/>
                  </w14:solidFill>
                </w14:textFill>
              </w:rPr>
              <w:t>环境空气、地表水、地下水、</w:t>
            </w:r>
            <w:r>
              <w:rPr>
                <w:rFonts w:ascii="Times New Roman" w:hAnsi="Times New Roman" w:eastAsia="Times New Roman"/>
                <w:color w:val="000000" w:themeColor="text1"/>
                <w:sz w:val="24"/>
                <w:szCs w:val="24"/>
                <w14:textFill>
                  <w14:solidFill>
                    <w14:schemeClr w14:val="tx1"/>
                  </w14:solidFill>
                </w14:textFill>
              </w:rPr>
              <w:t>γ</w:t>
            </w:r>
            <w:r>
              <w:rPr>
                <w:color w:val="000000" w:themeColor="text1"/>
                <w:spacing w:val="-4"/>
                <w:sz w:val="24"/>
                <w:szCs w:val="24"/>
                <w:lang w:eastAsia="zh-CN"/>
                <w14:textFill>
                  <w14:solidFill>
                    <w14:schemeClr w14:val="tx1"/>
                  </w14:solidFill>
                </w14:textFill>
              </w:rPr>
              <w:t>辐射空气</w:t>
            </w:r>
            <w:r>
              <w:rPr>
                <w:color w:val="000000" w:themeColor="text1"/>
                <w:spacing w:val="-3"/>
                <w:sz w:val="24"/>
                <w:szCs w:val="24"/>
                <w:lang w:eastAsia="zh-CN"/>
                <w14:textFill>
                  <w14:solidFill>
                    <w14:schemeClr w14:val="tx1"/>
                  </w14:solidFill>
                </w14:textFill>
              </w:rPr>
              <w:t>吸收剂量率、土壤、声环境、生态环境等</w:t>
            </w:r>
            <w:r>
              <w:rPr>
                <w:color w:val="000000" w:themeColor="text1"/>
                <w:sz w:val="24"/>
                <w:szCs w:val="24"/>
                <w:lang w:eastAsia="zh-CN"/>
                <w14:textFill>
                  <w14:solidFill>
                    <w14:schemeClr w14:val="tx1"/>
                  </w14:solidFill>
                </w14:textFill>
              </w:rPr>
              <w:t>）</w:t>
            </w:r>
          </w:p>
          <w:bookmarkEnd w:id="6"/>
          <w:bookmarkEnd w:id="7"/>
          <w:bookmarkEnd w:id="8"/>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环境空气</w:t>
            </w:r>
            <w:r>
              <w:rPr>
                <w:rFonts w:hint="eastAsia"/>
                <w:b/>
                <w:bCs/>
                <w:color w:val="000000" w:themeColor="text1"/>
                <w:sz w:val="24"/>
                <w14:textFill>
                  <w14:solidFill>
                    <w14:schemeClr w14:val="tx1"/>
                  </w14:solidFill>
                </w14:textFill>
              </w:rPr>
              <w:t>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大气环境》（HJ2.2-2018），项目所在区域达标情况判定优先采用国家或地方生态环境主管部门公开发布的环境质量公告或环境质量报告中数据或结论。</w:t>
            </w:r>
          </w:p>
          <w:p>
            <w:pPr>
              <w:spacing w:line="360" w:lineRule="auto"/>
              <w:ind w:firstLine="480" w:firstLineChars="200"/>
              <w:rPr>
                <w:rFonts w:hint="eastAsia"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本次评价选取20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年作为评价基准年，根据</w:t>
            </w:r>
            <w:r>
              <w:rPr>
                <w:rFonts w:hint="eastAsia"/>
                <w:color w:val="000000" w:themeColor="text1"/>
                <w:sz w:val="24"/>
                <w:lang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lang w:val="en-US" w:eastAsia="zh-CN"/>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榆林市、</w:t>
            </w:r>
            <w:r>
              <w:rPr>
                <w:rFonts w:hint="eastAsia"/>
                <w:color w:val="000000" w:themeColor="text1"/>
                <w:sz w:val="24"/>
                <w:lang w:val="en-US" w:eastAsia="zh-CN"/>
                <w14:textFill>
                  <w14:solidFill>
                    <w14:schemeClr w14:val="tx1"/>
                  </w14:solidFill>
                </w14:textFill>
              </w:rPr>
              <w:t>延安市、渭南市、咸阳市、宝鸡市</w:t>
            </w:r>
            <w:r>
              <w:rPr>
                <w:rFonts w:hint="eastAsia" w:cs="Times New Roman"/>
                <w:color w:val="000000" w:themeColor="text1"/>
                <w:sz w:val="24"/>
                <w:lang w:val="en-US" w:eastAsia="zh-CN"/>
                <w14:textFill>
                  <w14:solidFill>
                    <w14:schemeClr w14:val="tx1"/>
                  </w14:solidFill>
                </w14:textFill>
              </w:rPr>
              <w:t>、平凉市、庆阳市、</w:t>
            </w:r>
            <w:r>
              <w:rPr>
                <w:rFonts w:hint="eastAsia"/>
                <w:bCs/>
                <w:color w:val="000000" w:themeColor="text1"/>
                <w:sz w:val="24"/>
                <w:lang w:val="en-US" w:eastAsia="zh-CN"/>
                <w14:textFill>
                  <w14:solidFill>
                    <w14:schemeClr w14:val="tx1"/>
                  </w14:solidFill>
                </w14:textFill>
              </w:rPr>
              <w:t>内蒙古自治区鄂尔多斯市、</w:t>
            </w:r>
            <w:r>
              <w:rPr>
                <w:rFonts w:hint="eastAsia"/>
                <w:color w:val="000000" w:themeColor="text1"/>
                <w:sz w:val="24"/>
                <w:lang w:val="en-US" w:eastAsia="zh-CN"/>
                <w14:textFill>
                  <w14:solidFill>
                    <w14:schemeClr w14:val="tx1"/>
                  </w14:solidFill>
                </w14:textFill>
              </w:rPr>
              <w:t>银川市、吴忠市、固原市、吕梁市和临汾市</w:t>
            </w:r>
            <w:r>
              <w:rPr>
                <w:rFonts w:hint="eastAsia"/>
                <w:color w:val="000000" w:themeColor="text1"/>
                <w:sz w:val="24"/>
                <w14:textFill>
                  <w14:solidFill>
                    <w14:schemeClr w14:val="tx1"/>
                  </w14:solidFill>
                </w14:textFill>
              </w:rPr>
              <w:t>空气质量状况统计表见表</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1</w:t>
            </w:r>
            <w:r>
              <w:rPr>
                <w:rFonts w:hint="eastAsia"/>
                <w:color w:val="000000" w:themeColor="text1"/>
                <w:sz w:val="24"/>
                <w:lang w:eastAsia="zh-CN"/>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5</w:t>
            </w:r>
            <w:r>
              <w:rPr>
                <w:rFonts w:hint="eastAsia"/>
                <w:b w:val="0"/>
                <w:bCs/>
                <w:color w:val="000000" w:themeColor="text1"/>
                <w:sz w:val="24"/>
                <w14:textFill>
                  <w14:solidFill>
                    <w14:schemeClr w14:val="tx1"/>
                  </w14:solidFill>
                </w14:textFill>
              </w:rPr>
              <w:t>-</w:t>
            </w:r>
            <w:r>
              <w:rPr>
                <w:b w:val="0"/>
                <w:bCs/>
                <w:color w:val="000000" w:themeColor="text1"/>
                <w:sz w:val="24"/>
                <w14:textFill>
                  <w14:solidFill>
                    <w14:schemeClr w14:val="tx1"/>
                  </w14:solidFill>
                </w14:textFill>
              </w:rPr>
              <w:t xml:space="preserve">1  </w:t>
            </w:r>
            <w:r>
              <w:rPr>
                <w:rFonts w:hint="eastAsia"/>
                <w:b w:val="0"/>
                <w:bCs/>
                <w:color w:val="000000" w:themeColor="text1"/>
                <w:sz w:val="24"/>
                <w14:textFill>
                  <w14:solidFill>
                    <w14:schemeClr w14:val="tx1"/>
                  </w14:solidFill>
                </w14:textFill>
              </w:rPr>
              <w:t>空气质量状况统计表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04"/>
              <w:gridCol w:w="1248"/>
              <w:gridCol w:w="2741"/>
              <w:gridCol w:w="1197"/>
              <w:gridCol w:w="1197"/>
              <w:gridCol w:w="884"/>
              <w:gridCol w:w="9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地区</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年评价指标</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浓度值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标准值</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（μg/m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占标率</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咸阳市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0</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100%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w:t>
                  </w:r>
                  <w:r>
                    <w:rPr>
                      <w:color w:val="000000" w:themeColor="text1"/>
                      <w:szCs w:val="21"/>
                      <w14:textFill>
                        <w14:solidFill>
                          <w14:schemeClr w14:val="tx1"/>
                        </w14:solidFill>
                      </w14:textFill>
                    </w:rPr>
                    <w:t>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w:t>
                  </w: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154%</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w:t>
                  </w: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38%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60</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rFonts w:hint="default" w:ascii="Times New Roman" w:hAnsi="Times New Roman" w:cs="Times New Roman"/>
                      <w:color w:val="000000" w:themeColor="text1"/>
                      <w:kern w:val="0"/>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100%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延安市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2</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91%</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widowControl/>
                    <w:jc w:val="center"/>
                    <w:rPr>
                      <w:rFonts w:hint="default" w:ascii="Times New Roman" w:hAnsi="Times New Roman" w:cs="Times New Roman"/>
                      <w:color w:val="000000" w:themeColor="text1"/>
                      <w:kern w:val="0"/>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43%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36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rFonts w:hint="default" w:ascii="Times New Roman" w:hAnsi="Times New Roman" w:cs="Times New Roman"/>
                      <w:color w:val="000000" w:themeColor="text1"/>
                      <w:kern w:val="0"/>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榆林市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2</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20%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84%</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3</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94%</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38%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49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rFonts w:hint="default" w:ascii="Times New Roman" w:hAnsi="Times New Roman" w:cs="Times New Roman"/>
                      <w:color w:val="000000" w:themeColor="text1"/>
                      <w:kern w:val="0"/>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渭南市</w:t>
                  </w: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38</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91</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53</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151%</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1.7</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43%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159</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99%</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宝鸡市</w:t>
                  </w: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30</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74</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106%</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47</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134%</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136</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平凉市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33</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55</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79%</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0.9</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124</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庆阳市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0</w:t>
                  </w:r>
                </w:p>
              </w:tc>
              <w:tc>
                <w:tcPr>
                  <w:tcW w:w="63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17%</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40%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79%</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.2</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30</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rFonts w:hint="default" w:ascii="Times New Roman" w:hAnsi="Times New Roman" w:cs="Times New Roman"/>
                      <w:color w:val="000000" w:themeColor="text1"/>
                      <w:kern w:val="0"/>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81%</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固原市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60%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66%</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69%</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.2</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24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rFonts w:hint="default" w:ascii="Times New Roman" w:hAnsi="Times New Roman" w:cs="Times New Roman"/>
                      <w:color w:val="000000" w:themeColor="text1"/>
                      <w:kern w:val="0"/>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78%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吴忠市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6</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7</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96%</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97%</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39</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87%</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银川市</w:t>
                  </w: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14</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23%</w:t>
                  </w:r>
                </w:p>
              </w:tc>
              <w:tc>
                <w:tcPr>
                  <w:tcW w:w="912" w:type="dxa"/>
                  <w:tcBorders>
                    <w:tl2br w:val="nil"/>
                    <w:tr2bl w:val="nil"/>
                  </w:tcBorders>
                  <w:vAlign w:val="center"/>
                </w:tcPr>
                <w:p>
                  <w:pPr>
                    <w:keepNext w:val="0"/>
                    <w:keepLines w:val="0"/>
                    <w:widowControl/>
                    <w:suppressLineNumbers w:val="0"/>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35</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88%</w:t>
                  </w:r>
                </w:p>
              </w:tc>
              <w:tc>
                <w:tcPr>
                  <w:tcW w:w="912" w:type="dxa"/>
                  <w:tcBorders>
                    <w:tl2br w:val="nil"/>
                    <w:tr2bl w:val="nil"/>
                  </w:tcBorders>
                  <w:vAlign w:val="center"/>
                </w:tcPr>
                <w:p>
                  <w:pPr>
                    <w:keepNext w:val="0"/>
                    <w:keepLines w:val="0"/>
                    <w:widowControl/>
                    <w:suppressLineNumbers w:val="0"/>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103%</w:t>
                  </w:r>
                </w:p>
              </w:tc>
              <w:tc>
                <w:tcPr>
                  <w:tcW w:w="912" w:type="dxa"/>
                  <w:tcBorders>
                    <w:tl2br w:val="nil"/>
                    <w:tr2bl w:val="nil"/>
                  </w:tcBorders>
                  <w:vAlign w:val="center"/>
                </w:tcPr>
                <w:p>
                  <w:pPr>
                    <w:keepNext w:val="0"/>
                    <w:keepLines w:val="0"/>
                    <w:widowControl/>
                    <w:suppressLineNumbers w:val="0"/>
                    <w:jc w:val="center"/>
                    <w:textAlignment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36</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103%</w:t>
                  </w:r>
                </w:p>
              </w:tc>
              <w:tc>
                <w:tcPr>
                  <w:tcW w:w="912" w:type="dxa"/>
                  <w:tcBorders>
                    <w:tl2br w:val="nil"/>
                    <w:tr2bl w:val="nil"/>
                  </w:tcBorders>
                  <w:vAlign w:val="center"/>
                </w:tcPr>
                <w:p>
                  <w:pPr>
                    <w:keepNext w:val="0"/>
                    <w:keepLines w:val="0"/>
                    <w:widowControl/>
                    <w:suppressLineNumbers w:val="0"/>
                    <w:jc w:val="center"/>
                    <w:textAlignment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2741"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45%</w:t>
                  </w:r>
                </w:p>
              </w:tc>
              <w:tc>
                <w:tcPr>
                  <w:tcW w:w="912" w:type="dxa"/>
                  <w:tcBorders>
                    <w:tl2br w:val="nil"/>
                    <w:tr2bl w:val="nil"/>
                  </w:tcBorders>
                  <w:vAlign w:val="center"/>
                </w:tcPr>
                <w:p>
                  <w:pPr>
                    <w:keepNext w:val="0"/>
                    <w:keepLines w:val="0"/>
                    <w:widowControl/>
                    <w:suppressLineNumbers w:val="0"/>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2741"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148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93%</w:t>
                  </w:r>
                </w:p>
              </w:tc>
              <w:tc>
                <w:tcPr>
                  <w:tcW w:w="912" w:type="dxa"/>
                  <w:tcBorders>
                    <w:tl2br w:val="nil"/>
                    <w:tr2bl w:val="nil"/>
                  </w:tcBorders>
                  <w:vAlign w:val="center"/>
                </w:tcPr>
                <w:p>
                  <w:pPr>
                    <w:keepNext w:val="0"/>
                    <w:keepLines w:val="0"/>
                    <w:widowControl/>
                    <w:suppressLineNumbers w:val="0"/>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吕梁市</w:t>
                  </w: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39</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86</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w:t>
                  </w:r>
                </w:p>
              </w:tc>
              <w:tc>
                <w:tcPr>
                  <w:tcW w:w="479" w:type="pc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2741" w:type="dxa"/>
                  <w:tcBorders>
                    <w:tl2br w:val="nil"/>
                    <w:tr2bl w:val="nil"/>
                  </w:tcBorders>
                  <w:vAlign w:val="center"/>
                </w:tcPr>
                <w:p>
                  <w:pPr>
                    <w:jc w:val="center"/>
                    <w:rPr>
                      <w:rFonts w:hint="eastAsia"/>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33</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94%</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2741"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248"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2741"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152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临汾市</w:t>
                  </w: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30%</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38</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95%</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86</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52</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149%</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2.5</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184</w:t>
                  </w:r>
                </w:p>
              </w:tc>
              <w:tc>
                <w:tcPr>
                  <w:tcW w:w="1197" w:type="dxa"/>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884"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115%</w:t>
                  </w:r>
                </w:p>
              </w:tc>
              <w:tc>
                <w:tcPr>
                  <w:tcW w:w="479"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不达标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restar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鄂尔多斯市</w:t>
                  </w: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3</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22%</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10</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8</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70</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83%</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PM</w:t>
                  </w:r>
                  <w:r>
                    <w:rPr>
                      <w:color w:val="000000" w:themeColor="text1"/>
                      <w:szCs w:val="21"/>
                      <w:vertAlign w:val="subscript"/>
                      <w14:textFill>
                        <w14:solidFill>
                          <w14:schemeClr w14:val="tx1"/>
                        </w14:solidFill>
                      </w14:textFill>
                    </w:rPr>
                    <w:t>2.5</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年平均</w:t>
                  </w:r>
                  <w:r>
                    <w:rPr>
                      <w:rFonts w:hint="eastAsia"/>
                      <w:color w:val="000000" w:themeColor="text1"/>
                      <w:szCs w:val="21"/>
                      <w14:textFill>
                        <w14:solidFill>
                          <w14:schemeClr w14:val="tx1"/>
                        </w14:solidFill>
                      </w14:textFill>
                    </w:rPr>
                    <w:t>浓度</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4</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35</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69%</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24小时平均</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第95百分位数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.1</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46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28%</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8"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5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O</w:t>
                  </w:r>
                  <w:r>
                    <w:rPr>
                      <w:color w:val="000000" w:themeColor="text1"/>
                      <w:szCs w:val="21"/>
                      <w:vertAlign w:val="subscript"/>
                      <w14:textFill>
                        <w14:solidFill>
                          <w14:schemeClr w14:val="tx1"/>
                        </w14:solidFill>
                      </w14:textFill>
                    </w:rPr>
                    <w:t>3</w:t>
                  </w:r>
                </w:p>
              </w:tc>
              <w:tc>
                <w:tcPr>
                  <w:tcW w:w="144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最大8小时</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滑动平均值第90百分位数</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45</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160</w:t>
                  </w:r>
                </w:p>
              </w:tc>
              <w:tc>
                <w:tcPr>
                  <w:tcW w:w="466" w:type="pct"/>
                  <w:tcBorders>
                    <w:tl2br w:val="nil"/>
                    <w:tr2bl w:val="nil"/>
                  </w:tcBorders>
                  <w:vAlign w:val="center"/>
                </w:tcPr>
                <w:p>
                  <w:pPr>
                    <w:widowControl/>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91%</w:t>
                  </w:r>
                </w:p>
              </w:tc>
              <w:tc>
                <w:tcPr>
                  <w:tcW w:w="47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7"/>
                  <w:tcBorders>
                    <w:tl2br w:val="nil"/>
                    <w:tr2bl w:val="nil"/>
                  </w:tcBorders>
                  <w:vAlign w:val="center"/>
                </w:tcPr>
                <w:p>
                  <w:pP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注：标准值采用《环境空气质量标准》（GB3095-2012）二级标准。</w:t>
                  </w:r>
                </w:p>
              </w:tc>
            </w:tr>
          </w:tbl>
          <w:p>
            <w:pPr>
              <w:spacing w:line="360" w:lineRule="auto"/>
              <w:ind w:firstLine="480" w:firstLineChars="200"/>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color w:val="000000" w:themeColor="text1"/>
                <w:sz w:val="24"/>
                <w14:textFill>
                  <w14:solidFill>
                    <w14:schemeClr w14:val="tx1"/>
                  </w14:solidFill>
                </w14:textFill>
              </w:rPr>
              <w:t>根据上述统计分析，咸阳市</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渭南市、宝鸡市、银川市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年超过《环境空气质量标准》（GB3095-2012）中二级标准限值的污染物为</w:t>
            </w:r>
            <w:r>
              <w:rPr>
                <w:color w:val="000000" w:themeColor="text1"/>
                <w:sz w:val="24"/>
                <w14:textFill>
                  <w14:solidFill>
                    <w14:schemeClr w14:val="tx1"/>
                  </w14:solidFill>
                </w14:textFill>
              </w:rPr>
              <w:t>PM</w:t>
            </w:r>
            <w:r>
              <w:rPr>
                <w:color w:val="000000" w:themeColor="text1"/>
                <w:sz w:val="24"/>
                <w:vertAlign w:val="subscript"/>
                <w14:textFill>
                  <w14:solidFill>
                    <w14:schemeClr w14:val="tx1"/>
                  </w14:solidFill>
                </w14:textFill>
              </w:rPr>
              <w:t>2.5</w:t>
            </w:r>
            <w:r>
              <w:rPr>
                <w:rFonts w:hint="eastAsia"/>
                <w:color w:val="000000" w:themeColor="text1"/>
                <w:sz w:val="24"/>
                <w14:textFill>
                  <w14:solidFill>
                    <w14:schemeClr w14:val="tx1"/>
                  </w14:solidFill>
                </w14:textFill>
              </w:rPr>
              <w:t>、PM</w:t>
            </w:r>
            <w:r>
              <w:rPr>
                <w:rFonts w:hint="eastAsia"/>
                <w:color w:val="000000" w:themeColor="text1"/>
                <w:sz w:val="24"/>
                <w:vertAlign w:val="subscript"/>
                <w14:textFill>
                  <w14:solidFill>
                    <w14:schemeClr w14:val="tx1"/>
                  </w14:solidFill>
                </w14:textFill>
              </w:rPr>
              <w:t>10</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吕梁市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年超过《环境空气质量标准》（GB3095-2012）中二级标准限值的污染物为PM</w:t>
            </w:r>
            <w:r>
              <w:rPr>
                <w:rFonts w:hint="eastAsia"/>
                <w:color w:val="000000" w:themeColor="text1"/>
                <w:sz w:val="24"/>
                <w:vertAlign w:val="subscript"/>
                <w14:textFill>
                  <w14:solidFill>
                    <w14:schemeClr w14:val="tx1"/>
                  </w14:solidFill>
                </w14:textFill>
              </w:rPr>
              <w:t>10</w:t>
            </w:r>
            <w:r>
              <w:rPr>
                <w:rFonts w:hint="eastAsia"/>
                <w:color w:val="000000" w:themeColor="text1"/>
                <w:sz w:val="24"/>
                <w:lang w:val="en-US" w:eastAsia="zh-CN"/>
                <w14:textFill>
                  <w14:solidFill>
                    <w14:schemeClr w14:val="tx1"/>
                  </w14:solidFill>
                </w14:textFill>
              </w:rPr>
              <w:t>；临汾市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年超过《环境空气质量标准》（GB3095-2012）中二级标准限值的污染物为</w:t>
            </w:r>
            <w:r>
              <w:rPr>
                <w:color w:val="000000" w:themeColor="text1"/>
                <w:sz w:val="24"/>
                <w14:textFill>
                  <w14:solidFill>
                    <w14:schemeClr w14:val="tx1"/>
                  </w14:solidFill>
                </w14:textFill>
              </w:rPr>
              <w:t>PM</w:t>
            </w:r>
            <w:r>
              <w:rPr>
                <w:color w:val="000000" w:themeColor="text1"/>
                <w:sz w:val="24"/>
                <w:vertAlign w:val="subscript"/>
                <w14:textFill>
                  <w14:solidFill>
                    <w14:schemeClr w14:val="tx1"/>
                  </w14:solidFill>
                </w14:textFill>
              </w:rPr>
              <w:t>2.5</w:t>
            </w:r>
            <w:r>
              <w:rPr>
                <w:rFonts w:hint="eastAsia"/>
                <w:color w:val="000000" w:themeColor="text1"/>
                <w:sz w:val="24"/>
                <w14:textFill>
                  <w14:solidFill>
                    <w14:schemeClr w14:val="tx1"/>
                  </w14:solidFill>
                </w14:textFill>
              </w:rPr>
              <w:t>、PM</w:t>
            </w:r>
            <w:r>
              <w:rPr>
                <w:rFonts w:hint="eastAsia"/>
                <w:color w:val="000000" w:themeColor="text1"/>
                <w:sz w:val="24"/>
                <w:vertAlign w:val="subscript"/>
                <w14:textFill>
                  <w14:solidFill>
                    <w14:schemeClr w14:val="tx1"/>
                  </w14:solidFill>
                </w14:textFill>
              </w:rPr>
              <w:t>10</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vertAlign w:val="baseline"/>
                <w:lang w:val="en-US" w:eastAsia="zh-CN"/>
                <w14:textFill>
                  <w14:solidFill>
                    <w14:schemeClr w14:val="tx1"/>
                  </w14:solidFill>
                </w14:textFill>
              </w:rPr>
              <w:t>O</w:t>
            </w:r>
            <w:r>
              <w:rPr>
                <w:rFonts w:hint="eastAsia"/>
                <w:color w:val="000000" w:themeColor="text1"/>
                <w:sz w:val="24"/>
                <w:vertAlign w:val="subscript"/>
                <w:lang w:val="en-US" w:eastAsia="zh-CN"/>
                <w14:textFill>
                  <w14:solidFill>
                    <w14:schemeClr w14:val="tx1"/>
                  </w14:solidFill>
                </w14:textFill>
              </w:rPr>
              <w:t>3</w:t>
            </w:r>
            <w:r>
              <w:rPr>
                <w:rFonts w:hint="eastAsia"/>
                <w:color w:val="000000" w:themeColor="text1"/>
                <w:sz w:val="24"/>
                <w:vertAlign w:val="baseline"/>
                <w:lang w:val="en-US" w:eastAsia="zh-CN"/>
                <w14:textFill>
                  <w14:solidFill>
                    <w14:schemeClr w14:val="tx1"/>
                  </w14:solidFill>
                </w14:textFill>
              </w:rPr>
              <w:t>；</w:t>
            </w:r>
            <w:r>
              <w:rPr>
                <w:rFonts w:hint="eastAsia"/>
                <w:color w:val="000000" w:themeColor="text1"/>
                <w:sz w:val="24"/>
                <w14:textFill>
                  <w14:solidFill>
                    <w14:schemeClr w14:val="tx1"/>
                  </w14:solidFill>
                </w14:textFill>
              </w:rPr>
              <w:t>延安市、榆林市、</w:t>
            </w:r>
            <w:r>
              <w:rPr>
                <w:rFonts w:hint="eastAsia"/>
                <w:color w:val="000000" w:themeColor="text1"/>
                <w:sz w:val="24"/>
                <w:lang w:val="en-US" w:eastAsia="zh-CN"/>
                <w14:textFill>
                  <w14:solidFill>
                    <w14:schemeClr w14:val="tx1"/>
                  </w14:solidFill>
                </w14:textFill>
              </w:rPr>
              <w:t>平凉市、</w:t>
            </w:r>
            <w:r>
              <w:rPr>
                <w:rFonts w:hint="eastAsia"/>
                <w:color w:val="000000" w:themeColor="text1"/>
                <w:sz w:val="24"/>
                <w14:textFill>
                  <w14:solidFill>
                    <w14:schemeClr w14:val="tx1"/>
                  </w14:solidFill>
                </w14:textFill>
              </w:rPr>
              <w:t>庆阳市、固原市、吴忠市、鄂尔多斯市20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年均满足《环境空气质量标准》（GB3095-2012）中二级标准限值。</w:t>
            </w:r>
          </w:p>
          <w:p>
            <w:pPr>
              <w:pStyle w:val="28"/>
              <w:numPr>
                <w:ilvl w:val="0"/>
                <w:numId w:val="0"/>
              </w:numPr>
              <w:spacing w:line="360" w:lineRule="auto"/>
              <w:ind w:leftChars="0" w:firstLine="480" w:firstLineChars="200"/>
              <w:rPr>
                <w:rFonts w:hint="eastAsia" w:eastAsia="宋体"/>
                <w:b/>
                <w:bCs/>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大气环境》（HJ2.2-2018），延安市、榆林市、</w:t>
            </w:r>
            <w:r>
              <w:rPr>
                <w:rFonts w:hint="eastAsia"/>
                <w:color w:val="000000" w:themeColor="text1"/>
                <w:sz w:val="24"/>
                <w:lang w:val="en-US" w:eastAsia="zh-CN"/>
                <w14:textFill>
                  <w14:solidFill>
                    <w14:schemeClr w14:val="tx1"/>
                  </w14:solidFill>
                </w14:textFill>
              </w:rPr>
              <w:t>平凉市、</w:t>
            </w:r>
            <w:r>
              <w:rPr>
                <w:rFonts w:hint="eastAsia"/>
                <w:color w:val="000000" w:themeColor="text1"/>
                <w:sz w:val="24"/>
                <w14:textFill>
                  <w14:solidFill>
                    <w14:schemeClr w14:val="tx1"/>
                  </w14:solidFill>
                </w14:textFill>
              </w:rPr>
              <w:t>庆阳市、固原市、吴忠市、鄂尔多斯市属于环境空气质量达标区；咸阳市</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渭南市、宝鸡市、银川市、吕梁市、临汾市属</w:t>
            </w:r>
            <w:r>
              <w:rPr>
                <w:rFonts w:hint="eastAsia"/>
                <w:color w:val="000000" w:themeColor="text1"/>
                <w:sz w:val="24"/>
                <w14:textFill>
                  <w14:solidFill>
                    <w14:schemeClr w14:val="tx1"/>
                  </w14:solidFill>
                </w14:textFill>
              </w:rPr>
              <w:t>于环境空气质量不达标区</w:t>
            </w:r>
            <w:r>
              <w:rPr>
                <w:rFonts w:hint="eastAsia"/>
                <w:color w:val="000000" w:themeColor="text1"/>
                <w:sz w:val="24"/>
                <w:lang w:eastAsia="zh-CN"/>
                <w14:textFill>
                  <w14:solidFill>
                    <w14:schemeClr w14:val="tx1"/>
                  </w14:solidFill>
                </w14:textFill>
              </w:rPr>
              <w:t>。</w:t>
            </w:r>
          </w:p>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声环境质量现状</w:t>
            </w:r>
          </w:p>
          <w:p>
            <w:pPr>
              <w:spacing w:line="360" w:lineRule="auto"/>
              <w:ind w:firstLine="480" w:firstLineChars="200"/>
              <w:rPr>
                <w:rFonts w:hint="eastAsia" w:ascii="Times New Roman" w:hAnsi="Times New Roman" w:cs="Times New Roman"/>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14:textFill>
                  <w14:solidFill>
                    <w14:schemeClr w14:val="tx1"/>
                  </w14:solidFill>
                </w14:textFill>
              </w:rPr>
              <w:t>根据《2020年甘肃省生态环境状况公报》</w:t>
            </w:r>
            <w:r>
              <w:rPr>
                <w:rFonts w:hint="eastAsia" w:ascii="Times New Roman" w:hAnsi="Times New Roman" w:cs="Times New Roman"/>
                <w:color w:val="000000" w:themeColor="text1"/>
                <w:sz w:val="24"/>
                <w:lang w:eastAsia="zh-CN"/>
                <w14:textFill>
                  <w14:solidFill>
                    <w14:schemeClr w14:val="tx1"/>
                  </w14:solidFill>
                </w14:textFill>
              </w:rPr>
              <w:t>，全省城市区域环境噪声平均等效声级范围在49.5-57.1</w:t>
            </w:r>
            <w:r>
              <w:rPr>
                <w:rFonts w:hint="eastAsia"/>
                <w:color w:val="000000" w:themeColor="text1"/>
                <w:sz w:val="24"/>
                <w:lang w:val="en-US" w:eastAsia="zh-CN"/>
                <w14:textFill>
                  <w14:solidFill>
                    <w14:schemeClr w14:val="tx1"/>
                  </w14:solidFill>
                </w14:textFill>
              </w:rPr>
              <w:t>dB(A)</w:t>
            </w:r>
            <w:r>
              <w:rPr>
                <w:rFonts w:hint="eastAsia" w:ascii="Times New Roman" w:hAnsi="Times New Roman" w:cs="Times New Roman"/>
                <w:color w:val="000000" w:themeColor="text1"/>
                <w:sz w:val="24"/>
                <w:lang w:eastAsia="zh-CN"/>
                <w14:textFill>
                  <w14:solidFill>
                    <w14:schemeClr w14:val="tx1"/>
                  </w14:solidFill>
                </w14:textFill>
              </w:rPr>
              <w:t>之间，声环境质量处在“较好”水平。</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14:textFill>
                  <w14:solidFill>
                    <w14:schemeClr w14:val="tx1"/>
                  </w14:solidFill>
                </w14:textFill>
              </w:rPr>
              <w:t>2020年</w:t>
            </w:r>
            <w:r>
              <w:rPr>
                <w:rFonts w:hint="eastAsia" w:ascii="Times New Roman" w:hAnsi="Times New Roman" w:cs="Times New Roman"/>
                <w:color w:val="000000" w:themeColor="text1"/>
                <w:sz w:val="24"/>
                <w:lang w:val="en-US" w:eastAsia="zh-CN"/>
                <w14:textFill>
                  <w14:solidFill>
                    <w14:schemeClr w14:val="tx1"/>
                  </w14:solidFill>
                </w14:textFill>
              </w:rPr>
              <w:t>内蒙古自治区</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》，全区城市区域声环境平均等效声级 52.4dB(A)，区域声环境质量评价为较好；各城市中，鄂尔多斯市、乌兰察布市区域声环境质量为好，赤峰市为一般，其他监测城市均为较好。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陕西省</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10个设区市区域环境噪声平均等效声级范围为51.0～59.5dB(A)，平均55.0dB(A)，铜川、宝鸡、汉中、榆林和安康5个城市区域声环境质量为二级(较好)；西安、咸阳、渭南、延安和商洛等5个城市区域声环境质量为三级(一般)。与上年相比，区域环境噪声平均等效声级下降1.2dB(A)，声环境质量等级上升一级。</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山西省</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》，2020年全省城市区域声环境质量平均等效声级为52.9dB(A)，同比下降了0.6dB(A)，全省城市区域声环境质量评价级别为“较好”，同比质量级别无变化。</w:t>
            </w:r>
          </w:p>
          <w:p>
            <w:pPr>
              <w:pStyle w:val="28"/>
              <w:numPr>
                <w:ilvl w:val="0"/>
                <w:numId w:val="0"/>
              </w:numPr>
              <w:spacing w:line="360" w:lineRule="auto"/>
              <w:ind w:leftChars="0" w:firstLine="480" w:firstLineChars="200"/>
              <w:rPr>
                <w:rFonts w:hint="eastAsia"/>
                <w:b/>
                <w:bCs/>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w:t>
            </w:r>
            <w:r>
              <w:rPr>
                <w:rFonts w:hint="eastAsia" w:ascii="Times New Roman" w:hAnsi="Times New Roman" w:cs="Times New Roman"/>
                <w:color w:val="000000" w:themeColor="text1"/>
                <w:sz w:val="24"/>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宁夏</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全区5地市城市区域昼间噪声等效声级为53.5dB(A)，同比持平，昼间区域声环境质量等级为二级，总体水平评价为较好。固原市昼间区域声环境质量等级为三级，总体水平评价为一般；其余4地市昼间区域声环境质量等级均为二级，总体水平评价为较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本项目勘查区内人员稀少，其环境噪声基本处于背景状态，区域声环境质量良好。</w:t>
            </w:r>
          </w:p>
          <w:p>
            <w:pPr>
              <w:pStyle w:val="28"/>
              <w:numPr>
                <w:ilvl w:val="0"/>
                <w:numId w:val="0"/>
              </w:numPr>
              <w:spacing w:line="360" w:lineRule="auto"/>
              <w:ind w:left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3、</w:t>
            </w:r>
            <w:r>
              <w:rPr>
                <w:rFonts w:hint="eastAsia"/>
                <w:b/>
                <w:bCs/>
                <w:color w:val="000000" w:themeColor="text1"/>
                <w:sz w:val="24"/>
                <w14:textFill>
                  <w14:solidFill>
                    <w14:schemeClr w14:val="tx1"/>
                  </w14:solidFill>
                </w14:textFill>
              </w:rPr>
              <w:t>辐射环境质量现状</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域地跨</w:t>
            </w:r>
            <w:r>
              <w:rPr>
                <w:rFonts w:hint="eastAsia" w:cs="Times New Roman"/>
                <w:bCs/>
                <w:color w:val="000000" w:themeColor="text1"/>
                <w:sz w:val="24"/>
                <w:szCs w:val="20"/>
                <w:lang w:val="en-US" w:eastAsia="zh-CN"/>
                <w14:textFill>
                  <w14:solidFill>
                    <w14:schemeClr w14:val="tx1"/>
                  </w14:solidFill>
                </w14:textFill>
              </w:rPr>
              <w:t>陕西省、甘肃省、宁夏回族自治区、内蒙古自治区、山西省，</w:t>
            </w:r>
            <w:r>
              <w:rPr>
                <w:rFonts w:hint="eastAsia"/>
                <w:color w:val="000000" w:themeColor="text1"/>
                <w:sz w:val="24"/>
                <w14:textFill>
                  <w14:solidFill>
                    <w14:schemeClr w14:val="tx1"/>
                  </w14:solidFill>
                </w14:textFill>
              </w:rPr>
              <w:t>本</w:t>
            </w:r>
            <w:r>
              <w:rPr>
                <w:color w:val="000000" w:themeColor="text1"/>
                <w:sz w:val="24"/>
                <w14:textFill>
                  <w14:solidFill>
                    <w14:schemeClr w14:val="tx1"/>
                  </w14:solidFill>
                </w14:textFill>
              </w:rPr>
              <w:t>项目所在区域环境质量现状数据来源于《中国环境天然放射性水平》（2015版，中国原子能出版社）。</w:t>
            </w:r>
          </w:p>
          <w:p>
            <w:pPr>
              <w:pStyle w:val="28"/>
              <w:spacing w:line="360" w:lineRule="auto"/>
              <w:ind w:firstLine="4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w:t>
            </w:r>
            <w:r>
              <w:rPr>
                <w:color w:val="000000" w:themeColor="text1"/>
                <w:sz w:val="24"/>
                <w14:textFill>
                  <w14:solidFill>
                    <w14:schemeClr w14:val="tx1"/>
                  </w14:solidFill>
                </w14:textFill>
              </w:rPr>
              <w:t>天然贯穿辐射剂量率</w:t>
            </w:r>
          </w:p>
          <w:p>
            <w:pPr>
              <w:pStyle w:val="28"/>
              <w:spacing w:line="360" w:lineRule="auto"/>
              <w:ind w:firstLine="480"/>
              <w:rPr>
                <w:rFonts w:hint="eastAsia"/>
                <w:b/>
                <w:bCs/>
                <w:color w:val="000000" w:themeColor="text1"/>
                <w:sz w:val="24"/>
                <w14:textFill>
                  <w14:solidFill>
                    <w14:schemeClr w14:val="tx1"/>
                  </w14:solidFill>
                </w14:textFill>
              </w:rPr>
            </w:pPr>
            <w:r>
              <w:rPr>
                <w:rFonts w:hint="eastAsia" w:ascii="宋体" w:hAnsi="宋体" w:cs="宋体"/>
                <w:color w:val="000000" w:themeColor="text1"/>
                <w:sz w:val="24"/>
                <w:lang w:bidi="en-US"/>
                <w14:textFill>
                  <w14:solidFill>
                    <w14:schemeClr w14:val="tx1"/>
                  </w14:solidFill>
                </w14:textFill>
              </w:rPr>
              <w:t>本项目</w:t>
            </w:r>
            <w:r>
              <w:rPr>
                <w:rFonts w:hint="eastAsia" w:ascii="宋体" w:hAnsi="宋体" w:cs="宋体"/>
                <w:color w:val="000000" w:themeColor="text1"/>
                <w:sz w:val="24"/>
                <w:lang w:eastAsia="zh-CN" w:bidi="en-US"/>
                <w14:textFill>
                  <w14:solidFill>
                    <w14:schemeClr w14:val="tx1"/>
                  </w14:solidFill>
                </w14:textFill>
              </w:rPr>
              <w:t>勘查区</w:t>
            </w:r>
            <w:r>
              <w:rPr>
                <w:rFonts w:hint="eastAsia" w:ascii="宋体" w:hAnsi="宋体" w:cs="宋体"/>
                <w:color w:val="000000" w:themeColor="text1"/>
                <w:sz w:val="24"/>
                <w:lang w:bidi="en-US"/>
                <w14:textFill>
                  <w14:solidFill>
                    <w14:schemeClr w14:val="tx1"/>
                  </w14:solidFill>
                </w14:textFill>
              </w:rPr>
              <w:t>地处</w:t>
            </w:r>
            <w:r>
              <w:rPr>
                <w:rFonts w:hint="eastAsia" w:cs="Times New Roman"/>
                <w:bCs/>
                <w:color w:val="000000" w:themeColor="text1"/>
                <w:sz w:val="24"/>
                <w:szCs w:val="20"/>
                <w:lang w:val="en-US" w:eastAsia="zh-CN"/>
                <w14:textFill>
                  <w14:solidFill>
                    <w14:schemeClr w14:val="tx1"/>
                  </w14:solidFill>
                </w14:textFill>
              </w:rPr>
              <w:t>陕西省、甘肃省、宁夏回族自治区、内蒙古自治区、山西省</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根据</w:t>
            </w:r>
            <w:r>
              <w:rPr>
                <w:rFonts w:hint="eastAsia"/>
                <w:color w:val="000000" w:themeColor="text1"/>
                <w:sz w:val="24"/>
                <w14:textFill>
                  <w14:solidFill>
                    <w14:schemeClr w14:val="tx1"/>
                  </w14:solidFill>
                </w14:textFill>
              </w:rPr>
              <w:t>陕西地区、甘肃地区、宁夏</w:t>
            </w:r>
            <w:r>
              <w:rPr>
                <w:color w:val="000000" w:themeColor="text1"/>
                <w:sz w:val="24"/>
                <w14:textFill>
                  <w14:solidFill>
                    <w14:schemeClr w14:val="tx1"/>
                  </w14:solidFill>
                </w14:textFill>
              </w:rPr>
              <w:t>地区</w:t>
            </w:r>
            <w:r>
              <w:rPr>
                <w:rFonts w:hint="eastAsia"/>
                <w:color w:val="000000" w:themeColor="text1"/>
                <w:sz w:val="24"/>
                <w14:textFill>
                  <w14:solidFill>
                    <w14:schemeClr w14:val="tx1"/>
                  </w14:solidFill>
                </w14:textFill>
              </w:rPr>
              <w:t>、内蒙古地区、山西地区</w:t>
            </w:r>
            <w:r>
              <w:rPr>
                <w:color w:val="000000" w:themeColor="text1"/>
                <w:sz w:val="24"/>
                <w14:textFill>
                  <w14:solidFill>
                    <w14:schemeClr w14:val="tx1"/>
                  </w14:solidFill>
                </w14:textFill>
              </w:rPr>
              <w:t>环境天然贯穿辐射水平调查结果（数据来源于《中国环境天然放射性水平》（2015版），</w:t>
            </w:r>
            <w:r>
              <w:rPr>
                <w:rFonts w:hint="eastAsia"/>
                <w:color w:val="000000" w:themeColor="text1"/>
                <w:sz w:val="24"/>
                <w14:textFill>
                  <w14:solidFill>
                    <w14:schemeClr w14:val="tx1"/>
                  </w14:solidFill>
                </w14:textFill>
              </w:rPr>
              <w:t>陕西地区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为99.0nGy/h，室内天然贯穿辐射剂量率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为130.0nGy/h</w:t>
            </w:r>
            <w:r>
              <w:rPr>
                <w:rFonts w:hint="eastAsia"/>
                <w:color w:val="000000" w:themeColor="text1"/>
                <w:sz w:val="24"/>
                <w14:textFill>
                  <w14:solidFill>
                    <w14:schemeClr w14:val="tx1"/>
                  </w14:solidFill>
                </w14:textFill>
              </w:rPr>
              <w:t>；甘肃地区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为113.1nGy/h，室内天然贯穿辐射剂量率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为144.1nGy/h</w:t>
            </w:r>
            <w:r>
              <w:rPr>
                <w:rFonts w:hint="eastAsia"/>
                <w:color w:val="000000" w:themeColor="text1"/>
                <w:sz w:val="24"/>
                <w14:textFill>
                  <w14:solidFill>
                    <w14:schemeClr w14:val="tx1"/>
                  </w14:solidFill>
                </w14:textFill>
              </w:rPr>
              <w:t>；宁夏地区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为107.0nGy/h，室内天然贯穿辐射剂量率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为139.5nGy/h</w:t>
            </w:r>
            <w:r>
              <w:rPr>
                <w:rFonts w:hint="eastAsia"/>
                <w:color w:val="000000" w:themeColor="text1"/>
                <w:sz w:val="24"/>
                <w14:textFill>
                  <w14:solidFill>
                    <w14:schemeClr w14:val="tx1"/>
                  </w14:solidFill>
                </w14:textFill>
              </w:rPr>
              <w:t>；内蒙古地区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为93.8nGy/h，室内天然贯穿辐射剂量率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为127.8nGy/h</w:t>
            </w:r>
            <w:r>
              <w:rPr>
                <w:rFonts w:hint="eastAsia"/>
                <w:color w:val="000000" w:themeColor="text1"/>
                <w:sz w:val="24"/>
                <w14:textFill>
                  <w14:solidFill>
                    <w14:schemeClr w14:val="tx1"/>
                  </w14:solidFill>
                </w14:textFill>
              </w:rPr>
              <w:t>；山西地区</w:t>
            </w:r>
            <w:r>
              <w:rPr>
                <w:color w:val="000000" w:themeColor="text1"/>
                <w:sz w:val="24"/>
                <w14:textFill>
                  <w14:solidFill>
                    <w14:schemeClr w14:val="tx1"/>
                  </w14:solidFill>
                </w14:textFill>
              </w:rPr>
              <w:t>室外天然贯穿辐射剂量率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为92.4nGy/h，室内天然贯穿辐射剂量率</w:t>
            </w:r>
            <w:r>
              <w:rPr>
                <w:rFonts w:hint="eastAsia"/>
                <w:color w:val="000000" w:themeColor="text1"/>
                <w:sz w:val="24"/>
                <w14:textFill>
                  <w14:solidFill>
                    <w14:schemeClr w14:val="tx1"/>
                  </w14:solidFill>
                </w14:textFill>
              </w:rPr>
              <w:t>本底值</w:t>
            </w:r>
            <w:r>
              <w:rPr>
                <w:color w:val="000000" w:themeColor="text1"/>
                <w:sz w:val="24"/>
                <w14:textFill>
                  <w14:solidFill>
                    <w14:schemeClr w14:val="tx1"/>
                  </w14:solidFill>
                </w14:textFill>
              </w:rPr>
              <w:t>为115.5nGy/h</w:t>
            </w:r>
            <w:r>
              <w:rPr>
                <w:rFonts w:hint="eastAsia"/>
                <w:color w:val="000000" w:themeColor="text1"/>
                <w:sz w:val="24"/>
                <w14:textFill>
                  <w14:solidFill>
                    <w14:schemeClr w14:val="tx1"/>
                  </w14:solidFill>
                </w14:textFill>
              </w:rPr>
              <w:t>。</w:t>
            </w:r>
          </w:p>
          <w:p>
            <w:pPr>
              <w:adjustRightInd w:val="0"/>
              <w:snapToGrid w:val="0"/>
              <w:spacing w:line="240" w:lineRule="auto"/>
              <w:jc w:val="center"/>
              <w:rPr>
                <w:b w:val="0"/>
                <w:bCs/>
                <w:color w:val="000000" w:themeColor="text1"/>
                <w:sz w:val="24"/>
                <w14:textFill>
                  <w14:solidFill>
                    <w14:schemeClr w14:val="tx1"/>
                  </w14:solidFill>
                </w14:textFill>
              </w:rPr>
            </w:pPr>
            <w:r>
              <w:rPr>
                <w:b w:val="0"/>
                <w:bCs/>
                <w:color w:val="000000" w:themeColor="text1"/>
                <w:sz w:val="24"/>
                <w14:textFill>
                  <w14:solidFill>
                    <w14:schemeClr w14:val="tx1"/>
                  </w14:solidFill>
                </w14:textFill>
              </w:rPr>
              <w:t>表5-</w:t>
            </w:r>
            <w:r>
              <w:rPr>
                <w:rFonts w:hint="eastAsia"/>
                <w:b w:val="0"/>
                <w:bCs/>
                <w:color w:val="000000" w:themeColor="text1"/>
                <w:sz w:val="24"/>
                <w:lang w:val="en-US" w:eastAsia="zh-CN"/>
                <w14:textFill>
                  <w14:solidFill>
                    <w14:schemeClr w14:val="tx1"/>
                  </w14:solidFill>
                </w14:textFill>
              </w:rPr>
              <w:t>2</w:t>
            </w:r>
            <w:r>
              <w:rPr>
                <w:b w:val="0"/>
                <w:bCs/>
                <w:color w:val="000000" w:themeColor="text1"/>
                <w:sz w:val="24"/>
                <w14:textFill>
                  <w14:solidFill>
                    <w14:schemeClr w14:val="tx1"/>
                  </w14:solidFill>
                </w14:textFill>
              </w:rPr>
              <w:t xml:space="preserve">  项目</w:t>
            </w:r>
            <w:r>
              <w:rPr>
                <w:rFonts w:hint="eastAsia"/>
                <w:b w:val="0"/>
                <w:bCs/>
                <w:color w:val="000000" w:themeColor="text1"/>
                <w:sz w:val="24"/>
                <w:lang w:eastAsia="zh-CN"/>
                <w14:textFill>
                  <w14:solidFill>
                    <w14:schemeClr w14:val="tx1"/>
                  </w14:solidFill>
                </w14:textFill>
              </w:rPr>
              <w:t>勘查区</w:t>
            </w:r>
            <w:r>
              <w:rPr>
                <w:b w:val="0"/>
                <w:bCs/>
                <w:color w:val="000000" w:themeColor="text1"/>
                <w:sz w:val="24"/>
                <w14:textFill>
                  <w14:solidFill>
                    <w14:schemeClr w14:val="tx1"/>
                  </w14:solidFill>
                </w14:textFill>
              </w:rPr>
              <w:t>天然贯穿辐射剂量率  nGy/h</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1322"/>
              <w:gridCol w:w="1747"/>
              <w:gridCol w:w="1458"/>
              <w:gridCol w:w="1739"/>
              <w:gridCol w:w="1739"/>
              <w:gridCol w:w="7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tblHeader/>
                <w:jc w:val="center"/>
              </w:trPr>
              <w:tc>
                <w:tcPr>
                  <w:tcW w:w="408"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序号</w:t>
                  </w:r>
                </w:p>
              </w:tc>
              <w:tc>
                <w:tcPr>
                  <w:tcW w:w="697" w:type="pct"/>
                  <w:vMerge w:val="restart"/>
                  <w:vAlign w:val="center"/>
                </w:tcPr>
                <w:p>
                  <w:pPr>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省份</w:t>
                  </w:r>
                </w:p>
              </w:tc>
              <w:tc>
                <w:tcPr>
                  <w:tcW w:w="3524" w:type="pct"/>
                  <w:gridSpan w:val="4"/>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天然贯穿辐射剂量率调查结果</w:t>
                  </w:r>
                </w:p>
              </w:tc>
              <w:tc>
                <w:tcPr>
                  <w:tcW w:w="369" w:type="pct"/>
                  <w:vMerge w:val="restar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4" w:hRule="atLeast"/>
                <w:tblHeader/>
                <w:jc w:val="center"/>
              </w:trPr>
              <w:tc>
                <w:tcPr>
                  <w:tcW w:w="408" w:type="pct"/>
                  <w:vMerge w:val="continue"/>
                  <w:vAlign w:val="center"/>
                </w:tcPr>
                <w:p>
                  <w:pPr>
                    <w:jc w:val="center"/>
                    <w:rPr>
                      <w:b w:val="0"/>
                      <w:bCs/>
                      <w:color w:val="000000" w:themeColor="text1"/>
                      <w:sz w:val="21"/>
                      <w:szCs w:val="21"/>
                      <w14:textFill>
                        <w14:solidFill>
                          <w14:schemeClr w14:val="tx1"/>
                        </w14:solidFill>
                      </w14:textFill>
                    </w:rPr>
                  </w:pPr>
                </w:p>
              </w:tc>
              <w:tc>
                <w:tcPr>
                  <w:tcW w:w="697" w:type="pct"/>
                  <w:vMerge w:val="continue"/>
                  <w:vAlign w:val="center"/>
                </w:tcPr>
                <w:p>
                  <w:pPr>
                    <w:jc w:val="center"/>
                    <w:rPr>
                      <w:b w:val="0"/>
                      <w:bCs/>
                      <w:color w:val="000000" w:themeColor="text1"/>
                      <w:sz w:val="21"/>
                      <w:szCs w:val="21"/>
                      <w14:textFill>
                        <w14:solidFill>
                          <w14:schemeClr w14:val="tx1"/>
                        </w14:solidFill>
                      </w14:textFill>
                    </w:rPr>
                  </w:pPr>
                </w:p>
              </w:tc>
              <w:tc>
                <w:tcPr>
                  <w:tcW w:w="1690"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室外</w:t>
                  </w:r>
                </w:p>
              </w:tc>
              <w:tc>
                <w:tcPr>
                  <w:tcW w:w="1834" w:type="pct"/>
                  <w:gridSpan w:val="2"/>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室内</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4" w:hRule="atLeast"/>
                <w:tblHeader/>
                <w:jc w:val="center"/>
              </w:trPr>
              <w:tc>
                <w:tcPr>
                  <w:tcW w:w="408" w:type="pct"/>
                  <w:vMerge w:val="continue"/>
                  <w:vAlign w:val="center"/>
                </w:tcPr>
                <w:p>
                  <w:pPr>
                    <w:jc w:val="center"/>
                    <w:rPr>
                      <w:b w:val="0"/>
                      <w:bCs/>
                      <w:color w:val="000000" w:themeColor="text1"/>
                      <w:sz w:val="21"/>
                      <w:szCs w:val="21"/>
                      <w14:textFill>
                        <w14:solidFill>
                          <w14:schemeClr w14:val="tx1"/>
                        </w14:solidFill>
                      </w14:textFill>
                    </w:rPr>
                  </w:pPr>
                </w:p>
              </w:tc>
              <w:tc>
                <w:tcPr>
                  <w:tcW w:w="697" w:type="pct"/>
                  <w:vMerge w:val="continue"/>
                  <w:vAlign w:val="center"/>
                </w:tcPr>
                <w:p>
                  <w:pPr>
                    <w:jc w:val="center"/>
                    <w:rPr>
                      <w:b w:val="0"/>
                      <w:bCs/>
                      <w:color w:val="000000" w:themeColor="text1"/>
                      <w:sz w:val="21"/>
                      <w:szCs w:val="21"/>
                      <w14:textFill>
                        <w14:solidFill>
                          <w14:schemeClr w14:val="tx1"/>
                        </w14:solidFill>
                      </w14:textFill>
                    </w:rPr>
                  </w:pPr>
                </w:p>
              </w:tc>
              <w:tc>
                <w:tcPr>
                  <w:tcW w:w="921"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 值</w:t>
                  </w:r>
                </w:p>
              </w:tc>
              <w:tc>
                <w:tcPr>
                  <w:tcW w:w="768"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917"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均 值</w:t>
                  </w:r>
                </w:p>
              </w:tc>
              <w:tc>
                <w:tcPr>
                  <w:tcW w:w="916"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标准差</w:t>
                  </w:r>
                </w:p>
              </w:tc>
              <w:tc>
                <w:tcPr>
                  <w:tcW w:w="369" w:type="pct"/>
                  <w:vMerge w:val="continue"/>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4" w:hRule="atLeast"/>
                <w:jc w:val="center"/>
              </w:trPr>
              <w:tc>
                <w:tcPr>
                  <w:tcW w:w="408" w:type="pct"/>
                  <w:vAlign w:val="center"/>
                </w:tcPr>
                <w:p>
                  <w:pPr>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1</w:t>
                  </w:r>
                </w:p>
              </w:tc>
              <w:tc>
                <w:tcPr>
                  <w:tcW w:w="69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陕西</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9</w:t>
                  </w:r>
                  <w:r>
                    <w:rPr>
                      <w:b w:val="0"/>
                      <w:bCs/>
                      <w:color w:val="000000" w:themeColor="text1"/>
                      <w:sz w:val="21"/>
                      <w:szCs w:val="21"/>
                      <w14:textFill>
                        <w14:solidFill>
                          <w14:schemeClr w14:val="tx1"/>
                        </w14:solidFill>
                      </w14:textFill>
                    </w:rPr>
                    <w:t>9.0</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5.0</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30.0</w:t>
                  </w:r>
                </w:p>
              </w:tc>
              <w:tc>
                <w:tcPr>
                  <w:tcW w:w="916"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7.0</w:t>
                  </w:r>
                </w:p>
              </w:tc>
              <w:tc>
                <w:tcPr>
                  <w:tcW w:w="369" w:type="pct"/>
                  <w:vAlign w:val="center"/>
                </w:tcPr>
                <w:p>
                  <w:pPr>
                    <w:adjustRightInd w:val="0"/>
                    <w:snapToGrid w:val="0"/>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40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2</w:t>
                  </w:r>
                </w:p>
              </w:tc>
              <w:tc>
                <w:tcPr>
                  <w:tcW w:w="69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甘肃</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13.1</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4.3</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44.1</w:t>
                  </w:r>
                </w:p>
              </w:tc>
              <w:tc>
                <w:tcPr>
                  <w:tcW w:w="916"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7.0</w:t>
                  </w:r>
                </w:p>
              </w:tc>
              <w:tc>
                <w:tcPr>
                  <w:tcW w:w="369"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408" w:type="pct"/>
                  <w:vAlign w:val="center"/>
                </w:tcPr>
                <w:p>
                  <w:pPr>
                    <w:adjustRightInd w:val="0"/>
                    <w:snapToGrid w:val="0"/>
                    <w:jc w:val="center"/>
                    <w:rPr>
                      <w:b w:val="0"/>
                      <w:bCs/>
                      <w:color w:val="000000" w:themeColor="text1"/>
                      <w:sz w:val="21"/>
                      <w:szCs w:val="21"/>
                      <w14:textFill>
                        <w14:solidFill>
                          <w14:schemeClr w14:val="tx1"/>
                        </w14:solidFill>
                      </w14:textFill>
                    </w:rPr>
                  </w:pPr>
                  <w:r>
                    <w:rPr>
                      <w:b w:val="0"/>
                      <w:bCs/>
                      <w:color w:val="000000" w:themeColor="text1"/>
                      <w:sz w:val="21"/>
                      <w:szCs w:val="21"/>
                      <w14:textFill>
                        <w14:solidFill>
                          <w14:schemeClr w14:val="tx1"/>
                        </w14:solidFill>
                      </w14:textFill>
                    </w:rPr>
                    <w:t>3</w:t>
                  </w:r>
                </w:p>
              </w:tc>
              <w:tc>
                <w:tcPr>
                  <w:tcW w:w="69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宁夏</w:t>
                  </w:r>
                </w:p>
              </w:tc>
              <w:tc>
                <w:tcPr>
                  <w:tcW w:w="921"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07.0</w:t>
                  </w:r>
                </w:p>
              </w:tc>
              <w:tc>
                <w:tcPr>
                  <w:tcW w:w="76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0.8</w:t>
                  </w:r>
                </w:p>
              </w:tc>
              <w:tc>
                <w:tcPr>
                  <w:tcW w:w="917"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39.5</w:t>
                  </w:r>
                </w:p>
              </w:tc>
              <w:tc>
                <w:tcPr>
                  <w:tcW w:w="916"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4.0</w:t>
                  </w:r>
                </w:p>
              </w:tc>
              <w:tc>
                <w:tcPr>
                  <w:tcW w:w="369" w:type="pct"/>
                  <w:vAlign w:val="center"/>
                </w:tcPr>
                <w:p>
                  <w:pPr>
                    <w:jc w:val="center"/>
                    <w:rPr>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40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4</w:t>
                  </w:r>
                </w:p>
              </w:tc>
              <w:tc>
                <w:tcPr>
                  <w:tcW w:w="697"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内蒙古</w:t>
                  </w:r>
                </w:p>
              </w:tc>
              <w:tc>
                <w:tcPr>
                  <w:tcW w:w="921"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9</w:t>
                  </w:r>
                  <w:r>
                    <w:rPr>
                      <w:b w:val="0"/>
                      <w:bCs/>
                      <w:color w:val="000000" w:themeColor="text1"/>
                      <w:sz w:val="21"/>
                      <w:szCs w:val="21"/>
                      <w14:textFill>
                        <w14:solidFill>
                          <w14:schemeClr w14:val="tx1"/>
                        </w14:solidFill>
                      </w14:textFill>
                    </w:rPr>
                    <w:t>3.8</w:t>
                  </w:r>
                </w:p>
              </w:tc>
              <w:tc>
                <w:tcPr>
                  <w:tcW w:w="768"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2</w:t>
                  </w:r>
                  <w:r>
                    <w:rPr>
                      <w:rFonts w:hint="eastAsia"/>
                      <w:b w:val="0"/>
                      <w:bCs/>
                      <w:color w:val="000000" w:themeColor="text1"/>
                      <w:sz w:val="21"/>
                      <w:szCs w:val="21"/>
                      <w14:textFill>
                        <w14:solidFill>
                          <w14:schemeClr w14:val="tx1"/>
                        </w14:solidFill>
                      </w14:textFill>
                    </w:rPr>
                    <w:t>.</w:t>
                  </w:r>
                  <w:r>
                    <w:rPr>
                      <w:b w:val="0"/>
                      <w:bCs/>
                      <w:color w:val="000000" w:themeColor="text1"/>
                      <w:sz w:val="21"/>
                      <w:szCs w:val="21"/>
                      <w14:textFill>
                        <w14:solidFill>
                          <w14:schemeClr w14:val="tx1"/>
                        </w14:solidFill>
                      </w14:textFill>
                    </w:rPr>
                    <w:t>7</w:t>
                  </w:r>
                </w:p>
              </w:tc>
              <w:tc>
                <w:tcPr>
                  <w:tcW w:w="917"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27.8</w:t>
                  </w:r>
                </w:p>
              </w:tc>
              <w:tc>
                <w:tcPr>
                  <w:tcW w:w="916"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7.2</w:t>
                  </w:r>
                </w:p>
              </w:tc>
              <w:tc>
                <w:tcPr>
                  <w:tcW w:w="369" w:type="pct"/>
                  <w:vAlign w:val="center"/>
                </w:tcPr>
                <w:p>
                  <w:pPr>
                    <w:jc w:val="center"/>
                    <w:rPr>
                      <w:rFonts w:hint="eastAsia"/>
                      <w:b w:val="0"/>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408" w:type="pct"/>
                  <w:vAlign w:val="center"/>
                </w:tcPr>
                <w:p>
                  <w:pPr>
                    <w:adjustRightInd w:val="0"/>
                    <w:snapToGrid w:val="0"/>
                    <w:jc w:val="center"/>
                    <w:rPr>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5</w:t>
                  </w:r>
                </w:p>
              </w:tc>
              <w:tc>
                <w:tcPr>
                  <w:tcW w:w="697"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山西</w:t>
                  </w:r>
                </w:p>
              </w:tc>
              <w:tc>
                <w:tcPr>
                  <w:tcW w:w="921"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9</w:t>
                  </w:r>
                  <w:r>
                    <w:rPr>
                      <w:b w:val="0"/>
                      <w:bCs/>
                      <w:color w:val="000000" w:themeColor="text1"/>
                      <w:sz w:val="21"/>
                      <w:szCs w:val="21"/>
                      <w14:textFill>
                        <w14:solidFill>
                          <w14:schemeClr w14:val="tx1"/>
                        </w14:solidFill>
                      </w14:textFill>
                    </w:rPr>
                    <w:t>2.4</w:t>
                  </w:r>
                </w:p>
              </w:tc>
              <w:tc>
                <w:tcPr>
                  <w:tcW w:w="768"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9</w:t>
                  </w:r>
                  <w:r>
                    <w:rPr>
                      <w:b w:val="0"/>
                      <w:bCs/>
                      <w:color w:val="000000" w:themeColor="text1"/>
                      <w:sz w:val="21"/>
                      <w:szCs w:val="21"/>
                      <w14:textFill>
                        <w14:solidFill>
                          <w14:schemeClr w14:val="tx1"/>
                        </w14:solidFill>
                      </w14:textFill>
                    </w:rPr>
                    <w:t>.5</w:t>
                  </w:r>
                </w:p>
              </w:tc>
              <w:tc>
                <w:tcPr>
                  <w:tcW w:w="917"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15.5</w:t>
                  </w:r>
                </w:p>
              </w:tc>
              <w:tc>
                <w:tcPr>
                  <w:tcW w:w="916" w:type="pct"/>
                  <w:vAlign w:val="center"/>
                </w:tcPr>
                <w:p>
                  <w:pPr>
                    <w:adjustRightInd w:val="0"/>
                    <w:snapToGrid w:val="0"/>
                    <w:jc w:val="center"/>
                    <w:rPr>
                      <w:rFonts w:hint="eastAsia"/>
                      <w:b w:val="0"/>
                      <w:bCs/>
                      <w:color w:val="000000" w:themeColor="text1"/>
                      <w:sz w:val="21"/>
                      <w:szCs w:val="21"/>
                      <w14:textFill>
                        <w14:solidFill>
                          <w14:schemeClr w14:val="tx1"/>
                        </w14:solidFill>
                      </w14:textFill>
                    </w:rPr>
                  </w:pPr>
                  <w:r>
                    <w:rPr>
                      <w:rFonts w:hint="eastAsia"/>
                      <w:b w:val="0"/>
                      <w:bCs/>
                      <w:color w:val="000000" w:themeColor="text1"/>
                      <w:sz w:val="21"/>
                      <w:szCs w:val="21"/>
                      <w14:textFill>
                        <w14:solidFill>
                          <w14:schemeClr w14:val="tx1"/>
                        </w14:solidFill>
                      </w14:textFill>
                    </w:rPr>
                    <w:t>1</w:t>
                  </w:r>
                  <w:r>
                    <w:rPr>
                      <w:b w:val="0"/>
                      <w:bCs/>
                      <w:color w:val="000000" w:themeColor="text1"/>
                      <w:sz w:val="21"/>
                      <w:szCs w:val="21"/>
                      <w14:textFill>
                        <w14:solidFill>
                          <w14:schemeClr w14:val="tx1"/>
                        </w14:solidFill>
                      </w14:textFill>
                    </w:rPr>
                    <w:t>2.8</w:t>
                  </w:r>
                </w:p>
              </w:tc>
              <w:tc>
                <w:tcPr>
                  <w:tcW w:w="369" w:type="pct"/>
                  <w:vAlign w:val="center"/>
                </w:tcPr>
                <w:p>
                  <w:pPr>
                    <w:jc w:val="center"/>
                    <w:rPr>
                      <w:rFonts w:hint="eastAsia"/>
                      <w:b w:val="0"/>
                      <w:bCs/>
                      <w:color w:val="000000" w:themeColor="text1"/>
                      <w:sz w:val="21"/>
                      <w:szCs w:val="21"/>
                      <w14:textFill>
                        <w14:solidFill>
                          <w14:schemeClr w14:val="tx1"/>
                        </w14:solidFill>
                      </w14:textFill>
                    </w:rPr>
                  </w:pP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（2）土壤中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w:t>
            </w:r>
          </w:p>
          <w:p>
            <w:pPr>
              <w:pStyle w:val="28"/>
              <w:adjustRightInd w:val="0"/>
              <w:snapToGrid w:val="0"/>
              <w:spacing w:line="360" w:lineRule="auto"/>
              <w:ind w:firstLine="480"/>
              <w:rPr>
                <w:color w:val="000000" w:themeColor="text1"/>
                <w14:textFill>
                  <w14:solidFill>
                    <w14:schemeClr w14:val="tx1"/>
                  </w14:solidFill>
                </w14:textFill>
              </w:rPr>
            </w:pPr>
            <w:r>
              <w:rPr>
                <w:color w:val="000000" w:themeColor="text1"/>
                <w:sz w:val="24"/>
                <w14:textFill>
                  <w14:solidFill>
                    <w14:schemeClr w14:val="tx1"/>
                  </w14:solidFill>
                </w14:textFill>
              </w:rPr>
              <w:t>根据《中国环境天然放射性水平》（2015版），本项目勘查区土壤中</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U含量本底值范围为4.50~200.0Bq/kg，</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Ra本底值范围为5.0~187.7Bq/kg，各</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域土壤中放射性核素</w:t>
            </w:r>
            <w:r>
              <w:rPr>
                <w:color w:val="000000" w:themeColor="text1"/>
                <w:sz w:val="24"/>
                <w:vertAlign w:val="superscript"/>
                <w14:textFill>
                  <w14:solidFill>
                    <w14:schemeClr w14:val="tx1"/>
                  </w14:solidFill>
                </w14:textFill>
              </w:rPr>
              <w:t>238</w:t>
            </w:r>
            <w:r>
              <w:rPr>
                <w:color w:val="000000" w:themeColor="text1"/>
                <w:sz w:val="24"/>
                <w14:textFill>
                  <w14:solidFill>
                    <w14:schemeClr w14:val="tx1"/>
                  </w14:solidFill>
                </w14:textFill>
              </w:rPr>
              <w:t>U、</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Ra含量见表</w:t>
            </w:r>
            <w:r>
              <w:rPr>
                <w:rFonts w:hint="eastAsia"/>
                <w:color w:val="000000" w:themeColor="text1"/>
                <w:sz w:val="24"/>
                <w14:textFill>
                  <w14:solidFill>
                    <w14:schemeClr w14:val="tx1"/>
                  </w14:solidFill>
                </w14:textFill>
              </w:rPr>
              <w:t>5-</w:t>
            </w:r>
            <w:r>
              <w:rPr>
                <w:rFonts w:hint="eastAsia"/>
                <w:color w:val="000000" w:themeColor="text1"/>
                <w:sz w:val="24"/>
                <w:lang w:val="en-US" w:eastAsia="zh-CN"/>
                <w14:textFill>
                  <w14:solidFill>
                    <w14:schemeClr w14:val="tx1"/>
                  </w14:solidFill>
                </w14:textFill>
              </w:rPr>
              <w:t>3</w:t>
            </w:r>
            <w:r>
              <w:rPr>
                <w:color w:val="000000" w:themeColor="text1"/>
                <w:sz w:val="24"/>
                <w14:textFill>
                  <w14:solidFill>
                    <w14:schemeClr w14:val="tx1"/>
                  </w14:solidFill>
                </w14:textFill>
              </w:rPr>
              <w:t>。</w:t>
            </w:r>
          </w:p>
          <w:p>
            <w:pPr>
              <w:adjustRightInd w:val="0"/>
              <w:snapToGrid w:val="0"/>
              <w:jc w:val="center"/>
              <w:rPr>
                <w:b/>
                <w:bCs/>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 xml:space="preserve">3 </w:t>
            </w:r>
            <w:r>
              <w:rPr>
                <w:b w:val="0"/>
                <w:bCs w:val="0"/>
                <w:color w:val="000000" w:themeColor="text1"/>
                <w:sz w:val="24"/>
                <w14:textFill>
                  <w14:solidFill>
                    <w14:schemeClr w14:val="tx1"/>
                  </w14:solidFill>
                </w14:textFill>
              </w:rPr>
              <w:t xml:space="preserve"> 项目所在勘查区土壤（干样）中</w:t>
            </w:r>
            <w:r>
              <w:rPr>
                <w:b w:val="0"/>
                <w:bCs w:val="0"/>
                <w:color w:val="000000" w:themeColor="text1"/>
                <w:sz w:val="24"/>
                <w:vertAlign w:val="superscript"/>
                <w14:textFill>
                  <w14:solidFill>
                    <w14:schemeClr w14:val="tx1"/>
                  </w14:solidFill>
                </w14:textFill>
              </w:rPr>
              <w:t>238</w:t>
            </w:r>
            <w:r>
              <w:rPr>
                <w:b w:val="0"/>
                <w:bCs w:val="0"/>
                <w:color w:val="000000" w:themeColor="text1"/>
                <w:sz w:val="24"/>
                <w14:textFill>
                  <w14:solidFill>
                    <w14:schemeClr w14:val="tx1"/>
                  </w14:solidFill>
                </w14:textFill>
              </w:rPr>
              <w:t>U、</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  Bq/kg</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43"/>
              <w:gridCol w:w="1216"/>
              <w:gridCol w:w="1532"/>
              <w:gridCol w:w="1017"/>
              <w:gridCol w:w="1195"/>
              <w:gridCol w:w="1532"/>
              <w:gridCol w:w="931"/>
              <w:gridCol w:w="770"/>
              <w:gridCol w:w="64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7" w:hRule="atLeast"/>
                <w:tblHeader/>
                <w:jc w:val="center"/>
              </w:trPr>
              <w:tc>
                <w:tcPr>
                  <w:tcW w:w="339"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641" w:type="pct"/>
                  <w:vMerge w:val="restar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省份</w:t>
                  </w:r>
                </w:p>
              </w:tc>
              <w:tc>
                <w:tcPr>
                  <w:tcW w:w="1974"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238</w:t>
                  </w:r>
                  <w:r>
                    <w:rPr>
                      <w:color w:val="000000" w:themeColor="text1"/>
                      <w:sz w:val="21"/>
                      <w:szCs w:val="21"/>
                      <w14:textFill>
                        <w14:solidFill>
                          <w14:schemeClr w14:val="tx1"/>
                        </w14:solidFill>
                      </w14:textFill>
                    </w:rPr>
                    <w:t>U</w:t>
                  </w:r>
                </w:p>
              </w:tc>
              <w:tc>
                <w:tcPr>
                  <w:tcW w:w="1705" w:type="pct"/>
                  <w:gridSpan w:val="3"/>
                  <w:vAlign w:val="center"/>
                </w:tcPr>
                <w:p>
                  <w:pPr>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tc>
              <w:tc>
                <w:tcPr>
                  <w:tcW w:w="339" w:type="pct"/>
                  <w:vMerge w:val="restar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说明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9" w:hRule="atLeast"/>
                <w:tblHeader/>
                <w:jc w:val="center"/>
              </w:trPr>
              <w:tc>
                <w:tcPr>
                  <w:tcW w:w="339" w:type="pct"/>
                  <w:vMerge w:val="continue"/>
                  <w:vAlign w:val="center"/>
                </w:tcPr>
                <w:p>
                  <w:pPr>
                    <w:jc w:val="center"/>
                    <w:rPr>
                      <w:color w:val="000000" w:themeColor="text1"/>
                      <w:sz w:val="21"/>
                      <w:szCs w:val="21"/>
                      <w14:textFill>
                        <w14:solidFill>
                          <w14:schemeClr w14:val="tx1"/>
                        </w14:solidFill>
                      </w14:textFill>
                    </w:rPr>
                  </w:pPr>
                </w:p>
              </w:tc>
              <w:tc>
                <w:tcPr>
                  <w:tcW w:w="641" w:type="pct"/>
                  <w:vMerge w:val="continue"/>
                </w:tcPr>
                <w:p>
                  <w:pPr>
                    <w:jc w:val="center"/>
                    <w:rPr>
                      <w:color w:val="000000" w:themeColor="text1"/>
                      <w:sz w:val="21"/>
                      <w:szCs w:val="21"/>
                      <w14:textFill>
                        <w14:solidFill>
                          <w14:schemeClr w14:val="tx1"/>
                        </w14:solidFill>
                      </w14:textFill>
                    </w:rPr>
                  </w:pPr>
                </w:p>
              </w:tc>
              <w:tc>
                <w:tcPr>
                  <w:tcW w:w="80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  围</w:t>
                  </w:r>
                </w:p>
              </w:tc>
              <w:tc>
                <w:tcPr>
                  <w:tcW w:w="53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 值</w:t>
                  </w:r>
                </w:p>
              </w:tc>
              <w:tc>
                <w:tcPr>
                  <w:tcW w:w="629"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808"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范  围</w:t>
                  </w:r>
                </w:p>
              </w:tc>
              <w:tc>
                <w:tcPr>
                  <w:tcW w:w="491"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均 值</w:t>
                  </w:r>
                </w:p>
              </w:tc>
              <w:tc>
                <w:tcPr>
                  <w:tcW w:w="406"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标准差</w:t>
                  </w:r>
                </w:p>
              </w:tc>
              <w:tc>
                <w:tcPr>
                  <w:tcW w:w="339" w:type="pct"/>
                  <w:vMerge w:val="continue"/>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39"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641"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6.0~163.7</w:t>
                  </w:r>
                </w:p>
              </w:tc>
              <w:tc>
                <w:tcPr>
                  <w:tcW w:w="53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34.3</w:t>
                  </w:r>
                </w:p>
              </w:tc>
              <w:tc>
                <w:tcPr>
                  <w:tcW w:w="62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15.0</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5.0~187.7</w:t>
                  </w:r>
                </w:p>
              </w:tc>
              <w:tc>
                <w:tcPr>
                  <w:tcW w:w="491"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34.8</w:t>
                  </w:r>
                </w:p>
              </w:tc>
              <w:tc>
                <w:tcPr>
                  <w:tcW w:w="40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16.3</w:t>
                  </w:r>
                </w:p>
              </w:tc>
              <w:tc>
                <w:tcPr>
                  <w:tcW w:w="339"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3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641"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20.1~200.0</w:t>
                  </w:r>
                </w:p>
              </w:tc>
              <w:tc>
                <w:tcPr>
                  <w:tcW w:w="53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80.0</w:t>
                  </w:r>
                </w:p>
              </w:tc>
              <w:tc>
                <w:tcPr>
                  <w:tcW w:w="62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34.6</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14.4~46.1</w:t>
                  </w:r>
                </w:p>
              </w:tc>
              <w:tc>
                <w:tcPr>
                  <w:tcW w:w="491"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25.4</w:t>
                  </w:r>
                </w:p>
              </w:tc>
              <w:tc>
                <w:tcPr>
                  <w:tcW w:w="40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5.4</w:t>
                  </w:r>
                </w:p>
              </w:tc>
              <w:tc>
                <w:tcPr>
                  <w:tcW w:w="339"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3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641"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宁夏</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10.2~49.9</w:t>
                  </w:r>
                </w:p>
              </w:tc>
              <w:tc>
                <w:tcPr>
                  <w:tcW w:w="53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31.1</w:t>
                  </w:r>
                </w:p>
              </w:tc>
              <w:tc>
                <w:tcPr>
                  <w:tcW w:w="62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8.8</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6.4~72.3</w:t>
                  </w:r>
                </w:p>
              </w:tc>
              <w:tc>
                <w:tcPr>
                  <w:tcW w:w="491"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29.8</w:t>
                  </w:r>
                </w:p>
              </w:tc>
              <w:tc>
                <w:tcPr>
                  <w:tcW w:w="406"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8.3</w:t>
                  </w:r>
                </w:p>
              </w:tc>
              <w:tc>
                <w:tcPr>
                  <w:tcW w:w="339"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3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p>
              </w:tc>
              <w:tc>
                <w:tcPr>
                  <w:tcW w:w="641"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内蒙古</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r>
                    <w:rPr>
                      <w:color w:val="000000" w:themeColor="text1"/>
                      <w:sz w:val="21"/>
                      <w:szCs w:val="21"/>
                      <w14:textFill>
                        <w14:solidFill>
                          <w14:schemeClr w14:val="tx1"/>
                        </w14:solidFill>
                      </w14:textFill>
                    </w:rPr>
                    <w:t>.50~87.26</w:t>
                  </w:r>
                </w:p>
              </w:tc>
              <w:tc>
                <w:tcPr>
                  <w:tcW w:w="53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8.60</w:t>
                  </w:r>
                </w:p>
              </w:tc>
              <w:tc>
                <w:tcPr>
                  <w:tcW w:w="62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9</w:t>
                  </w:r>
                  <w:r>
                    <w:rPr>
                      <w:color w:val="000000" w:themeColor="text1"/>
                      <w:sz w:val="21"/>
                      <w:szCs w:val="21"/>
                      <w14:textFill>
                        <w14:solidFill>
                          <w14:schemeClr w14:val="tx1"/>
                        </w14:solidFill>
                      </w14:textFill>
                    </w:rPr>
                    <w:t>.08</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.00~88.32</w:t>
                  </w:r>
                </w:p>
              </w:tc>
              <w:tc>
                <w:tcPr>
                  <w:tcW w:w="491"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6.95</w:t>
                  </w:r>
                </w:p>
              </w:tc>
              <w:tc>
                <w:tcPr>
                  <w:tcW w:w="40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.65</w:t>
                  </w:r>
                </w:p>
              </w:tc>
              <w:tc>
                <w:tcPr>
                  <w:tcW w:w="339" w:type="pct"/>
                  <w:vAlign w:val="center"/>
                </w:tcPr>
                <w:p>
                  <w:pPr>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33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p>
              </w:tc>
              <w:tc>
                <w:tcPr>
                  <w:tcW w:w="641"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山西</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8.59~58.35</w:t>
                  </w:r>
                </w:p>
              </w:tc>
              <w:tc>
                <w:tcPr>
                  <w:tcW w:w="53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6.39</w:t>
                  </w:r>
                </w:p>
              </w:tc>
              <w:tc>
                <w:tcPr>
                  <w:tcW w:w="62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6</w:t>
                  </w:r>
                  <w:r>
                    <w:rPr>
                      <w:color w:val="000000" w:themeColor="text1"/>
                      <w:sz w:val="21"/>
                      <w:szCs w:val="21"/>
                      <w14:textFill>
                        <w14:solidFill>
                          <w14:schemeClr w14:val="tx1"/>
                        </w14:solidFill>
                      </w14:textFill>
                    </w:rPr>
                    <w:t>.49</w:t>
                  </w:r>
                </w:p>
              </w:tc>
              <w:tc>
                <w:tcPr>
                  <w:tcW w:w="808"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1.04~50.43</w:t>
                  </w:r>
                </w:p>
              </w:tc>
              <w:tc>
                <w:tcPr>
                  <w:tcW w:w="491"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4.23</w:t>
                  </w:r>
                </w:p>
              </w:tc>
              <w:tc>
                <w:tcPr>
                  <w:tcW w:w="406"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r>
                    <w:rPr>
                      <w:color w:val="000000" w:themeColor="text1"/>
                      <w:sz w:val="21"/>
                      <w:szCs w:val="21"/>
                      <w14:textFill>
                        <w14:solidFill>
                          <w14:schemeClr w14:val="tx1"/>
                        </w14:solidFill>
                      </w14:textFill>
                    </w:rPr>
                    <w:t>.58</w:t>
                  </w:r>
                </w:p>
              </w:tc>
              <w:tc>
                <w:tcPr>
                  <w:tcW w:w="339" w:type="pct"/>
                  <w:vAlign w:val="center"/>
                </w:tcPr>
                <w:p>
                  <w:pPr>
                    <w:jc w:val="center"/>
                    <w:rPr>
                      <w:color w:val="000000" w:themeColor="text1"/>
                      <w:sz w:val="21"/>
                      <w:szCs w:val="21"/>
                      <w14:textFill>
                        <w14:solidFill>
                          <w14:schemeClr w14:val="tx1"/>
                        </w14:solidFill>
                      </w14:textFill>
                    </w:rPr>
                  </w:pPr>
                </w:p>
              </w:tc>
            </w:tr>
          </w:tbl>
          <w:p>
            <w:pPr>
              <w:spacing w:line="240" w:lineRule="auto"/>
              <w:ind w:firstLine="315" w:firstLineChars="150"/>
              <w:rPr>
                <w:color w:val="000000" w:themeColor="text1"/>
                <w14:textFill>
                  <w14:solidFill>
                    <w14:schemeClr w14:val="tx1"/>
                  </w14:solidFill>
                </w14:textFill>
              </w:rPr>
            </w:pPr>
            <w:r>
              <w:rPr>
                <w:color w:val="000000" w:themeColor="text1"/>
                <w14:textFill>
                  <w14:solidFill>
                    <w14:schemeClr w14:val="tx1"/>
                  </w14:solidFill>
                </w14:textFill>
              </w:rPr>
              <w:t>备注：表中均值、标准差均为按点加权计算结果。</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（3）</w:t>
            </w:r>
            <w:r>
              <w:rPr>
                <w:color w:val="000000" w:themeColor="text1"/>
                <w:sz w:val="24"/>
                <w14:textFill>
                  <w14:solidFill>
                    <w14:schemeClr w14:val="tx1"/>
                  </w14:solidFill>
                </w14:textFill>
              </w:rPr>
              <w:t>地表水中U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pStyle w:val="28"/>
              <w:spacing w:line="360" w:lineRule="auto"/>
              <w:ind w:firstLine="48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本项目勘查区</w:t>
            </w:r>
            <w:r>
              <w:rPr>
                <w:rFonts w:hint="eastAsia"/>
                <w:color w:val="000000" w:themeColor="text1"/>
                <w:sz w:val="24"/>
                <w14:textFill>
                  <w14:solidFill>
                    <w14:schemeClr w14:val="tx1"/>
                  </w14:solidFill>
                </w14:textFill>
              </w:rPr>
              <w:t>地表水体主要涉及江河和湖泊，</w:t>
            </w:r>
            <w:r>
              <w:rPr>
                <w:color w:val="000000" w:themeColor="text1"/>
                <w:sz w:val="24"/>
                <w14:textFill>
                  <w14:solidFill>
                    <w14:schemeClr w14:val="tx1"/>
                  </w14:solidFill>
                </w14:textFill>
              </w:rPr>
              <w:t>根据《中国环境天然放射性水平》（2015版），</w:t>
            </w:r>
            <w:r>
              <w:rPr>
                <w:rFonts w:hint="eastAsia"/>
                <w:color w:val="000000" w:themeColor="text1"/>
                <w:sz w:val="24"/>
                <w14:textFill>
                  <w14:solidFill>
                    <w14:schemeClr w14:val="tx1"/>
                  </w14:solidFill>
                </w14:textFill>
              </w:rPr>
              <w:t>勘查区内地表水体</w:t>
            </w:r>
            <w:r>
              <w:rPr>
                <w:color w:val="000000" w:themeColor="text1"/>
                <w:sz w:val="24"/>
                <w14:textFill>
                  <w14:solidFill>
                    <w14:schemeClr w14:val="tx1"/>
                  </w14:solidFill>
                </w14:textFill>
              </w:rPr>
              <w:t>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浓度为0.02</w:t>
            </w:r>
            <w:r>
              <w:rPr>
                <w:color w:val="000000" w:themeColor="text1"/>
                <w14:textFill>
                  <w14:solidFill>
                    <w14:schemeClr w14:val="tx1"/>
                  </w14:solidFill>
                </w14:textFill>
              </w:rPr>
              <w:t>~</w:t>
            </w:r>
            <w:r>
              <w:rPr>
                <w:color w:val="000000" w:themeColor="text1"/>
                <w:sz w:val="24"/>
                <w14:textFill>
                  <w14:solidFill>
                    <w14:schemeClr w14:val="tx1"/>
                  </w14:solidFill>
                </w14:textFill>
              </w:rPr>
              <w:t>105.6μg/L，</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Ra浓度为0.65</w:t>
            </w:r>
            <w:r>
              <w:rPr>
                <w:color w:val="000000" w:themeColor="text1"/>
                <w14:textFill>
                  <w14:solidFill>
                    <w14:schemeClr w14:val="tx1"/>
                  </w14:solidFill>
                </w14:textFill>
              </w:rPr>
              <w:t>~</w:t>
            </w:r>
            <w:r>
              <w:rPr>
                <w:color w:val="000000" w:themeColor="text1"/>
                <w:sz w:val="24"/>
                <w14:textFill>
                  <w14:solidFill>
                    <w14:schemeClr w14:val="tx1"/>
                  </w14:solidFill>
                </w14:textFill>
              </w:rPr>
              <w:t>77.40mBq/L。</w:t>
            </w:r>
          </w:p>
          <w:p>
            <w:pPr>
              <w:adjustRightInd w:val="0"/>
              <w:snapToGrid w:val="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勘查区</w:t>
            </w:r>
            <w:r>
              <w:rPr>
                <w:rFonts w:hint="eastAsia"/>
                <w:b w:val="0"/>
                <w:bCs w:val="0"/>
                <w:color w:val="000000" w:themeColor="text1"/>
                <w:sz w:val="24"/>
                <w14:textFill>
                  <w14:solidFill>
                    <w14:schemeClr w14:val="tx1"/>
                  </w14:solidFill>
                </w14:textFill>
              </w:rPr>
              <w:t>以及周边</w:t>
            </w:r>
            <w:r>
              <w:rPr>
                <w:b w:val="0"/>
                <w:bCs w:val="0"/>
                <w:color w:val="000000" w:themeColor="text1"/>
                <w:sz w:val="24"/>
                <w14:textFill>
                  <w14:solidFill>
                    <w14:schemeClr w14:val="tx1"/>
                  </w14:solidFill>
                </w14:textFill>
              </w:rPr>
              <w:t>主要河流河水中U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w:t>
            </w:r>
          </w:p>
          <w:tbl>
            <w:tblPr>
              <w:tblStyle w:val="14"/>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62"/>
              <w:gridCol w:w="1743"/>
              <w:gridCol w:w="1425"/>
              <w:gridCol w:w="1428"/>
              <w:gridCol w:w="1611"/>
              <w:gridCol w:w="16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省份</w:t>
                  </w:r>
                </w:p>
              </w:tc>
              <w:tc>
                <w:tcPr>
                  <w:tcW w:w="919"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水体类型</w:t>
                  </w:r>
                </w:p>
              </w:tc>
              <w:tc>
                <w:tcPr>
                  <w:tcW w:w="1504" w:type="pct"/>
                  <w:gridSpan w:val="2"/>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(μg/L)</w:t>
                  </w:r>
                </w:p>
              </w:tc>
              <w:tc>
                <w:tcPr>
                  <w:tcW w:w="1699" w:type="pct"/>
                  <w:gridSpan w:val="2"/>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blHeader/>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范围值</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均值</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范围值</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均值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w:t>
                  </w: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0.09~18.3</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3.26</w:t>
                  </w:r>
                </w:p>
              </w:tc>
              <w:tc>
                <w:tcPr>
                  <w:tcW w:w="849"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0.65~25</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6.3~67</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36.7</w:t>
                  </w:r>
                </w:p>
              </w:tc>
              <w:tc>
                <w:tcPr>
                  <w:tcW w:w="849"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2.4~7.0</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宁夏</w:t>
                  </w: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1.57~53.30</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12.34</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.65~13.28</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2.74~12.10</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.52</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.65~8.84</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w:t>
                  </w: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.58~46.51</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4.67</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.1~64.9</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.62~7.27</w:t>
                  </w:r>
                </w:p>
              </w:tc>
              <w:tc>
                <w:tcPr>
                  <w:tcW w:w="75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6</w:t>
                  </w:r>
                  <w:r>
                    <w:rPr>
                      <w:color w:val="000000" w:themeColor="text1"/>
                      <w:sz w:val="21"/>
                      <w:szCs w:val="21"/>
                      <w14:textFill>
                        <w14:solidFill>
                          <w14:schemeClr w14:val="tx1"/>
                        </w14:solidFill>
                      </w14:textFill>
                    </w:rPr>
                    <w:t>.44</w:t>
                  </w:r>
                </w:p>
              </w:tc>
              <w:tc>
                <w:tcPr>
                  <w:tcW w:w="849" w:type="pct"/>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.1~9.9</w:t>
                  </w:r>
                </w:p>
              </w:tc>
              <w:tc>
                <w:tcPr>
                  <w:tcW w:w="84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内蒙古</w:t>
                  </w:r>
                </w:p>
              </w:tc>
              <w:tc>
                <w:tcPr>
                  <w:tcW w:w="91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.06~13.35</w:t>
                  </w:r>
                </w:p>
              </w:tc>
              <w:tc>
                <w:tcPr>
                  <w:tcW w:w="753"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.35</w:t>
                  </w:r>
                </w:p>
              </w:tc>
              <w:tc>
                <w:tcPr>
                  <w:tcW w:w="849"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.94~77.40</w:t>
                  </w:r>
                </w:p>
              </w:tc>
              <w:tc>
                <w:tcPr>
                  <w:tcW w:w="84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2.74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.32~105.6</w:t>
                  </w:r>
                </w:p>
              </w:tc>
              <w:tc>
                <w:tcPr>
                  <w:tcW w:w="753"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8</w:t>
                  </w:r>
                  <w:r>
                    <w:rPr>
                      <w:color w:val="000000" w:themeColor="text1"/>
                      <w:sz w:val="21"/>
                      <w:szCs w:val="21"/>
                      <w14:textFill>
                        <w14:solidFill>
                          <w14:schemeClr w14:val="tx1"/>
                        </w14:solidFill>
                      </w14:textFill>
                    </w:rPr>
                    <w:t>.25</w:t>
                  </w:r>
                </w:p>
              </w:tc>
              <w:tc>
                <w:tcPr>
                  <w:tcW w:w="849"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r>
                    <w:rPr>
                      <w:color w:val="000000" w:themeColor="text1"/>
                      <w:sz w:val="21"/>
                      <w:szCs w:val="21"/>
                      <w14:textFill>
                        <w14:solidFill>
                          <w14:schemeClr w14:val="tx1"/>
                        </w14:solidFill>
                      </w14:textFill>
                    </w:rPr>
                    <w:t>.00~16.14</w:t>
                  </w:r>
                </w:p>
              </w:tc>
              <w:tc>
                <w:tcPr>
                  <w:tcW w:w="84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.29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山西</w:t>
                  </w:r>
                </w:p>
              </w:tc>
              <w:tc>
                <w:tcPr>
                  <w:tcW w:w="91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江河</w:t>
                  </w:r>
                </w:p>
              </w:tc>
              <w:tc>
                <w:tcPr>
                  <w:tcW w:w="751"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.02~9.10</w:t>
                  </w:r>
                </w:p>
              </w:tc>
              <w:tc>
                <w:tcPr>
                  <w:tcW w:w="753"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.22</w:t>
                  </w:r>
                </w:p>
              </w:tc>
              <w:tc>
                <w:tcPr>
                  <w:tcW w:w="849"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.9~34.3</w:t>
                  </w:r>
                </w:p>
              </w:tc>
              <w:tc>
                <w:tcPr>
                  <w:tcW w:w="84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876"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91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湖泊</w:t>
                  </w:r>
                </w:p>
              </w:tc>
              <w:tc>
                <w:tcPr>
                  <w:tcW w:w="751"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.36~19.70</w:t>
                  </w:r>
                </w:p>
              </w:tc>
              <w:tc>
                <w:tcPr>
                  <w:tcW w:w="753"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.58</w:t>
                  </w:r>
                </w:p>
              </w:tc>
              <w:tc>
                <w:tcPr>
                  <w:tcW w:w="849" w:type="pct"/>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0</w:t>
                  </w:r>
                  <w:r>
                    <w:rPr>
                      <w:color w:val="000000" w:themeColor="text1"/>
                      <w:sz w:val="21"/>
                      <w:szCs w:val="21"/>
                      <w14:textFill>
                        <w14:solidFill>
                          <w14:schemeClr w14:val="tx1"/>
                        </w14:solidFill>
                      </w14:textFill>
                    </w:rPr>
                    <w:t>.9~8.7</w:t>
                  </w:r>
                </w:p>
              </w:tc>
              <w:tc>
                <w:tcPr>
                  <w:tcW w:w="84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.4</w:t>
                  </w:r>
                </w:p>
              </w:tc>
            </w:tr>
          </w:tbl>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adjustRightInd w:val="0"/>
              <w:snapToGrid w:val="0"/>
              <w:spacing w:line="420" w:lineRule="atLeast"/>
              <w:ind w:firstLine="240" w:firstLineChars="100"/>
              <w:rPr>
                <w:color w:val="000000" w:themeColor="text1"/>
                <w:sz w:val="24"/>
                <w14:textFill>
                  <w14:solidFill>
                    <w14:schemeClr w14:val="tx1"/>
                  </w14:solidFill>
                </w14:textFill>
              </w:rPr>
            </w:pPr>
            <w:r>
              <w:rPr>
                <w:color w:val="000000" w:themeColor="text1"/>
                <w:sz w:val="24"/>
                <w14:textFill>
                  <w14:solidFill>
                    <w14:schemeClr w14:val="tx1"/>
                  </w14:solidFill>
                </w14:textFill>
              </w:rPr>
              <w:t>（4）地下水中U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w:t>
            </w:r>
          </w:p>
          <w:p>
            <w:pPr>
              <w:adjustRightInd w:val="0"/>
              <w:snapToGrid w:val="0"/>
              <w:spacing w:line="420" w:lineRule="atLeas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根据《中国环境天然放射性水平》（2015版），本项目勘查</w:t>
            </w:r>
            <w:r>
              <w:rPr>
                <w:rFonts w:hint="eastAsia"/>
                <w:color w:val="000000" w:themeColor="text1"/>
                <w:sz w:val="24"/>
                <w14:textFill>
                  <w14:solidFill>
                    <w14:schemeClr w14:val="tx1"/>
                  </w14:solidFill>
                </w14:textFill>
              </w:rPr>
              <w:t>区井</w:t>
            </w:r>
            <w:r>
              <w:rPr>
                <w:color w:val="000000" w:themeColor="text1"/>
                <w:sz w:val="24"/>
                <w14:textFill>
                  <w14:solidFill>
                    <w14:schemeClr w14:val="tx1"/>
                  </w14:solidFill>
                </w14:textFill>
              </w:rPr>
              <w:t>水中U</w:t>
            </w:r>
            <w:r>
              <w:rPr>
                <w:color w:val="000000" w:themeColor="text1"/>
                <w:sz w:val="24"/>
                <w:vertAlign w:val="subscript"/>
                <w14:textFill>
                  <w14:solidFill>
                    <w14:schemeClr w14:val="tx1"/>
                  </w14:solidFill>
                </w14:textFill>
              </w:rPr>
              <w:t>天然</w:t>
            </w:r>
            <w:r>
              <w:rPr>
                <w:color w:val="000000" w:themeColor="text1"/>
                <w:sz w:val="24"/>
                <w14:textFill>
                  <w14:solidFill>
                    <w14:schemeClr w14:val="tx1"/>
                  </w14:solidFill>
                </w14:textFill>
              </w:rPr>
              <w:t>浓度本底值为3.58~15.08μg/L，水中</w:t>
            </w:r>
            <w:r>
              <w:rPr>
                <w:color w:val="000000" w:themeColor="text1"/>
                <w:sz w:val="24"/>
                <w:vertAlign w:val="superscript"/>
                <w14:textFill>
                  <w14:solidFill>
                    <w14:schemeClr w14:val="tx1"/>
                  </w14:solidFill>
                </w14:textFill>
              </w:rPr>
              <w:t>226</w:t>
            </w:r>
            <w:r>
              <w:rPr>
                <w:color w:val="000000" w:themeColor="text1"/>
                <w:sz w:val="24"/>
                <w14:textFill>
                  <w14:solidFill>
                    <w14:schemeClr w14:val="tx1"/>
                  </w14:solidFill>
                </w14:textFill>
              </w:rPr>
              <w:t>Ra浓度本底值</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3.9~24.74mBq/L。</w:t>
            </w:r>
          </w:p>
          <w:p>
            <w:pPr>
              <w:adjustRightInd w:val="0"/>
              <w:snapToGrid w:val="0"/>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14:textFill>
                  <w14:solidFill>
                    <w14:schemeClr w14:val="tx1"/>
                  </w14:solidFill>
                </w14:textFill>
              </w:rPr>
              <w:t>5-</w:t>
            </w:r>
            <w:r>
              <w:rPr>
                <w:rFonts w:hint="eastAsia"/>
                <w:b w:val="0"/>
                <w:bCs w:val="0"/>
                <w:color w:val="000000" w:themeColor="text1"/>
                <w:sz w:val="24"/>
                <w:lang w:val="en-US" w:eastAsia="zh-CN"/>
                <w14:textFill>
                  <w14:solidFill>
                    <w14:schemeClr w14:val="tx1"/>
                  </w14:solidFill>
                </w14:textFill>
              </w:rPr>
              <w:t xml:space="preserve">5 </w:t>
            </w:r>
            <w:r>
              <w:rPr>
                <w:b w:val="0"/>
                <w:bCs w:val="0"/>
                <w:color w:val="000000" w:themeColor="text1"/>
                <w:sz w:val="24"/>
                <w14:textFill>
                  <w14:solidFill>
                    <w14:schemeClr w14:val="tx1"/>
                  </w14:solidFill>
                </w14:textFill>
              </w:rPr>
              <w:t xml:space="preserve"> 项目所在勘查区</w:t>
            </w:r>
            <w:r>
              <w:rPr>
                <w:rFonts w:hint="eastAsia"/>
                <w:b w:val="0"/>
                <w:bCs w:val="0"/>
                <w:color w:val="000000" w:themeColor="text1"/>
                <w:sz w:val="24"/>
                <w14:textFill>
                  <w14:solidFill>
                    <w14:schemeClr w14:val="tx1"/>
                  </w14:solidFill>
                </w14:textFill>
              </w:rPr>
              <w:t>地下水</w:t>
            </w:r>
            <w:r>
              <w:rPr>
                <w:b w:val="0"/>
                <w:bCs w:val="0"/>
                <w:color w:val="000000" w:themeColor="text1"/>
                <w:sz w:val="24"/>
                <w14:textFill>
                  <w14:solidFill>
                    <w14:schemeClr w14:val="tx1"/>
                  </w14:solidFill>
                </w14:textFill>
              </w:rPr>
              <w:t>中U</w:t>
            </w:r>
            <w:r>
              <w:rPr>
                <w:rFonts w:hint="eastAsia"/>
                <w:b w:val="0"/>
                <w:bCs w:val="0"/>
                <w:color w:val="000000" w:themeColor="text1"/>
                <w:sz w:val="24"/>
                <w:vertAlign w:val="subscript"/>
                <w14:textFill>
                  <w14:solidFill>
                    <w14:schemeClr w14:val="tx1"/>
                  </w14:solidFill>
                </w14:textFill>
              </w:rPr>
              <w:t>天然</w:t>
            </w:r>
            <w:r>
              <w:rPr>
                <w:b w:val="0"/>
                <w:bCs w:val="0"/>
                <w:color w:val="000000" w:themeColor="text1"/>
                <w:sz w:val="24"/>
                <w14:textFill>
                  <w14:solidFill>
                    <w14:schemeClr w14:val="tx1"/>
                  </w14:solidFill>
                </w14:textFill>
              </w:rPr>
              <w:t>、</w:t>
            </w:r>
            <w:r>
              <w:rPr>
                <w:b w:val="0"/>
                <w:bCs w:val="0"/>
                <w:color w:val="000000" w:themeColor="text1"/>
                <w:sz w:val="24"/>
                <w:vertAlign w:val="superscript"/>
                <w14:textFill>
                  <w14:solidFill>
                    <w14:schemeClr w14:val="tx1"/>
                  </w14:solidFill>
                </w14:textFill>
              </w:rPr>
              <w:t>226</w:t>
            </w:r>
            <w:r>
              <w:rPr>
                <w:b w:val="0"/>
                <w:bCs w:val="0"/>
                <w:color w:val="000000" w:themeColor="text1"/>
                <w:sz w:val="24"/>
                <w14:textFill>
                  <w14:solidFill>
                    <w14:schemeClr w14:val="tx1"/>
                  </w14:solidFill>
                </w14:textFill>
              </w:rPr>
              <w:t>Ra含量</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2634"/>
              <w:gridCol w:w="1976"/>
              <w:gridCol w:w="2175"/>
              <w:gridCol w:w="17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523"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1389"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地名</w:t>
                  </w:r>
                </w:p>
              </w:tc>
              <w:tc>
                <w:tcPr>
                  <w:tcW w:w="1042"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采样地点</w:t>
                  </w:r>
                </w:p>
              </w:tc>
              <w:tc>
                <w:tcPr>
                  <w:tcW w:w="114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w:t>
                  </w:r>
                  <w:r>
                    <w:rPr>
                      <w:rFonts w:hint="eastAsia"/>
                      <w:color w:val="000000" w:themeColor="text1"/>
                      <w:sz w:val="21"/>
                      <w:szCs w:val="21"/>
                      <w:vertAlign w:val="subscript"/>
                      <w14:textFill>
                        <w14:solidFill>
                          <w14:schemeClr w14:val="tx1"/>
                        </w14:solidFill>
                      </w14:textFill>
                    </w:rPr>
                    <w:t>天然</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(ug/L)</w:t>
                  </w:r>
                </w:p>
              </w:tc>
              <w:tc>
                <w:tcPr>
                  <w:tcW w:w="897" w:type="pct"/>
                  <w:vMerge w:val="restar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vertAlign w:val="superscript"/>
                      <w14:textFill>
                        <w14:solidFill>
                          <w14:schemeClr w14:val="tx1"/>
                        </w14:solidFill>
                      </w14:textFill>
                    </w:rPr>
                    <w:t>226</w:t>
                  </w:r>
                  <w:r>
                    <w:rPr>
                      <w:color w:val="000000" w:themeColor="text1"/>
                      <w:sz w:val="21"/>
                      <w:szCs w:val="21"/>
                      <w14:textFill>
                        <w14:solidFill>
                          <w14:schemeClr w14:val="tx1"/>
                        </w14:solidFill>
                      </w14:textFill>
                    </w:rPr>
                    <w:t>Ra</w:t>
                  </w:r>
                </w:p>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(mBq/L)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523"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389"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042"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1147" w:type="pct"/>
                  <w:vMerge w:val="continue"/>
                  <w:vAlign w:val="center"/>
                </w:tcPr>
                <w:p>
                  <w:pPr>
                    <w:adjustRightInd w:val="0"/>
                    <w:snapToGrid w:val="0"/>
                    <w:jc w:val="center"/>
                    <w:rPr>
                      <w:color w:val="000000" w:themeColor="text1"/>
                      <w:sz w:val="21"/>
                      <w:szCs w:val="21"/>
                      <w14:textFill>
                        <w14:solidFill>
                          <w14:schemeClr w14:val="tx1"/>
                        </w14:solidFill>
                      </w14:textFill>
                    </w:rPr>
                  </w:pPr>
                </w:p>
              </w:tc>
              <w:tc>
                <w:tcPr>
                  <w:tcW w:w="897"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3.58</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甘肃</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7</w:t>
                  </w:r>
                  <w:r>
                    <w:rPr>
                      <w:color w:val="000000" w:themeColor="text1"/>
                      <w:sz w:val="21"/>
                      <w:szCs w:val="21"/>
                      <w14:textFill>
                        <w14:solidFill>
                          <w14:schemeClr w14:val="tx1"/>
                        </w14:solidFill>
                      </w14:textFill>
                    </w:rPr>
                    <w:t>.47</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p>
              </w:tc>
              <w:tc>
                <w:tcPr>
                  <w:tcW w:w="1389"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宁夏</w:t>
                  </w:r>
                </w:p>
              </w:tc>
              <w:tc>
                <w:tcPr>
                  <w:tcW w:w="1042" w:type="pct"/>
                  <w:vAlign w:val="center"/>
                </w:tcPr>
                <w:p>
                  <w:pPr>
                    <w:adjustRightInd w:val="0"/>
                    <w:snapToGrid w:val="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9.81</w:t>
                  </w:r>
                </w:p>
              </w:tc>
              <w:tc>
                <w:tcPr>
                  <w:tcW w:w="897" w:type="pct"/>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p>
              </w:tc>
              <w:tc>
                <w:tcPr>
                  <w:tcW w:w="138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内蒙古</w:t>
                  </w:r>
                </w:p>
              </w:tc>
              <w:tc>
                <w:tcPr>
                  <w:tcW w:w="1042"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5.08</w:t>
                  </w:r>
                </w:p>
              </w:tc>
              <w:tc>
                <w:tcPr>
                  <w:tcW w:w="897" w:type="pct"/>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2</w:t>
                  </w:r>
                  <w:r>
                    <w:rPr>
                      <w:color w:val="000000" w:themeColor="text1"/>
                      <w:sz w:val="21"/>
                      <w:szCs w:val="21"/>
                      <w14:textFill>
                        <w14:solidFill>
                          <w14:schemeClr w14:val="tx1"/>
                        </w14:solidFill>
                      </w14:textFill>
                    </w:rPr>
                    <w:t>4.74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23"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p>
              </w:tc>
              <w:tc>
                <w:tcPr>
                  <w:tcW w:w="1389"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山西</w:t>
                  </w:r>
                </w:p>
              </w:tc>
              <w:tc>
                <w:tcPr>
                  <w:tcW w:w="1042"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井水</w:t>
                  </w:r>
                </w:p>
              </w:tc>
              <w:tc>
                <w:tcPr>
                  <w:tcW w:w="1147" w:type="pct"/>
                  <w:vAlign w:val="center"/>
                </w:tcPr>
                <w:p>
                  <w:pPr>
                    <w:adjustRightInd w:val="0"/>
                    <w:snapToGrid w:val="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4</w:t>
                  </w:r>
                  <w:r>
                    <w:rPr>
                      <w:color w:val="000000" w:themeColor="text1"/>
                      <w:sz w:val="21"/>
                      <w:szCs w:val="21"/>
                      <w14:textFill>
                        <w14:solidFill>
                          <w14:schemeClr w14:val="tx1"/>
                        </w14:solidFill>
                      </w14:textFill>
                    </w:rPr>
                    <w:t>.36</w:t>
                  </w:r>
                </w:p>
              </w:tc>
              <w:tc>
                <w:tcPr>
                  <w:tcW w:w="897" w:type="pct"/>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.5</w:t>
                  </w:r>
                </w:p>
              </w:tc>
            </w:tr>
          </w:tbl>
          <w:p>
            <w:pPr>
              <w:adjustRightInd w:val="0"/>
              <w:snapToGrid w:val="0"/>
              <w:ind w:firstLine="315" w:firstLineChars="150"/>
              <w:rPr>
                <w:color w:val="000000" w:themeColor="text1"/>
                <w:sz w:val="22"/>
                <w:szCs w:val="22"/>
                <w14:textFill>
                  <w14:solidFill>
                    <w14:schemeClr w14:val="tx1"/>
                  </w14:solidFill>
                </w14:textFill>
              </w:rPr>
            </w:pPr>
            <w:r>
              <w:rPr>
                <w:color w:val="000000" w:themeColor="text1"/>
                <w14:textFill>
                  <w14:solidFill>
                    <w14:schemeClr w14:val="tx1"/>
                  </w14:solidFill>
                </w14:textFill>
              </w:rPr>
              <w:t>备注：仪器对</w:t>
            </w:r>
            <w:r>
              <w:rPr>
                <w:color w:val="000000" w:themeColor="text1"/>
                <w:vertAlign w:val="superscript"/>
                <w14:textFill>
                  <w14:solidFill>
                    <w14:schemeClr w14:val="tx1"/>
                  </w14:solidFill>
                </w14:textFill>
              </w:rPr>
              <w:t>226</w:t>
            </w:r>
            <w:r>
              <w:rPr>
                <w:color w:val="000000" w:themeColor="text1"/>
                <w14:textFill>
                  <w14:solidFill>
                    <w14:schemeClr w14:val="tx1"/>
                  </w14:solidFill>
                </w14:textFill>
              </w:rPr>
              <w:t>Ra的检出下限为0.83mBq/L</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同时根据《2020年陕西省生态环境状况公报》，2020年全省辐射环境质量总体良好。陕西环保大厦等7个辐射环境自动监测站的空气吸收剂量率均属于正常环境水平；西安市沙坡等全省23个陆地监测点累积剂量测得的空气吸收剂量率属于正常环境水平；我省20个土壤监测点样品中放射性活度浓度属于正常环境水平；长江、黄河两大水系流经我省支流的9个断面、26个城市集中式饮用水水源地及1个地下水水体样品中放射性活度浓度属于正常环境水平；西安市钟楼等65个电磁环境监测点、13个电磁场源周围环境监测点监测结果正常；西北核技术研究所等3个国家重点监管的核与辐射设施周围辐射环境质量未见异常；陕西省放射性废物收贮管理中心废物暂存库周围辐射环境质量状况良好。</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根据《2020年甘肃省生态环境状况公报》，</w:t>
            </w:r>
            <w:r>
              <w:rPr>
                <w:rFonts w:hint="eastAsia"/>
                <w:color w:val="000000" w:themeColor="text1"/>
                <w:sz w:val="24"/>
                <w:szCs w:val="24"/>
                <w:lang w:eastAsia="zh-CN"/>
                <w14:textFill>
                  <w14:solidFill>
                    <w14:schemeClr w14:val="tx1"/>
                  </w14:solidFill>
                </w14:textFill>
              </w:rPr>
              <w:t>2020年</w:t>
            </w:r>
            <w:r>
              <w:rPr>
                <w:rFonts w:hint="eastAsia"/>
                <w:color w:val="000000" w:themeColor="text1"/>
                <w:sz w:val="24"/>
                <w:szCs w:val="24"/>
                <w:lang w:val="en-US" w:eastAsia="zh-CN"/>
                <w14:textFill>
                  <w14:solidFill>
                    <w14:schemeClr w14:val="tx1"/>
                  </w14:solidFill>
                </w14:textFill>
              </w:rPr>
              <w:t>全省</w:t>
            </w:r>
            <w:r>
              <w:rPr>
                <w:rFonts w:hint="eastAsia"/>
                <w:color w:val="000000" w:themeColor="text1"/>
                <w:sz w:val="24"/>
                <w:szCs w:val="24"/>
                <w:lang w:eastAsia="zh-CN"/>
                <w14:textFill>
                  <w14:solidFill>
                    <w14:schemeClr w14:val="tx1"/>
                  </w14:solidFill>
                </w14:textFill>
              </w:rPr>
              <w:t>辐射环境质量总体良好。</w:t>
            </w:r>
            <w:r>
              <w:rPr>
                <w:rFonts w:hint="eastAsia"/>
                <w:color w:val="000000" w:themeColor="text1"/>
                <w:sz w:val="24"/>
                <w:szCs w:val="24"/>
                <w:lang w:val="en-US" w:eastAsia="zh-CN"/>
                <w14:textFill>
                  <w14:solidFill>
                    <w14:schemeClr w14:val="tx1"/>
                  </w14:solidFill>
                </w14:textFill>
              </w:rPr>
              <w:t>全省累积剂量测得的</w:t>
            </w:r>
            <w:r>
              <w:rPr>
                <w:rFonts w:hint="eastAsia"/>
                <w:color w:val="000000" w:themeColor="text1"/>
                <w:sz w:val="24"/>
                <w:szCs w:val="24"/>
                <w:lang w:eastAsia="zh-CN"/>
                <w14:textFill>
                  <w14:solidFill>
                    <w14:schemeClr w14:val="tx1"/>
                  </w14:solidFill>
                </w14:textFill>
              </w:rPr>
              <w:t>γ辐射空气吸收剂量率</w:t>
            </w:r>
            <w:r>
              <w:rPr>
                <w:rFonts w:hint="eastAsia"/>
                <w:color w:val="000000" w:themeColor="text1"/>
                <w:sz w:val="24"/>
                <w:szCs w:val="24"/>
                <w:lang w:val="en-US" w:eastAsia="zh-CN"/>
                <w14:textFill>
                  <w14:solidFill>
                    <w14:schemeClr w14:val="tx1"/>
                  </w14:solidFill>
                </w14:textFill>
              </w:rPr>
              <w:t>监测结果为85.5~140nGy/h，均在正常范围内。地表水放射性核素含量与2019年处于同一水平。土壤放射性核素监测数据在甘肃省土壤放射性核素环境本底值中，属正常环境水平。</w:t>
            </w:r>
            <w:r>
              <w:rPr>
                <w:rFonts w:hint="default" w:ascii="Times New Roman" w:hAnsi="Times New Roman" w:cs="Times New Roman"/>
                <w:color w:val="000000" w:themeColor="text1"/>
                <w:sz w:val="24"/>
                <w:szCs w:val="24"/>
                <w:lang w:eastAsia="zh-CN"/>
                <w14:textFill>
                  <w14:solidFill>
                    <w14:schemeClr w14:val="tx1"/>
                  </w14:solidFill>
                </w14:textFill>
              </w:rPr>
              <w:t>环境电磁辐射水平低于《电磁环境控制限值》（GB8702-2014）规定的公众暴露控制限值。</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cs="Times New Roman"/>
                <w:color w:val="000000" w:themeColor="text1"/>
                <w:sz w:val="24"/>
                <w:szCs w:val="24"/>
                <w:lang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根据《2020年内蒙古自治区生态环境状况公报》，2020年</w:t>
            </w:r>
            <w:r>
              <w:rPr>
                <w:rFonts w:ascii="宋体" w:hAnsi="宋体" w:eastAsia="宋体" w:cs="宋体"/>
                <w:color w:val="000000" w:themeColor="text1"/>
                <w:sz w:val="24"/>
                <w:szCs w:val="24"/>
                <w14:textFill>
                  <w14:solidFill>
                    <w14:schemeClr w14:val="tx1"/>
                  </w14:solidFill>
                </w14:textFill>
              </w:rPr>
              <w:t>全区辐射环境质量总体良好，环境电离辐射水平处于本底涨落范围内，环境电磁辐射水平低于电磁环境控制限值。空气吸收剂量率和累积剂量处于本底涨落范围内。气溶胶和沉降物中天然放射性核素活度浓度处于天然本底水平，人工放射性核素活度浓度未见异常。土壤、生物样品中天然放射性核素活度浓度均处于天然本底水平，人工放射性核素活度浓度未见异常。</w:t>
            </w:r>
            <w:r>
              <w:rPr>
                <w:rFonts w:hint="default" w:ascii="Times New Roman" w:hAnsi="Times New Roman" w:cs="Times New Roman"/>
                <w:color w:val="000000" w:themeColor="text1"/>
                <w:sz w:val="24"/>
                <w:szCs w:val="24"/>
                <w:lang w:eastAsia="zh-CN"/>
                <w14:textFill>
                  <w14:solidFill>
                    <w14:schemeClr w14:val="tx1"/>
                  </w14:solidFill>
                </w14:textFill>
              </w:rPr>
              <w:t>全区重点河流水中总α和总β活度浓度处于正常环境水平，集中式饮用水中总α和总β活度浓度低于《生活饮用水卫生标准》（GB5749-2006）的指导值。环境电磁辐射水平低于《电磁环境控制限值》（GB8702-2014）规定的公众暴露控制限值。</w:t>
            </w:r>
          </w:p>
          <w:p>
            <w:pPr>
              <w:pStyle w:val="28"/>
              <w:numPr>
                <w:ilvl w:val="0"/>
                <w:numId w:val="0"/>
              </w:numPr>
              <w:spacing w:line="360" w:lineRule="auto"/>
              <w:ind w:leftChars="0" w:firstLine="480" w:firstLineChars="200"/>
              <w:rPr>
                <w:rFonts w:hint="default" w:ascii="Times New Roman" w:hAnsi="Times New Roman" w:cs="Times New Roman"/>
                <w:b/>
                <w:bCs/>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2020年宁夏生态环境状况公报》，2020年，全区电离辐射水平处于本底涨落范围内。实时连续空气吸收剂量率和累积剂量处于天然本底涨落范围内。空气中天然放射性核素活度浓度处于本底水平，人工放射性核素活度浓度未见异常。宁夏黄河国控断面水中总α和总</w:t>
            </w:r>
            <w:r>
              <w:rPr>
                <w:rFonts w:hint="default" w:ascii="Times New Roman" w:hAnsi="Times New Roman" w:cs="Times New Roman"/>
                <w:color w:val="000000" w:themeColor="text1"/>
                <w:sz w:val="24"/>
                <w:szCs w:val="24"/>
                <w:lang w:eastAsia="zh-CN"/>
                <w14:textFill>
                  <w14:solidFill>
                    <w14:schemeClr w14:val="tx1"/>
                  </w14:solidFill>
                </w14:textFill>
              </w:rPr>
              <w:t>β</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活度浓度未见异常，处于本底水平。集中式饮用水水源地水及银川市地下水中总a和总</w:t>
            </w:r>
            <w:r>
              <w:rPr>
                <w:rFonts w:hint="default" w:ascii="Times New Roman" w:hAnsi="Times New Roman" w:cs="Times New Roman"/>
                <w:color w:val="000000" w:themeColor="text1"/>
                <w:sz w:val="24"/>
                <w:szCs w:val="24"/>
                <w:lang w:eastAsia="zh-CN"/>
                <w14:textFill>
                  <w14:solidFill>
                    <w14:schemeClr w14:val="tx1"/>
                  </w14:solidFill>
                </w14:textFill>
              </w:rPr>
              <w:t>β</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活度浓度低于《生活饮用水卫生标准》(GB5749-2006)规定的指导值；地下水中天然铀和钍浓度、镭-226活度浓度均未见异常。土壤中天然放射性核素活度浓度处于本底水平，人工放射性核素活度浓度未见异常。宁夏放射性废物暂存库周围环境γ辐射空气吸收剂量率处于天然本底涨落范围内，气溶胶中总</w:t>
            </w:r>
            <w:r>
              <w:rPr>
                <w:rFonts w:hint="default" w:ascii="Times New Roman" w:hAnsi="Times New Roman" w:cs="Times New Roman"/>
                <w:color w:val="000000" w:themeColor="text1"/>
                <w:sz w:val="24"/>
                <w:szCs w:val="24"/>
                <w:lang w:eastAsia="zh-CN"/>
                <w14:textFill>
                  <w14:solidFill>
                    <w14:schemeClr w14:val="tx1"/>
                  </w14:solidFill>
                </w14:textFill>
              </w:rPr>
              <w:t>β</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和水中，总α、总</w:t>
            </w:r>
            <w:r>
              <w:rPr>
                <w:rFonts w:hint="default" w:ascii="Times New Roman" w:hAnsi="Times New Roman" w:cs="Times New Roman"/>
                <w:color w:val="000000" w:themeColor="text1"/>
                <w:sz w:val="24"/>
                <w:szCs w:val="24"/>
                <w:lang w:eastAsia="zh-CN"/>
                <w14:textFill>
                  <w14:solidFill>
                    <w14:schemeClr w14:val="tx1"/>
                  </w14:solidFill>
                </w14:textFill>
              </w:rPr>
              <w:t>β</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活度浓度、生物和土壤中放射性核素活度浓度未见异常。</w:t>
            </w:r>
          </w:p>
          <w:p>
            <w:pPr>
              <w:pStyle w:val="28"/>
              <w:numPr>
                <w:ilvl w:val="0"/>
                <w:numId w:val="0"/>
              </w:numPr>
              <w:spacing w:line="360" w:lineRule="auto"/>
              <w:ind w:leftChars="0" w:firstLine="480" w:firstLineChars="200"/>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根据《2020年山西省生态环境状况公报》，</w:t>
            </w:r>
            <w:r>
              <w:rPr>
                <w:rFonts w:hint="default" w:ascii="Times New Roman" w:hAnsi="Times New Roman" w:eastAsia="宋体" w:cs="Times New Roman"/>
                <w:color w:val="000000" w:themeColor="text1"/>
                <w:sz w:val="24"/>
                <w:szCs w:val="24"/>
                <w14:textFill>
                  <w14:solidFill>
                    <w14:schemeClr w14:val="tx1"/>
                  </w14:solidFill>
                </w14:textFill>
              </w:rPr>
              <w:t>2020年度</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全省</w:t>
            </w:r>
            <w:r>
              <w:rPr>
                <w:rFonts w:hint="default" w:ascii="Times New Roman" w:hAnsi="Times New Roman" w:eastAsia="宋体" w:cs="Times New Roman"/>
                <w:color w:val="000000" w:themeColor="text1"/>
                <w:sz w:val="24"/>
                <w:szCs w:val="24"/>
                <w14:textFill>
                  <w14:solidFill>
                    <w14:schemeClr w14:val="tx1"/>
                  </w14:solidFill>
                </w14:textFill>
              </w:rPr>
              <w:t>辐射环境质量总体良好。自动站空气吸收剂量率和累积剂量处于当地天然本底涨落范围内。气溶胶、沉降物、土壤、地表水、城市地下水中天然放射性核素活度浓度均处于天然本底水平，人工放射性核素活度浓度均未见异常；空气（水蒸汽）和降水中氚活度浓度、空气中气态放射性碘同位素未见异常；饮用地下水中总α和总β活度浓度低于《生活饮用水卫生标准》（GB 5749-2006）规定的放射性指标指导值；环境电磁辐射水平低于《电磁辐射控制限值》（GB 8702-2014）中规定的公众曝露限值，电磁环境质量状况良好。</w:t>
            </w:r>
          </w:p>
          <w:p>
            <w:pPr>
              <w:pStyle w:val="28"/>
              <w:numPr>
                <w:ilvl w:val="0"/>
                <w:numId w:val="0"/>
              </w:numPr>
              <w:spacing w:line="360" w:lineRule="auto"/>
              <w:ind w:leftChars="0"/>
              <w:rPr>
                <w:rFonts w:hint="default"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4、</w:t>
            </w:r>
            <w:r>
              <w:rPr>
                <w:b/>
                <w:bCs/>
                <w:color w:val="000000" w:themeColor="text1"/>
                <w:sz w:val="24"/>
                <w14:textFill>
                  <w14:solidFill>
                    <w14:schemeClr w14:val="tx1"/>
                  </w14:solidFill>
                </w14:textFill>
              </w:rPr>
              <w:t>生态环境</w:t>
            </w:r>
            <w:r>
              <w:rPr>
                <w:rFonts w:hint="eastAsia"/>
                <w:b/>
                <w:bCs/>
                <w:color w:val="000000" w:themeColor="text1"/>
                <w:sz w:val="24"/>
                <w:lang w:val="en-US" w:eastAsia="zh-CN"/>
                <w14:textFill>
                  <w14:solidFill>
                    <w14:schemeClr w14:val="tx1"/>
                  </w14:solidFill>
                </w14:textFill>
              </w:rPr>
              <w:t>质量现状</w:t>
            </w:r>
          </w:p>
          <w:p>
            <w:pPr>
              <w:spacing w:line="360" w:lineRule="auto"/>
              <w:ind w:firstLine="480" w:firstLineChars="200"/>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（1）生态功能区划</w:t>
            </w:r>
          </w:p>
          <w:p>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勘查区涉及陕西省榆林市、铜川市、咸阳市、渭南市、宝鸡市、延安市；根据《陕西省生态功能区划》，项目勘查区属长城沿线风沙草原生态区、黄土高原农牧生态区、渭河两侧黄土台塬农业生态功能区、关中平原城乡一体化生态功能区。</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勘查区涉及甘肃省平凉市、庆阳市，</w:t>
            </w:r>
            <w:r>
              <w:rPr>
                <w:rFonts w:hint="eastAsia"/>
                <w:color w:val="000000" w:themeColor="text1"/>
                <w:sz w:val="24"/>
                <w:lang w:val="en-US" w:eastAsia="zh-CN"/>
                <w14:textFill>
                  <w14:solidFill>
                    <w14:schemeClr w14:val="tx1"/>
                  </w14:solidFill>
                </w14:textFill>
              </w:rPr>
              <w:t>根据《甘肃省生态功能区划》，项目勘查区域属子午岭次生林水源涵养生态功能区、黄土残塬旱作农业强烈水土流失生态功能区、环县黄土丘陵滩地强烈水土流失牧农生态功能区、泾河谷地城镇与灌溉农业区、华亭农业生态功能区。</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勘查区涉及内蒙古自治区鄂尔多斯市的鄂托克前旗和乌审旗，</w:t>
            </w:r>
            <w:r>
              <w:rPr>
                <w:rFonts w:hint="eastAsia"/>
                <w:color w:val="000000" w:themeColor="text1"/>
                <w:sz w:val="24"/>
                <w:lang w:val="en-US" w:eastAsia="zh-CN"/>
                <w14:textFill>
                  <w14:solidFill>
                    <w14:schemeClr w14:val="tx1"/>
                  </w14:solidFill>
                </w14:textFill>
              </w:rPr>
              <w:t>根据《内蒙古自治区生态功能区划》，该区域</w:t>
            </w:r>
            <w:r>
              <w:rPr>
                <w:rFonts w:hint="eastAsia"/>
                <w:bCs/>
                <w:color w:val="000000" w:themeColor="text1"/>
                <w:sz w:val="24"/>
                <w:lang w:val="en-US" w:eastAsia="zh-CN"/>
                <w14:textFill>
                  <w14:solidFill>
                    <w14:schemeClr w14:val="tx1"/>
                  </w14:solidFill>
                </w14:textFill>
              </w:rPr>
              <w:t>属于防风固沙区。</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涉及宁夏回族自治区的银川市、吴忠市、固原市，根据《宁夏回族自治区生态功能区划》，该区域属银吴平原引黄灌溉农田生态亚区，毛乌素沙地边缘灵盐陶台地荒漠草原生态亚区，中部低山、丘陵、平原水旱混合农业开发生态亚区。</w:t>
            </w:r>
          </w:p>
          <w:p>
            <w:pPr>
              <w:pStyle w:val="28"/>
              <w:numPr>
                <w:ilvl w:val="0"/>
                <w:numId w:val="0"/>
              </w:numPr>
              <w:spacing w:line="360" w:lineRule="auto"/>
              <w:ind w:firstLine="480" w:firstLineChars="200"/>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涉及山西省吕梁市和临汾市区域，根据《山西省生态功能区划》，该区域属于晋西离柳煤焦业开发与农林牧业及水土保持生态功能区、晋西南部黄土塬农林牧业与水土保持生态功能区、管涔山汾河源头水源涵养与生物多样性保护生态功能区。</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t>（2）</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植物调查与评价</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①植被</w:t>
            </w: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咸阳市：境内优势树种有辽东栎、山杨、白桦、油松等。野生果类的品种主要有海棠、山杏、山桃、野山楂、李子、杜梨、君迁子、酸枣、沙棘和草莓等。野生油料植物有山核桃、漆树、连翘、松柏、花椒等。纤维植物主要有柳条、荆条、桑条、紫穗槐、马兰、枸树皮、芦苇、白茅等。野生动物资源：有鸟类14目30科140余种，兽类6目14科约40种，经济价值高的野生动物有狸、獾、鼬及鸣禽等。主要经济兽类有草兔、黄鼬、狗獾、赤狐、狍、艾虎。此外，比较重要的野生动物还有青鼬（黄猺）、花面狸、狼、林麝、野猪等。啮齿类的鼢鼠、岩松鼠、花鼠、达吾尔鼠，也有一定经济价值。经济鸟类有环颈雉、石鸡、赤麻鸭、绿头鸭、豆雁、岩鸽、白鹭、苍鹭、池鹭、鸢、老鹰、红脚隼、灰鹤、大鸨。此外，还有大量捕食鼠类的鸮类（猫头鹰）、雀鹰等，大量捕食昆虫，保护农、林、牧业的益鸟杜鹃、燕类等以及夜鹭、绿翅鸭、金雕、鹌鹑、珠颈斑鸠等经济鸟类。</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渭南市：有野生动物360多种，其中受国家保护的珍稀动物35种，如丹顶鹤、黑鹳、大天鹅、青羊、金鸡等。人工饲养的畜禽20多种，其中以秦川牛、关中驴、奶山羊等量大质优。全市有野生植物2500多种，栽培植物150多种，主要有小麦、玉米、谷子、薯类、豆类、棉花、烟叶、油菜、花生、芝麻、苹果、酥梨、葡萄、花椒、红枣、柿子、核桃、板栗、杏、桃等。</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宝鸡市：植物区系以华北区系成分为主，华中、中国喜马拉雅区系成分也占重要地位。森林植物主要集中在秦岭和关山，秦岭山地随海拔递升，依次有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"https://baike.baidu.com/item/%E8%90%BD%E5%8F%B6%E9%98%94%E5%8F%B6%E6%9E%97"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落叶阔叶林</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"https://baike.baidu.com/item/%E9%92%88%E9%98%94%E5%8F%B6%E6%B7%B7%E4%BA%A4%E6%9E%97"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针阔叶混交林</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"https://baike.baidu.com/item/%E9%92%88%E5%8F%B6%E6%9E%97"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针叶林</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和高山灌丛草甸等植被类型。植物资源丰富，宝鸡境内有资源植物2100多种，仅秦岭主峰太白山就有种子植物1550多种。特别是宝鸡有极其丰富的经济植物，据统计共有经济植物1000余种，太白山已发现的药用植物就有510多种，有广阔的综合利用前途。渭北台原、渭河平原主要为大田农作物、蔬菜、果园和城市绿化等栽培植物类型。全市森林覆盖率53.78%。山区有林地面积64.3万公顷，种植作物包括苹果、</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"https://baike.baidu.com/item/%E6%A0%B8%E6%A1%83/549550"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核桃</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"https://baike.baidu.com/item/%E6%9D%BF%E6%A0%97/6064"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板栗</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"https://baike.baidu.com/item/%E6%9F%BF%E5%AD%90/62552"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柿子</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"https://baike.baidu.com/item/%E6%A2%A8/11871"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梨</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"https://baike.baidu.com/item/%E6%A1%83%E5%AD%90/53936"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桃子</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等。秦岭、关山的天然森林和在太白县的原始森林中还有野生果树，如</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"https://baike.baidu.com/item/%E7%8C%95%E7%8C%B4%E6%A1%83/282710"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猕猴桃</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"https://baike.baidu.com/item/%E4%BA%94%E5%91%B3%E5%AD%90/304918"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五味子</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"https://baike.baidu.com/item/%E5%B1%B1%E8%8D%86%E5%AD%90/3020541"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山荆子</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"https://baike.baidu.com/item/%E5%B1%B1%E6%A5%82/200032"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山楂</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"https://baike.baidu.com/item/%E6%B2%99%E6%A3%98%E6%9E%9C"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沙棘果</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等近百种。野生中药材有500多种，其中有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"https://baike.baidu.com/item/%E5%85%9A%E5%8F%82/13922054"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党参</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"https://baike.baidu.com/item/%E5%BD%93%E5%BD%92/760994"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当归</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"https://baike.baidu.com/item/%E9%BB%84%E8%8A%AA"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黄芪</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"https://baike.baidu.com/item/%E5%A4%A9%E9%BA%BB/274538"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天麻</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"https://baike.baidu.com/item/%E6%9D%9C%E4%BB%B2/234"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杜仲</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"https://baike.baidu.com/item/%E5%B1%B1%E8%90%B8"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山萸</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"https://baike.baidu.com/item/%E8%B4%9D%E6%AF%8D"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贝母</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等。野生动物资源主要分布在秦岭、关山山地，市境内有国家一级保护珍贵动物10种，即</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"https://baike.baidu.com/item/%E5%A4%A7%E7%86%8A%E7%8C%AB/34935"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大熊猫</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"https://baike.baidu.com/item/%E9%87%91%E4%B8%9D%E7%8C%B4/37026"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金丝猴</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"https://baike.baidu.com/item/%E7%BE%9A%E7%89%9B"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羚牛</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"https://baike.baidu.com/item/%E7%A7%A6%E5%B2%AD%E8%99%8E"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秦岭虎</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"https://baike.baidu.com/item/%E4%BA%91%E8%B1%B9/395401"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云豹</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"https://baike.baidu.com/item/%E8%B1%B9/2883410"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豹</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"https://baike.baidu.com/item/%E6%9C%B1%E9%B9%AE/157704"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朱鹮</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"https://baike.baidu.com/item/%E5%A4%A7%E9%B8%A8"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大鸨</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"https://baike.baidu.com/item/%E9%BB%91%E9%B9%B3"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黑鹳</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"https://baike.baidu.com/item/%E7%99%BD%E8%82%A9%E9%9B%95" \t "https://baike.baidu.com/item/%E5%AE%9D%E9%B8%A1/_blank"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白肩雕</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；另有国家二级保护动物18种。</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榆林市：榆林市野生动物包括啮齿类鼠科、鸟类中的沙燕、麻雀以及昆虫纲中的粪金龟等，兽类原有狼、狐、狗獾（俗名猯）、黄鼬、石貂（俗名扫雪）、虎鼬（俗名花地狗）、黄羊、豹等；野禽有灰鹭、白琶鹭、黑鹳、天鹅、大鸨（野雁）、鸳鸯、金鵰、鹌鹑、秃鹫、苍鹰、灰鹤、猫头鹰、鸬鹚、豆雁（大雁）等。多见的有喜鹊、乌鸦、班鸠、雀鹰、啄木鸟、岩鸽（野鸽）、石鸡、环颈雉（野鸡）、野鸭、毛腿沙鸡、云雀、家燕、沙燕（雨燕）、杜鹃、麻雀等。</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延安市：境内木本植物有6纲19目，83科，202属，540种，其中乔木214种；天然草类有370多种；野生药材植物：有300多种。鸟类有14目28科77种；兽类有5目11科29种；有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"https://baike.baidu.com/item/%E7%BA%A2%E8%84%96%E6%B8%B8%E8%9B%87"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红脖游蛇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"https://baike.baidu.com/item/%E9%BB%91%E8%84%8A%E8%9B%87"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黑脊蛇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"https://baike.baidu.com/item/%E9%BB%84%E8%84%8A%E6%B8%B8%E8%9B%87"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黄脊游蛇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"https://baike.baidu.com/item/%E7%99%BD%E6%9D%A1%E9%94%A6%E8%9B%87"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白条锦蛇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、菜花烙铁蛇、</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"https://baike.baidu.com/item/%E4%B9%8C%E6%A2%A2%E8%9B%87/322909"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乌梢蛇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"https://baike.baidu.com/item/%E9%BB%84%E9%93%BE%E8%9B%87"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黄链蛇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"https://baike.baidu.com/item/%E8%9D%AE%E8%9B%87/13216028"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蝮蛇</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，麻晰、</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"https://baike.baidu.com/item/%E5%A4%A7%E8%9F%BE%E8%9C%8D"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大蟾蜍</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"https://baike.baidu.com/item/%E8%8A%B1%E8%83%8C%E8%9F%BE%E8%9C%8D"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花背蟾蜍</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"https://baike.baidu.com/item/%E6%97%A0%E8%B9%BC%E5%A3%81%E8%99%8E"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无蹼壁虎</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"https://baike.baidu.com/item/%E9%BB%91%E6%96%91%E8%9B%99"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黑斑蛙</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"https://baike.baidu.com/item/%E4%B8%AD%E5%9B%BD%E6%9E%97%E8%9B%99"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中国林蛙</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"https://baike.baidu.com/item/%E8%9D%B4%E8%9D%B6/5811"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蝴蝶</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"https://baike.baidu.com/item/%E8%9C%BB%E8%9C%93/962"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蜻蜓</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"https://baike.baidu.com/item/%E8%9F%8B%E8%9F%80/769303"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蟋蟀</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"https://baike.baidu.com/item/%E4%B8%83%E6%98%9F%E7%93%A2%E8%99%AB/83157"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七星瓢虫</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"https://baike.baidu.com/item/%E9%BA%A6%E8%9B%BE"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麦蛾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"https://baike.baidu.com/item/%E8%8F%9C%E8%9B%BE"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菜蛾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"https://baike.baidu.com/item/%E8%9E%9F%E8%9B%BE"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螟蛾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"https://baike.baidu.com/item/%E7%89%9B%E8%99%BB/34186"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牛虻</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、斑虻、飞蝗、</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"https://baike.baidu.com/item/%E8%9D%88%E8%9D%88/477"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蝈蝈</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"https://baike.baidu.com/item/%E8%9C%9C%E8%9C%82/37730"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蜜蜂</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"https://baike.baidu.com/item/%E8%83%A1%E8%9C%82/37732" \t "https://baike.baidu.com/item/%E5%BB%B6%E5%AE%89/_blank"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胡蜂</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平凉市：甘肃省主要农林产品生产基地和畜牧业、经济作物的主产区，盛产小麦、玉米、谷类、荞麦、油菜、胡麻、林果、烤烟等。旱作山区盛产胡麻、葵花、土豆、莜麦和豆类等；阴湿山区林草茂盛，是西北重要的畜牧业基地、皮毛集散地和各类中药材的重要产地。</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庆阳市：庆阳市</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"https://baike.baidu.com/item/%E5%AD%90%E5%8D%88%E5%B2%AD"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子午岭</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40621公顷次生林，为中国黄土高原上面积最大、植被最好的水源涵养林，有“天然水库”之称，生长着松树、柏树、桦树等200多种用材和经济林木；栖息着</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"https://baike.baidu.com/item/%E8%B1%B9"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豹</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"https://baike.baidu.com/item/%E7%8B%8D%E9%B9%BF"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狍鹿</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"https://baike.baidu.com/item/%E7%81%B5%E7%8C%AB"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灵猫</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"https://baike.baidu.com/item/%E9%BB%91%E9%B9%B3"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黑鹳</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、鸳鸯等150多种野生动物，2006年经国务院批准，成立</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"https://baike.baidu.com/item/%E5%AD%90%E5%8D%88%E5%B2%AD%E5%9B%BD%E5%AE%B6%E7%BA%A7%E8%87%AA%E7%84%B6%E4%BF%9D%E6%8A%A4%E5%8C%BA"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子午岭国家级自然保护区</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，子午岭海拔在1600至1907米之间，林区内峰峦叠翠，谷壑幽深，登岭远眺，群山连绵，峥嵘突兀，云海翻腾，保护区森林覆盖率88.3%。</w:t>
            </w:r>
          </w:p>
          <w:p>
            <w:pPr>
              <w:pStyle w:val="28"/>
              <w:numPr>
                <w:ilvl w:val="0"/>
                <w:numId w:val="0"/>
              </w:numPr>
              <w:spacing w:line="360" w:lineRule="auto"/>
              <w:ind w:firstLine="480" w:firstLineChars="200"/>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银川市：总面积2.67万公顷，有天然次生林1.23万公顷，森林覆盖率22.8%。林种主要有云杉、油松、山杨等乔木，还有山榆、山杏等灌木。此外，有野生药用植物40多种，国家保护的珍稀动物有獐子、马鹿、蓝马鸡、青羊、狐狸等32种。贺兰山东麓地区，其气候、土壤、地理条件接近甚至优于法国优质葡萄产区—波尔多地区，是世界优质葡萄栽培的最佳生态区之一。</w:t>
            </w: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鄂尔多斯市：鄂尔多斯植物区系属于欧亚草原区和亚洲荒漠区，总属于泛北植物区城，东部与中国华北森林区为邻，东南部与黄土高原区衔接，西与阿拉善荒漠区相连。因此，植物种类较为丰富和复杂。野生种子植物和蕨类植物720种、91变种、11亚种，共计822种，分属于83科、330属，野生檀物科、属、种数分别占内蒙古自治区野生植物科、属、种总数的62.4%、45.83%和37.93%。鄂尔多斯东部干草原省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"https://baike.baidu.com/item/%E9%BB%84%E7%BE%8A/1347951"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黄羊</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"https://baike.baidu.com/item/%E5%88%BA%E7%8C%AC/37604"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刺猬</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"https://baike.baidu.com/item/%E8%89%BE%E9%BC%AC/4835496"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艾鼬</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"https://baike.baidu.com/item/%E9%BB%84%E9%BC%AC/709676"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黄鼬</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"https://baike.baidu.com/item/%E8%B5%A4%E7%8B%90/618342"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赤狐</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、兔狲等典型草原动物，爬行类中的白条锦蛇、丽斑麻蜥和草原沙蜥为优势种。西部鄂尔多斯荒溴草原省主要分布有原羚、子午沙土鼠、短耳仓鼠、</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"https://baike.baidu.com/item/%E7%BE%BD%E5%B0%BE%E8%B7%B3%E9%BC%A0/10605921"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羽尾跳鼠</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、五趾儿颅跳鼠、长尾倭三趾跳鼠、</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"https://baike.baidu.com/item/%E8%99%8E%E9%BC%AC/1476582" \t "https://baike.baidu.com/item/%E9%84%82%E5%B0%94%E5%A4%9A%E6%96%AF/_blank"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虎鼬</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、沙狐和大耳猬等.由于荒漠中辐射热量大，借地温孵化的沙生蜥蜴益形繁多，得到极大发展，代表种有荒漠麻蜥、变色沙蜥、密点麻蜥。</w:t>
            </w: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吴忠市：境内饲用植物常见的禾本科优良牧草有无芒雀麦、垂穗披碱草、隐子草、孤草、草地早熟禾、垂穗鹅冠草、蒙古水草、画眉草、戈壁针沙生针茅、短花针茅、长芒草、粒草、虎尾草、中亚白草、稗草、落草、马唐等；豆类植物有扁蓿豆、-色棘豆、薄萼棘豆、牛枝子、二色胡枝子、多色胡枝子、沙珍棘豆、草木、获黄芪、春黄芪、乳白花黄芪、野大豆、细叶百脉、根牧地香豆、红花岩黄芪、歪头菜、狭叶火米袋等。药用植物甘草、麻黄、柴胡、锁阳、苦豆子、地骨皮、黄芪、蒺藜、茵陈等。水生动物有水獭、水貂、鲤鱼、鲫鱼、麦穗鱼、长须铜鱼、瓦氏雅罗鱼、鲶鱼、鲇鱼、白鱼、沙鱼、鸽子鱼、泥鳅、鳖、蚌、螺、虾、蟹等。兽类有狼、狐狸、獾、黄鼠狼、黄羊、青羊、蒙古免、跳鼠、黄鼠等。禽类有野鸭、沙鸥、麻雀、小海鸥、猫头鹰、乌鸦、喜鹊、鸿雁、斑鸠、布谷鸟、鹰、沙鸡、鸢、雉鸡、大白鹭、衰羽鹤、石鸡。环节、节肢、软体动物有河套沙晰、乌龟、丽斑麻晰、蛇、齿突蟾、青蛙、中国林蛙。昆虫类有蝴蝶、靖蜓、黄蜂、土蜂、螳螂、蟋蟀等。</w:t>
            </w: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固原市：固原市境内六盘山自然保护区经济价值较高的植物蕨菜、沙棘、发菜和国家重点保护的黄芪、桃儿七和北方少见的窝儿七、暴马丁香等。珍贵的树种有云杉、油松、华山松和水曲柳等。野生药材植物有530种，临床使用的有贝母、刺五加、三七、党参和当归数十种。林区还栖息着国家一类保护动物金钱豹，三类保护动物林麝、金雕、红腹锦鸡。六盘山区昆虫丰富，其优势类群有尺蛾、夜蛾、天蛾、常蛾、十二羽蛾、长角蛾、天蚕蛾和流萤等。波水蜡蛾在北京农业大学仅有雌雄各一只标本，而在六盘山区却极为常见。</w:t>
            </w:r>
          </w:p>
          <w:p>
            <w:pPr>
              <w:pStyle w:val="28"/>
              <w:numPr>
                <w:ilvl w:val="0"/>
                <w:numId w:val="0"/>
              </w:numPr>
              <w:spacing w:line="360" w:lineRule="auto"/>
              <w:ind w:firstLine="480" w:firstLineChars="200"/>
              <w:rPr>
                <w:rFonts w:hint="default"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吕梁市：吕梁市野生动物分属4纲24目213种，资源比较丰富，主要集中在交城、交口、兴县、方山、岚县等地。其中鸟类有14目16科160，兽类有6目16科36种，属于国家一级保护野生动物的有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"https://baike.baidu.com/item/%E8%A4%90%E9%A9%AC%E9%B8%A1"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褐马鸡</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"https://baike.baidu.com/item/%E9%87%91%E9%9B%95"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金雕</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、黑鹳、</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"https://baike.baidu.com/item/%E9%87%91%E9%92%B1%E8%B1%B9/991"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金钱豹</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四种；国家二级保护野生动物有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"https://baike.baidu.com/item/%E8%8B%8D%E9%B9%B0"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苍鹰</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、大鸢、</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"https://baike.baidu.com/item/%E9%9B%80%E9%B9%B0"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雀鹰</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"https://baike.baidu.com/item/%E4%B9%8C%E9%9B%95"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乌雕</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"https://baike.baidu.com/item/%E8%8D%89%E5%8E%9F%E9%9B%95"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草原雕</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"https://baike.baidu.com/item/%E7%99%BD%E5%B0%BE%E9%B9%9E"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白尾鹞</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"https://baike.baidu.com/item/%E7%8C%8E%E9%9A%BC"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猎隼</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、红脚隼、</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"https://baike.baidu.com/item/%E7%BA%A2%E9%9A%BC"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红隼</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"https://baike.baidu.com/item/%E9%B8%B3%E9%B8%AF/10203899"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鸳鸯</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"https://baike.baidu.com/item/%E5%8E%9F%E9%BA%9D"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原麝</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、獐、</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"https://baike.baidu.com/item/%E9%BB%84%E7%BE%8A"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黄羊</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等20种。植物有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"https://baike.baidu.com/item/%E7%99%BD%E7%9A%AE%E6%9D%BE"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白皮松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"https://baike.baidu.com/item/%E6%B2%B9%E6%9D%BE"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油松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"https://baike.baidu.com/item/%E5%8D%8E%E5%8C%97%E8%90%BD%E5%8F%B6%E6%9D%BE" \t "https://baike.baidu.com/item/%E5%90%95%E6%A2%81/_blank"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华北落叶松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w:t>
            </w: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r>
              <w:rPr>
                <w:rFonts w:hint="eastAsia" w:cs="Times New Roman"/>
                <w:color w:val="000000" w:themeColor="text1"/>
                <w:kern w:val="2"/>
                <w:sz w:val="24"/>
                <w:szCs w:val="24"/>
                <w:lang w:val="en-US" w:eastAsia="zh-CN" w:bidi="ar-SA"/>
                <w14:textFill>
                  <w14:solidFill>
                    <w14:schemeClr w14:val="tx1"/>
                  </w14:solidFill>
                </w14:textFill>
              </w:rPr>
              <w:t>临汾市：临汾市植物资源丰富，除农作物外，现已调查到的种子植物有606种，分属97科、386属，占全省植物区系总种数的62.1%，总科数的81.7%，总属数的79.3%。在植物分布上，东南山区丘陵地带以栎类占优势；东部山地以</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"https://baike.baidu.com/item/%E6%B2%B9%E6%9D%BE/890953"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油松</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为主；太岳山区以油松、栎类为主；临汾盆地以</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"https://baike.baidu.com/item/%E6%9D%A8%E6%A0%91/3452"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杨树</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为主；吕梁山以</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"https://baike.baidu.com/item/%E4%BE%A7%E6%9F%8F/819347"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侧柏</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、石榆为主；西部黄土残塬丘陵植被区以侧柏、</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"https://baike.baidu.com/item/%E5%88%BA%E6%A7%90/824257"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刺槐</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为主。临汾森林面积较为贫乏，全市森林覆盖率28.9%。其中，天然林面积34.44万公顷，人工林面积20.03万公顷，木材蓄积量1675.14万立方米。野生动物种类丰富，陆栖脊椎动物300余种，其中鸟类243种，兽类45种，爬行类8种，两栖类4种。在全市动物种类中，属国家一级保护动物的有白鹤、</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"https://baike.baidu.com/item/%E9%BB%91%E9%B9%A4/15847349"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黑鹤</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和</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"https://baike.baidu.com/item/%E8%A4%90%E9%A9%AC%E9%B8%A1/225119"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褐马鸡</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3种；二类保护动物有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"https://baike.baidu.com/item/%E9%87%91%E9%92%B1%E8%B1%B9/991"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金钱豹</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"https://baike.baidu.com/item/%E5%8E%9F%E9%BA%9D/4443689"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原麝</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"https://baike.baidu.com/item/%E5%A4%A7%E5%A4%A9%E9%B9%85/347919"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大天鹅</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"https://baike.baidu.com/item/%E9%B8%B3%E9%B8%AF/10203899"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鸳鸯</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；三类保护动物有</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"https://baike.baidu.com/item/%E9%9D%92%E7%BE%8A/7261526"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青羊</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"https://baike.baidu.com/item/%E5%A4%A7%E9%B8%A8/352808"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大鸨</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"https://baike.baidu.com/item/%E9%87%91%E9%9B%95/49924"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金雕</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w:t>
            </w:r>
            <w:r>
              <w:rPr>
                <w:rFonts w:hint="eastAsia" w:cs="Times New Roman"/>
                <w:color w:val="000000" w:themeColor="text1"/>
                <w:kern w:val="2"/>
                <w:sz w:val="24"/>
                <w:szCs w:val="24"/>
                <w:lang w:val="en-US" w:eastAsia="zh-CN" w:bidi="ar-SA"/>
                <w14:textFill>
                  <w14:solidFill>
                    <w14:schemeClr w14:val="tx1"/>
                  </w14:solidFill>
                </w14:textFill>
              </w:rPr>
              <w:fldChar w:fldCharType="begin"/>
            </w:r>
            <w:r>
              <w:rPr>
                <w:rFonts w:hint="eastAsia" w:cs="Times New Roman"/>
                <w:color w:val="000000" w:themeColor="text1"/>
                <w:kern w:val="2"/>
                <w:sz w:val="24"/>
                <w:szCs w:val="24"/>
                <w:lang w:val="en-US" w:eastAsia="zh-CN" w:bidi="ar-SA"/>
                <w14:textFill>
                  <w14:solidFill>
                    <w14:schemeClr w14:val="tx1"/>
                  </w14:solidFill>
                </w14:textFill>
              </w:rPr>
              <w:instrText xml:space="preserve"> HYPERLINK "https://baike.baidu.com/item/%E7%8E%89%E5%B8%A6%E6%B5%B7%E9%9B%95/1441171" \t "https://baike.baidu.com/item/_blank" </w:instrText>
            </w:r>
            <w:r>
              <w:rPr>
                <w:rFonts w:hint="eastAsia" w:cs="Times New Roman"/>
                <w:color w:val="000000" w:themeColor="text1"/>
                <w:kern w:val="2"/>
                <w:sz w:val="24"/>
                <w:szCs w:val="24"/>
                <w:lang w:val="en-US" w:eastAsia="zh-CN" w:bidi="ar-SA"/>
                <w14:textFill>
                  <w14:solidFill>
                    <w14:schemeClr w14:val="tx1"/>
                  </w14:solidFill>
                </w14:textFill>
              </w:rPr>
              <w:fldChar w:fldCharType="separate"/>
            </w:r>
            <w:r>
              <w:rPr>
                <w:rFonts w:hint="eastAsia" w:cs="Times New Roman"/>
                <w:color w:val="000000" w:themeColor="text1"/>
                <w:kern w:val="2"/>
                <w:sz w:val="24"/>
                <w:szCs w:val="24"/>
                <w:lang w:val="en-US" w:eastAsia="zh-CN" w:bidi="ar-SA"/>
                <w14:textFill>
                  <w14:solidFill>
                    <w14:schemeClr w14:val="tx1"/>
                  </w14:solidFill>
                </w14:textFill>
              </w:rPr>
              <w:t>玉带海雕</w:t>
            </w:r>
            <w:r>
              <w:rPr>
                <w:rFonts w:hint="eastAsia" w:cs="Times New Roman"/>
                <w:color w:val="000000" w:themeColor="text1"/>
                <w:kern w:val="2"/>
                <w:sz w:val="24"/>
                <w:szCs w:val="24"/>
                <w:lang w:val="en-US" w:eastAsia="zh-CN" w:bidi="ar-SA"/>
                <w14:textFill>
                  <w14:solidFill>
                    <w14:schemeClr w14:val="tx1"/>
                  </w14:solidFill>
                </w14:textFill>
              </w:rPr>
              <w:fldChar w:fldCharType="end"/>
            </w:r>
            <w:r>
              <w:rPr>
                <w:rFonts w:hint="eastAsia" w:cs="Times New Roman"/>
                <w:color w:val="000000" w:themeColor="text1"/>
                <w:kern w:val="2"/>
                <w:sz w:val="24"/>
                <w:szCs w:val="24"/>
                <w:lang w:val="en-US" w:eastAsia="zh-CN" w:bidi="ar-SA"/>
                <w14:textFill>
                  <w14:solidFill>
                    <w14:schemeClr w14:val="tx1"/>
                  </w14:solidFill>
                </w14:textFill>
              </w:rPr>
              <w:t>等。</w:t>
            </w: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p>
          <w:p>
            <w:pPr>
              <w:pStyle w:val="28"/>
              <w:numPr>
                <w:ilvl w:val="0"/>
                <w:numId w:val="0"/>
              </w:numPr>
              <w:spacing w:line="360" w:lineRule="auto"/>
              <w:ind w:firstLine="480" w:firstLineChars="200"/>
              <w:rPr>
                <w:rFonts w:hint="eastAsia" w:cs="Times New Roman"/>
                <w:color w:val="000000" w:themeColor="text1"/>
                <w:kern w:val="2"/>
                <w:sz w:val="24"/>
                <w:szCs w:val="24"/>
                <w:lang w:val="en-US" w:eastAsia="zh-CN" w:bidi="ar-SA"/>
                <w14:textFill>
                  <w14:solidFill>
                    <w14:schemeClr w14:val="tx1"/>
                  </w14:solidFill>
                </w14:textFill>
              </w:rPr>
            </w:pPr>
          </w:p>
          <w:p>
            <w:pPr>
              <w:pStyle w:val="28"/>
              <w:numPr>
                <w:ilvl w:val="0"/>
                <w:numId w:val="0"/>
              </w:numPr>
              <w:spacing w:line="360" w:lineRule="auto"/>
              <w:ind w:firstLine="480" w:firstLineChars="200"/>
              <w:rPr>
                <w:rFonts w:hint="default" w:cs="Times New Roman"/>
                <w:color w:val="000000" w:themeColor="text1"/>
                <w:kern w:val="2"/>
                <w:sz w:val="24"/>
                <w:szCs w:val="24"/>
                <w:lang w:val="en-US" w:eastAsia="zh-CN" w:bidi="ar-SA"/>
                <w14:textFill>
                  <w14:solidFill>
                    <w14:schemeClr w14:val="tx1"/>
                  </w14:solidFill>
                </w14:textFill>
              </w:rPr>
            </w:pPr>
          </w:p>
          <w:p>
            <w:pPr>
              <w:pStyle w:val="28"/>
              <w:numPr>
                <w:ilvl w:val="0"/>
                <w:numId w:val="0"/>
              </w:numPr>
              <w:spacing w:line="360" w:lineRule="auto"/>
              <w:rPr>
                <w:rFonts w:hint="default" w:ascii="Times New Roman" w:hAnsi="Times New Roman" w:cs="Times New Roman"/>
                <w:color w:val="000000" w:themeColor="text1"/>
                <w:kern w:val="2"/>
                <w:sz w:val="24"/>
                <w:szCs w:val="24"/>
                <w:lang w:val="en-US"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805" w:hRule="atLeast"/>
        </w:trPr>
        <w:tc>
          <w:tcPr>
            <w:tcW w:w="5000" w:type="pct"/>
          </w:tcPr>
          <w:p>
            <w:pPr>
              <w:rPr>
                <w:rFonts w:eastAsia="黑体"/>
                <w:color w:val="000000" w:themeColor="text1"/>
                <w:w w:val="95"/>
                <w:sz w:val="28"/>
                <w14:textFill>
                  <w14:solidFill>
                    <w14:schemeClr w14:val="tx1"/>
                  </w14:solidFill>
                </w14:textFill>
              </w:rPr>
            </w:pPr>
            <w:r>
              <w:rPr>
                <w:rFonts w:eastAsia="黑体"/>
                <w:color w:val="000000" w:themeColor="text1"/>
                <w:w w:val="95"/>
                <w:sz w:val="28"/>
                <w14:textFill>
                  <w14:solidFill>
                    <w14:schemeClr w14:val="tx1"/>
                  </w14:solidFill>
                </w14:textFill>
              </w:rPr>
              <w:t>主要环境保护目标（列出名单及保护级别）：</w:t>
            </w:r>
          </w:p>
          <w:p>
            <w:pPr>
              <w:pStyle w:val="28"/>
              <w:numPr>
                <w:ilvl w:val="0"/>
                <w:numId w:val="0"/>
              </w:numPr>
              <w:spacing w:line="360" w:lineRule="auto"/>
              <w:ind w:leftChars="0" w:firstLine="480" w:firstLineChars="200"/>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pPr>
            <w:bookmarkStart w:id="9" w:name="_Hlk11074135"/>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本项目工作时间为2022-2026年，其中2022年钻孔位置已确定，2023-2026年钻孔的位置尚未确定。</w:t>
            </w:r>
          </w:p>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1、生态</w:t>
            </w:r>
            <w:r>
              <w:rPr>
                <w:rFonts w:hint="eastAsia"/>
                <w:b/>
                <w:bCs/>
                <w:color w:val="000000" w:themeColor="text1"/>
                <w:sz w:val="24"/>
                <w14:textFill>
                  <w14:solidFill>
                    <w14:schemeClr w14:val="tx1"/>
                  </w14:solidFill>
                </w14:textFill>
              </w:rPr>
              <w:t>环境敏感区</w:t>
            </w:r>
          </w:p>
          <w:p>
            <w:pPr>
              <w:spacing w:line="360" w:lineRule="auto"/>
              <w:ind w:firstLine="480" w:firstLineChars="200"/>
              <w:rPr>
                <w:rFonts w:hint="eastAsia" w:hAnsi="宋体"/>
                <w:color w:val="000000" w:themeColor="text1"/>
                <w:sz w:val="24"/>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w:t>
            </w:r>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周边环境敏感区分布情况及位置关系见表</w:t>
            </w:r>
            <w:r>
              <w:rPr>
                <w:rFonts w:hAnsi="宋体"/>
                <w:color w:val="000000" w:themeColor="text1"/>
                <w:sz w:val="24"/>
                <w14:textFill>
                  <w14:solidFill>
                    <w14:schemeClr w14:val="tx1"/>
                  </w14:solidFill>
                </w14:textFill>
              </w:rPr>
              <w:t>5-</w:t>
            </w:r>
            <w:r>
              <w:rPr>
                <w:rFonts w:hint="eastAsia" w:hAnsi="宋体"/>
                <w:color w:val="000000" w:themeColor="text1"/>
                <w:sz w:val="24"/>
                <w:lang w:val="en-US" w:eastAsia="zh-CN"/>
                <w14:textFill>
                  <w14:solidFill>
                    <w14:schemeClr w14:val="tx1"/>
                  </w14:solidFill>
                </w14:textFill>
              </w:rPr>
              <w:t>6</w:t>
            </w:r>
            <w:r>
              <w:rPr>
                <w:rFonts w:hint="eastAsia" w:hAnsi="宋体"/>
                <w:color w:val="000000" w:themeColor="text1"/>
                <w:sz w:val="24"/>
                <w14:textFill>
                  <w14:solidFill>
                    <w14:schemeClr w14:val="tx1"/>
                  </w14:solidFill>
                </w14:textFill>
              </w:rPr>
              <w:t>，</w:t>
            </w:r>
            <w:r>
              <w:rPr>
                <w:rFonts w:hint="eastAsia" w:hAnsi="宋体"/>
                <w:color w:val="000000" w:themeColor="text1"/>
                <w:sz w:val="24"/>
                <w:lang w:eastAsia="zh-CN"/>
                <w14:textFill>
                  <w14:solidFill>
                    <w14:schemeClr w14:val="tx1"/>
                  </w14:solidFill>
                </w14:textFill>
              </w:rPr>
              <w:t>勘探区内环境敏感区分布情况及位置关系</w:t>
            </w:r>
            <w:r>
              <w:rPr>
                <w:rFonts w:hint="eastAsia" w:hAnsi="宋体"/>
                <w:color w:val="000000" w:themeColor="text1"/>
                <w:sz w:val="24"/>
                <w14:textFill>
                  <w14:solidFill>
                    <w14:schemeClr w14:val="tx1"/>
                  </w14:solidFill>
                </w14:textFill>
              </w:rPr>
              <w:t>见附图</w:t>
            </w:r>
            <w:r>
              <w:rPr>
                <w:rFonts w:hint="eastAsia" w:hAnsi="宋体"/>
                <w:color w:val="000000" w:themeColor="text1"/>
                <w:sz w:val="24"/>
                <w:lang w:val="en-US" w:eastAsia="zh-CN"/>
                <w14:textFill>
                  <w14:solidFill>
                    <w14:schemeClr w14:val="tx1"/>
                  </w14:solidFill>
                </w14:textFill>
              </w:rPr>
              <w:t>13</w:t>
            </w:r>
            <w:r>
              <w:rPr>
                <w:rFonts w:hint="eastAsia" w:hAnsi="宋体"/>
                <w:color w:val="000000" w:themeColor="text1"/>
                <w:sz w:val="24"/>
                <w14:textFill>
                  <w14:solidFill>
                    <w14:schemeClr w14:val="tx1"/>
                  </w14:solidFill>
                </w14:textFill>
              </w:rPr>
              <w:t>。</w:t>
            </w:r>
          </w:p>
          <w:p>
            <w:pPr>
              <w:pStyle w:val="2"/>
              <w:spacing w:line="360" w:lineRule="auto"/>
              <w:ind w:firstLine="480" w:firstLineChars="20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本项目2022年的钻孔不占用</w:t>
            </w:r>
            <w:r>
              <w:rPr>
                <w:rFonts w:hint="eastAsia" w:ascii="Times New Roman" w:hAnsi="Times New Roman" w:cs="Times New Roman"/>
                <w:color w:val="000000" w:themeColor="text1"/>
                <w:sz w:val="24"/>
                <w:lang w:val="en-US" w:eastAsia="zh-CN"/>
                <w14:textFill>
                  <w14:solidFill>
                    <w14:schemeClr w14:val="tx1"/>
                  </w14:solidFill>
                </w14:textFill>
              </w:rPr>
              <w:t>勘查区内生态</w:t>
            </w:r>
            <w:r>
              <w:rPr>
                <w:rFonts w:hint="default" w:ascii="Times New Roman" w:hAnsi="Times New Roman" w:cs="Times New Roman"/>
                <w:color w:val="000000" w:themeColor="text1"/>
                <w:sz w:val="24"/>
                <w:lang w:eastAsia="zh-CN"/>
                <w14:textFill>
                  <w14:solidFill>
                    <w14:schemeClr w14:val="tx1"/>
                  </w14:solidFill>
                </w14:textFill>
              </w:rPr>
              <w:t>环境敏感区</w:t>
            </w:r>
            <w:r>
              <w:rPr>
                <w:rFonts w:hint="eastAsia"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eastAsia="zh-CN"/>
                <w14:textFill>
                  <w14:solidFill>
                    <w14:schemeClr w14:val="tx1"/>
                  </w14:solidFill>
                </w14:textFill>
              </w:rPr>
              <w:t>同时评价要求勘探过程中调整的钻孔以及2023-2026年拟布设的钻孔选址应对</w:t>
            </w:r>
            <w:r>
              <w:rPr>
                <w:rFonts w:hint="eastAsia" w:ascii="Times New Roman" w:hAnsi="Times New Roman" w:cs="Times New Roman"/>
                <w:color w:val="000000" w:themeColor="text1"/>
                <w:sz w:val="24"/>
                <w:lang w:val="en-US" w:eastAsia="zh-CN"/>
                <w14:textFill>
                  <w14:solidFill>
                    <w14:schemeClr w14:val="tx1"/>
                  </w14:solidFill>
                </w14:textFill>
              </w:rPr>
              <w:t>勘查区内生态</w:t>
            </w:r>
            <w:r>
              <w:rPr>
                <w:rFonts w:hint="default" w:ascii="Times New Roman" w:hAnsi="Times New Roman" w:cs="Times New Roman"/>
                <w:color w:val="000000" w:themeColor="text1"/>
                <w:sz w:val="24"/>
                <w:lang w:eastAsia="zh-CN"/>
                <w14:textFill>
                  <w14:solidFill>
                    <w14:schemeClr w14:val="tx1"/>
                  </w14:solidFill>
                </w14:textFill>
              </w:rPr>
              <w:t>环境敏感区进行避让，钻孔位置明确后及时向审批部门及属地监管部门进行报备。</w:t>
            </w:r>
          </w:p>
          <w:p>
            <w:pPr>
              <w:spacing w:line="240" w:lineRule="auto"/>
              <w:jc w:val="center"/>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表5-6  本项目勘查区周边环境敏感区分布情况及位置关系一览表</w:t>
            </w:r>
          </w:p>
          <w:tbl>
            <w:tblPr>
              <w:tblStyle w:val="14"/>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18"/>
              <w:gridCol w:w="869"/>
              <w:gridCol w:w="1985"/>
              <w:gridCol w:w="1000"/>
              <w:gridCol w:w="1300"/>
              <w:gridCol w:w="1205"/>
              <w:gridCol w:w="820"/>
              <w:gridCol w:w="148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p>
              </w:tc>
              <w:tc>
                <w:tcPr>
                  <w:tcW w:w="458"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敏感区</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类别</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敏感区名称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级别</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主要保护</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对象或类型</w:t>
                  </w:r>
                </w:p>
              </w:tc>
              <w:tc>
                <w:tcPr>
                  <w:tcW w:w="635"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与</w:t>
                  </w:r>
                  <w:r>
                    <w:rPr>
                      <w:rFonts w:hint="eastAsia" w:cs="Times New Roman"/>
                      <w:color w:val="000000" w:themeColor="text1"/>
                      <w:sz w:val="21"/>
                      <w:szCs w:val="21"/>
                      <w:lang w:eastAsia="zh-CN"/>
                      <w14:textFill>
                        <w14:solidFill>
                          <w14:schemeClr w14:val="tx1"/>
                        </w14:solidFill>
                      </w14:textFill>
                    </w:rPr>
                    <w:t>勘查区</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位置关系</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方位</w:t>
                  </w:r>
                </w:p>
              </w:tc>
              <w:tc>
                <w:tcPr>
                  <w:tcW w:w="783"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最近距离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陕西地区</w:t>
                  </w: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自然</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保护区</w:t>
                  </w: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陕西子午岭国家级自然保护区</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国家级</w:t>
                  </w:r>
                </w:p>
              </w:tc>
              <w:tc>
                <w:tcPr>
                  <w:tcW w:w="685" w:type="pct"/>
                  <w:vAlign w:val="center"/>
                </w:tcPr>
                <w:p>
                  <w:pPr>
                    <w:autoSpaceDE w:val="0"/>
                    <w:autoSpaceDN w:val="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森林生态系统及豹、黑鹳、金雕等野生动植物</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S</w:t>
                  </w:r>
                </w:p>
              </w:tc>
              <w:tc>
                <w:tcPr>
                  <w:tcW w:w="783" w:type="pct"/>
                  <w:vMerge w:val="restart"/>
                  <w:vAlign w:val="center"/>
                </w:tcPr>
                <w:p>
                  <w:pPr>
                    <w:autoSpaceDE w:val="0"/>
                    <w:autoSpaceDN w:val="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ZKX1-4钻孔距</w:t>
                  </w:r>
                  <w:r>
                    <w:rPr>
                      <w:rFonts w:hint="default" w:ascii="Times New Roman" w:hAnsi="Times New Roman" w:cs="Times New Roman"/>
                      <w:color w:val="000000" w:themeColor="text1"/>
                      <w:sz w:val="21"/>
                      <w:szCs w:val="21"/>
                      <w14:textFill>
                        <w14:solidFill>
                          <w14:schemeClr w14:val="tx1"/>
                        </w14:solidFill>
                      </w14:textFill>
                    </w:rPr>
                    <w:t>陕西子午岭国家级自然保护区</w:t>
                  </w:r>
                  <w:r>
                    <w:rPr>
                      <w:rFonts w:hint="eastAsia" w:ascii="Times New Roman" w:hAnsi="Times New Roman" w:cs="Times New Roman"/>
                      <w:color w:val="000000" w:themeColor="text1"/>
                      <w:sz w:val="21"/>
                      <w:szCs w:val="21"/>
                      <w:lang w:val="en-US" w:eastAsia="zh-CN"/>
                      <w14:textFill>
                        <w14:solidFill>
                          <w14:schemeClr w14:val="tx1"/>
                        </w14:solidFill>
                      </w14:textFill>
                    </w:rPr>
                    <w:t>最近，距离为3.4km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陕西延安黄龙山</w:t>
                  </w:r>
                  <w:r>
                    <w:rPr>
                      <w:rFonts w:hint="default" w:ascii="Times New Roman" w:hAnsi="Times New Roman" w:cs="Times New Roman"/>
                      <w:color w:val="000000" w:themeColor="text1"/>
                      <w:sz w:val="21"/>
                      <w:szCs w:val="21"/>
                      <w:lang w:val="en-US" w:eastAsia="zh-CN"/>
                      <w14:textFill>
                        <w14:solidFill>
                          <w14:schemeClr w14:val="tx1"/>
                        </w14:solidFill>
                      </w14:textFill>
                    </w:rPr>
                    <w:t>褐马鸡</w:t>
                  </w:r>
                  <w:r>
                    <w:rPr>
                      <w:rFonts w:hint="eastAsia" w:ascii="Times New Roman" w:hAnsi="Times New Roman" w:cs="Times New Roman"/>
                      <w:color w:val="000000" w:themeColor="text1"/>
                      <w:sz w:val="21"/>
                      <w:szCs w:val="21"/>
                      <w:lang w:val="en-US" w:eastAsia="zh-CN"/>
                      <w14:textFill>
                        <w14:solidFill>
                          <w14:schemeClr w14:val="tx1"/>
                        </w14:solidFill>
                      </w14:textFill>
                    </w:rPr>
                    <w:t>国家级自然保护区</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褐马鸡及其生境</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陕西陇县秦岭细鳞鲑自然保护区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秦岭细鳞鲑等水生生物及其生境</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陕西韩城褐马鸡自然保护区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褐马鸡及其生境</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陕西延安柴松自然保护区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柴松</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陕西太安省级自然保护区</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黄土高原典型生态系统</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陕西黄龙山天然次生林自然保护区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金钱豹、金雕、白鹤、黑鹳等</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陕西香山自然保护区</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黑鹳、天然油松林</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陕西旬邑石门山自然保护区</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天然次生林</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陕西野河自然保护区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金钱豹、金雕、黑鹳、白肩雕等</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陕西千湖湿地自然保护区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珍稀水禽保护动物及湿地生态系统</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陕西桥山省级自然保护区</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森林生态系统</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陕西黄河湿地省级自然保护区</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湿地及水禽</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陕西无定河湿地省级自然保护区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湿地生态系统</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陕西榆横臭柏自然保护区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臭柏</w:t>
                  </w:r>
                </w:p>
              </w:tc>
              <w:tc>
                <w:tcPr>
                  <w:tcW w:w="63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部分重叠</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陕西淳化爷台山自然保护区</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市级</w:t>
                  </w:r>
                </w:p>
              </w:tc>
              <w:tc>
                <w:tcPr>
                  <w:tcW w:w="685" w:type="pct"/>
                  <w:vAlign w:val="center"/>
                </w:tcPr>
                <w:p>
                  <w:pPr>
                    <w:autoSpaceDE w:val="0"/>
                    <w:autoSpaceDN w:val="0"/>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金钱豹、锦鸡、水曲柳等</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陕西永寿翠屏山自然保护区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人工林生态系统</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公园</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陕西玉华宫国家森林公园</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ZKX2-5钻孔距陕西省龙门洞森林公园</w:t>
                  </w:r>
                  <w:r>
                    <w:rPr>
                      <w:rFonts w:hint="eastAsia" w:ascii="Times New Roman" w:hAnsi="Times New Roman" w:cs="Times New Roman"/>
                      <w:color w:val="000000" w:themeColor="text1"/>
                      <w:sz w:val="21"/>
                      <w:szCs w:val="21"/>
                      <w:lang w:val="en-US" w:eastAsia="zh-CN"/>
                      <w14:textFill>
                        <w14:solidFill>
                          <w14:schemeClr w14:val="tx1"/>
                        </w14:solidFill>
                      </w14:textFill>
                    </w:rPr>
                    <w:t>最近，距离为104km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陕西延安国家森林公园</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陕西蟒头山国家森林公园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陕西石门山国家森林公园</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陕西黄陵国家森林公园</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陕西省龙门洞森林公园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陕西省香山森林公园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陕西省金栗山森林公园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陕西省翠屏山森林公园</w:t>
                  </w:r>
                  <w:r>
                    <w:rPr>
                      <w:rFonts w:hint="eastAsia" w:cs="Times New Roman"/>
                      <w:color w:val="000000" w:themeColor="text1"/>
                      <w:sz w:val="21"/>
                      <w:szCs w:val="21"/>
                      <w:lang w:val="en-US" w:eastAsia="zh-CN"/>
                      <w14:textFill>
                        <w14:solidFill>
                          <w14:schemeClr w14:val="tx1"/>
                        </w14:solidFill>
                      </w14:textFill>
                    </w:rPr>
                    <w:t>（永寿）</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陕西省定边沙地森林公园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陕西省洽川森林公园</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陕西省桥北森林公园</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陕西省黄龙山森林公园</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陕西省仲山森林公园</w:t>
                  </w:r>
                  <w:r>
                    <w:rPr>
                      <w:rFonts w:hint="eastAsia" w:cs="Times New Roman"/>
                      <w:color w:val="000000" w:themeColor="text1"/>
                      <w:sz w:val="21"/>
                      <w:szCs w:val="21"/>
                      <w:lang w:val="en-US" w:eastAsia="zh-CN"/>
                      <w14:textFill>
                        <w14:solidFill>
                          <w14:schemeClr w14:val="tx1"/>
                        </w14:solidFill>
                      </w14:textFill>
                    </w:rPr>
                    <w:t>（淳化）</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陕西省方山森林公园</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陕西省吴起退耕还林森林公园</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地质公园</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陕西延川黄河蛇曲地质公园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ZKH2-6钻孔距</w:t>
                  </w:r>
                  <w:r>
                    <w:rPr>
                      <w:rFonts w:hint="default" w:ascii="Times New Roman" w:hAnsi="Times New Roman" w:cs="Times New Roman"/>
                      <w:color w:val="000000" w:themeColor="text1"/>
                      <w:sz w:val="21"/>
                      <w:szCs w:val="21"/>
                      <w:lang w:val="en-US" w:eastAsia="zh-CN"/>
                      <w14:textFill>
                        <w14:solidFill>
                          <w14:schemeClr w14:val="tx1"/>
                        </w14:solidFill>
                      </w14:textFill>
                    </w:rPr>
                    <w:t>陕西耀州照金丹霞国家地质公园</w:t>
                  </w:r>
                  <w:r>
                    <w:rPr>
                      <w:rFonts w:hint="eastAsia" w:cs="Times New Roman"/>
                      <w:color w:val="000000" w:themeColor="text1"/>
                      <w:kern w:val="2"/>
                      <w:sz w:val="21"/>
                      <w:szCs w:val="21"/>
                      <w:lang w:val="en-US" w:eastAsia="zh-CN" w:bidi="ar-SA"/>
                      <w14:textFill>
                        <w14:solidFill>
                          <w14:schemeClr w14:val="tx1"/>
                        </w14:solidFill>
                      </w14:textFill>
                    </w:rPr>
                    <w:t>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距离为35.8km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陕西宜川壶口瀑布国家地质公园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陕西洛川黄土国家地质公园</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陕西耀州照金丹霞国家地质公园</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国家级资格</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湿地公园</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淳化冶峪河国家湿地公园（试点）</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国家湿地公园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ZKH2-7钻孔距</w:t>
                  </w:r>
                  <w:r>
                    <w:rPr>
                      <w:rFonts w:hint="default" w:ascii="Times New Roman" w:hAnsi="Times New Roman" w:cs="Times New Roman"/>
                      <w:color w:val="000000" w:themeColor="text1"/>
                      <w:sz w:val="21"/>
                      <w:szCs w:val="21"/>
                      <w:lang w:val="en-US" w:eastAsia="zh-CN"/>
                      <w14:textFill>
                        <w14:solidFill>
                          <w14:schemeClr w14:val="tx1"/>
                        </w14:solidFill>
                      </w14:textFill>
                    </w:rPr>
                    <w:t>旬邑马栏河国家湿地公园</w:t>
                  </w:r>
                  <w:r>
                    <w:rPr>
                      <w:rFonts w:hint="eastAsia" w:cs="Times New Roman"/>
                      <w:color w:val="000000" w:themeColor="text1"/>
                      <w:kern w:val="2"/>
                      <w:sz w:val="21"/>
                      <w:szCs w:val="21"/>
                      <w:lang w:val="en-US" w:eastAsia="zh-CN" w:bidi="ar-SA"/>
                      <w14:textFill>
                        <w14:solidFill>
                          <w14:schemeClr w14:val="tx1"/>
                        </w14:solidFill>
                      </w14:textFill>
                    </w:rPr>
                    <w:t>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距离为28.9km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铜川赵氏河国家湿地公园（试点）</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国家湿地公园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8"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旬邑马栏河国家湿地公园（试点）</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国家湿地公园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澽水国家湿地公园（试点）</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国家湿地公园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重要</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湿地</w:t>
                  </w: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陕西黄河湿地</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ZKB251-3钻孔距陕西泾河湿地最近，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距离为2.4km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定边花麻池湿地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佳县佳芦河湿地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定边烂泥池湿地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定边莲花池湿地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定边苟池湿地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定边公布井湿地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定边明水湖湿地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榆林无定河湿地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靖边金鸡沙湿地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靖边海则滩湿地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芦河湿地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榆林大理河湿地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陕西清涧河湿地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延安延河湿地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陕西北洛河湿地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延安葫芦河湿地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陕西泾河湿地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陕西渭河湿地</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重要湿地</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水源地</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冯家山水库水源地</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ZKX8-1</w:t>
                  </w:r>
                  <w:r>
                    <w:rPr>
                      <w:rFonts w:hint="eastAsia" w:cs="Times New Roman"/>
                      <w:color w:val="000000" w:themeColor="text1"/>
                      <w:kern w:val="2"/>
                      <w:sz w:val="21"/>
                      <w:szCs w:val="21"/>
                      <w:lang w:val="en-US" w:eastAsia="zh-CN" w:bidi="ar-SA"/>
                      <w14:textFill>
                        <w14:solidFill>
                          <w14:schemeClr w14:val="tx1"/>
                        </w14:solidFill>
                      </w14:textFill>
                    </w:rPr>
                    <w:t>钻孔距李家川水库水源地最近，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距离为3.2km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桃曲坡水库水源地</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铜川市溪水河柳湾水源地</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河流型水源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延安王瑶水库水源地</w:t>
                  </w:r>
                </w:p>
              </w:tc>
              <w:tc>
                <w:tcPr>
                  <w:tcW w:w="527"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李家川水库水源地</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E</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榆林市红石峡水库水源地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神木县窟野河水源地</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河流型</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米脂县榆林沟饮用水源地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清水沟水源地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绥德县丁家沟一十里铺水源地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延川县文安驿川河水源地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延长县西河子沟水源地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延长县烟雾沟水源地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甘泉县高哨乡岳屯村水库水源地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富县莲花池大申号水库水源地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宜川县木头沟水库水源地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黄陵县郑家河水库水源地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洛川县银河水库水源地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黄龙县尧门水库水源地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洛川县银河水库水源地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黄龙县尧门水库水源地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韩城市薛峰水库水源地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市级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澄城县五一水库水源地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彬县李家川水库</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三原县冯村水库水源地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县级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水库型水源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风景</w:t>
                  </w:r>
                </w:p>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名胜区</w:t>
                  </w: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黄河壶口瀑布风景名胜区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ZKH2-6钻孔距</w:t>
                  </w:r>
                  <w:r>
                    <w:rPr>
                      <w:rFonts w:hint="default" w:ascii="Times New Roman" w:hAnsi="Times New Roman" w:cs="Times New Roman"/>
                      <w:color w:val="000000" w:themeColor="text1"/>
                      <w:sz w:val="21"/>
                      <w:szCs w:val="21"/>
                      <w:lang w:val="en-US" w:eastAsia="zh-CN"/>
                      <w14:textFill>
                        <w14:solidFill>
                          <w14:schemeClr w14:val="tx1"/>
                        </w14:solidFill>
                      </w14:textFill>
                    </w:rPr>
                    <w:t>唐玉华宫风景名胜区</w:t>
                  </w:r>
                  <w:r>
                    <w:rPr>
                      <w:rFonts w:hint="eastAsia" w:cs="Times New Roman"/>
                      <w:color w:val="000000" w:themeColor="text1"/>
                      <w:kern w:val="2"/>
                      <w:sz w:val="21"/>
                      <w:szCs w:val="21"/>
                      <w:lang w:val="en-US" w:eastAsia="zh-CN" w:bidi="ar-SA"/>
                      <w14:textFill>
                        <w14:solidFill>
                          <w14:schemeClr w14:val="tx1"/>
                        </w14:solidFill>
                      </w14:textFill>
                    </w:rPr>
                    <w:t>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w:t>
                  </w:r>
                  <w:r>
                    <w:rPr>
                      <w:rFonts w:hint="eastAsia" w:cs="Times New Roman"/>
                      <w:color w:val="000000" w:themeColor="text1"/>
                      <w:sz w:val="21"/>
                      <w:szCs w:val="21"/>
                      <w:lang w:val="en-US" w:eastAsia="zh-CN"/>
                      <w14:textFill>
                        <w14:solidFill>
                          <w14:schemeClr w14:val="tx1"/>
                        </w14:solidFill>
                      </w14:textFill>
                    </w:rPr>
                    <w:t>16.21km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凤翔东湖风景名胜区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白云山风景名胜区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黄帝陵风景名胜区</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药王山风景名胜区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唐玉华宫风景名胜区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古遗址</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SE</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香山-照金风景名胜区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福地湖风景名胜区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黄河龙门-司马迁祠墓风景名胜区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古遗址</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1"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文化自然遗产</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彬县大佛寺石窟</w:t>
                  </w:r>
                </w:p>
              </w:tc>
              <w:tc>
                <w:tcPr>
                  <w:tcW w:w="527"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中国世界文化遗产预备名单</w:t>
                  </w:r>
                </w:p>
              </w:tc>
              <w:tc>
                <w:tcPr>
                  <w:tcW w:w="685"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古遗址</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S</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ZKB180-2钻孔距彬县大佛寺石窟最近，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w:t>
                  </w:r>
                  <w:r>
                    <w:rPr>
                      <w:rFonts w:hint="eastAsia" w:cs="Times New Roman"/>
                      <w:color w:val="000000" w:themeColor="text1"/>
                      <w:sz w:val="21"/>
                      <w:szCs w:val="21"/>
                      <w:lang w:val="en-US" w:eastAsia="zh-CN"/>
                      <w14:textFill>
                        <w14:solidFill>
                          <w14:schemeClr w14:val="tx1"/>
                        </w14:solidFill>
                      </w14:textFill>
                    </w:rPr>
                    <w:t>27.1km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党家村古建筑群</w:t>
                  </w:r>
                </w:p>
              </w:tc>
              <w:tc>
                <w:tcPr>
                  <w:tcW w:w="527"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685"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统万城遗址</w:t>
                  </w:r>
                </w:p>
              </w:tc>
              <w:tc>
                <w:tcPr>
                  <w:tcW w:w="527"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685"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水产种质资源保护区</w:t>
                  </w: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沮河上游国家级水产种质资源保护区</w:t>
                  </w:r>
                </w:p>
              </w:tc>
              <w:tc>
                <w:tcPr>
                  <w:tcW w:w="527"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国家级</w:t>
                  </w:r>
                </w:p>
              </w:tc>
              <w:tc>
                <w:tcPr>
                  <w:tcW w:w="685" w:type="pc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鲤鱼、鲫鱼、赤眼鳟、鲇鱼</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ZKG333-1</w:t>
                  </w:r>
                  <w:r>
                    <w:rPr>
                      <w:rFonts w:hint="eastAsia" w:cs="Times New Roman"/>
                      <w:color w:val="000000" w:themeColor="text1"/>
                      <w:kern w:val="2"/>
                      <w:sz w:val="21"/>
                      <w:szCs w:val="21"/>
                      <w:lang w:val="en-US" w:eastAsia="zh-CN" w:bidi="ar-SA"/>
                      <w14:textFill>
                        <w14:solidFill>
                          <w14:schemeClr w14:val="tx1"/>
                        </w14:solidFill>
                      </w14:textFill>
                    </w:rPr>
                    <w:t>钻孔距</w:t>
                  </w:r>
                  <w:r>
                    <w:rPr>
                      <w:rFonts w:hint="default" w:ascii="Times New Roman" w:hAnsi="Times New Roman" w:cs="Times New Roman"/>
                      <w:color w:val="000000" w:themeColor="text1"/>
                      <w:sz w:val="21"/>
                      <w:szCs w:val="21"/>
                      <w:lang w:val="en-US" w:eastAsia="zh-CN"/>
                      <w14:textFill>
                        <w14:solidFill>
                          <w14:schemeClr w14:val="tx1"/>
                        </w14:solidFill>
                      </w14:textFill>
                    </w:rPr>
                    <w:t>千河国家级水产种质资源保护区</w:t>
                  </w:r>
                  <w:r>
                    <w:rPr>
                      <w:rFonts w:hint="eastAsia" w:cs="Times New Roman"/>
                      <w:color w:val="000000" w:themeColor="text1"/>
                      <w:kern w:val="2"/>
                      <w:sz w:val="21"/>
                      <w:szCs w:val="21"/>
                      <w:lang w:val="en-US" w:eastAsia="zh-CN" w:bidi="ar-SA"/>
                      <w14:textFill>
                        <w14:solidFill>
                          <w14:schemeClr w14:val="tx1"/>
                        </w14:solidFill>
                      </w14:textFill>
                    </w:rPr>
                    <w:t>最近，</w:t>
                  </w:r>
                  <w:r>
                    <w:rPr>
                      <w:rFonts w:hint="eastAsia" w:ascii="Times New Roman" w:hAnsi="Times New Roman" w:cs="Times New Roman"/>
                      <w:color w:val="000000" w:themeColor="text1"/>
                      <w:sz w:val="21"/>
                      <w:szCs w:val="21"/>
                      <w:lang w:val="en-US" w:eastAsia="zh-CN"/>
                      <w14:textFill>
                        <w14:solidFill>
                          <w14:schemeClr w14:val="tx1"/>
                        </w14:solidFill>
                      </w14:textFill>
                    </w:rPr>
                    <w:t>距离</w:t>
                  </w:r>
                  <w:r>
                    <w:rPr>
                      <w:rFonts w:hint="eastAsia" w:cs="Times New Roman"/>
                      <w:color w:val="000000" w:themeColor="text1"/>
                      <w:sz w:val="21"/>
                      <w:szCs w:val="21"/>
                      <w:lang w:val="en-US" w:eastAsia="zh-CN"/>
                      <w14:textFill>
                        <w14:solidFill>
                          <w14:schemeClr w14:val="tx1"/>
                        </w14:solidFill>
                      </w14:textFill>
                    </w:rPr>
                    <w:t>8.7km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黄河陕西韩城龙门段黄河锦兰州鲇国家级水产种质资源保护区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黄河锦</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兰州鲇</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黄河恰川段乌醴国家级水产种质资源保护区</w:t>
                  </w:r>
                </w:p>
              </w:tc>
              <w:tc>
                <w:tcPr>
                  <w:tcW w:w="527"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乌鳢、鲇鱼、鲤鱼、黄颡鱼、合阳高原鳅</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千河国家级水产种质资源保护区</w:t>
                  </w:r>
                </w:p>
              </w:tc>
              <w:tc>
                <w:tcPr>
                  <w:tcW w:w="527"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青虾、鲤鱼、鲫鱼、鲇鱼和黄颡鱼</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S</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restart"/>
                  <w:vAlign w:val="center"/>
                </w:tcPr>
                <w:p>
                  <w:pPr>
                    <w:autoSpaceDE w:val="0"/>
                    <w:autoSpaceDN w:val="0"/>
                    <w:jc w:val="both"/>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甘肃省</w:t>
                  </w:r>
                </w:p>
              </w:tc>
              <w:tc>
                <w:tcPr>
                  <w:tcW w:w="458" w:type="pct"/>
                  <w:vMerge w:val="restar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甘肃</w:t>
                  </w:r>
                  <w:r>
                    <w:rPr>
                      <w:rFonts w:hint="default" w:ascii="Times New Roman" w:hAnsi="Times New Roman" w:cs="Times New Roman"/>
                      <w:color w:val="000000" w:themeColor="text1"/>
                      <w:sz w:val="21"/>
                      <w:szCs w:val="21"/>
                      <w:lang w:val="en-US" w:eastAsia="zh-CN"/>
                      <w14:textFill>
                        <w14:solidFill>
                          <w14:schemeClr w14:val="tx1"/>
                        </w14:solidFill>
                      </w14:textFill>
                    </w:rPr>
                    <w:t>太统一崆峒山国家级自然保护区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温带落叶阔叶林生态系统及野生动植物</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ZKG102-1</w:t>
                  </w:r>
                  <w:r>
                    <w:rPr>
                      <w:rFonts w:hint="eastAsia" w:cs="Times New Roman"/>
                      <w:color w:val="000000" w:themeColor="text1"/>
                      <w:kern w:val="2"/>
                      <w:sz w:val="21"/>
                      <w:szCs w:val="21"/>
                      <w:lang w:val="en-US" w:eastAsia="zh-CN" w:bidi="ar-SA"/>
                      <w14:textFill>
                        <w14:solidFill>
                          <w14:schemeClr w14:val="tx1"/>
                        </w14:solidFill>
                      </w14:textFill>
                    </w:rPr>
                    <w:t>钻孔距甘肃太统一崆峒山国家级自然保护区最近，</w:t>
                  </w:r>
                  <w:r>
                    <w:rPr>
                      <w:rFonts w:hint="eastAsia" w:ascii="Times New Roman" w:hAnsi="Times New Roman" w:cs="Times New Roman"/>
                      <w:color w:val="000000" w:themeColor="text1"/>
                      <w:sz w:val="21"/>
                      <w:szCs w:val="21"/>
                      <w:lang w:val="en-US" w:eastAsia="zh-CN"/>
                      <w14:textFill>
                        <w14:solidFill>
                          <w14:schemeClr w14:val="tx1"/>
                        </w14:solidFill>
                      </w14:textFill>
                    </w:rPr>
                    <w:t>距离为30.9km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甘肃合水子午岭省级自然保护区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水源涵养林及野生动植物</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森林</w:t>
                  </w:r>
                </w:p>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公园</w:t>
                  </w: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周祖陵国家级森林公园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ZKG102-1钻孔距</w:t>
                  </w:r>
                  <w:r>
                    <w:rPr>
                      <w:rFonts w:hint="default" w:ascii="Times New Roman" w:hAnsi="Times New Roman" w:cs="Times New Roman"/>
                      <w:color w:val="000000" w:themeColor="text1"/>
                      <w:sz w:val="21"/>
                      <w:szCs w:val="21"/>
                      <w:lang w:val="en-US" w:eastAsia="zh-CN"/>
                      <w14:textFill>
                        <w14:solidFill>
                          <w14:schemeClr w14:val="tx1"/>
                        </w14:solidFill>
                      </w14:textFill>
                    </w:rPr>
                    <w:t>华亭县米家沟省级森林公园</w:t>
                  </w:r>
                  <w:r>
                    <w:rPr>
                      <w:rFonts w:hint="eastAsia" w:ascii="Times New Roman" w:hAnsi="Times New Roman" w:cs="Times New Roman"/>
                      <w:color w:val="000000" w:themeColor="text1"/>
                      <w:sz w:val="21"/>
                      <w:szCs w:val="21"/>
                      <w:lang w:val="en-US" w:eastAsia="zh-CN"/>
                      <w14:textFill>
                        <w14:solidFill>
                          <w14:schemeClr w14:val="tx1"/>
                        </w14:solidFill>
                      </w14:textFill>
                    </w:rPr>
                    <w:t>最近，距离为14.5km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崆峒区北山省级森林公园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崇信县五龙山省级森林公园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华池县双塔省级森林公园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环县老爷山省级森林公园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庆阳市巴家咀省级森林公园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华亭县米家沟省级森林公园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N</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潜夫山省级森林公园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w:t>
                  </w:r>
                </w:p>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公园</w:t>
                  </w: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平凉崆峒山丹霞地貌国家地质公园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ZKC1-1</w:t>
                  </w:r>
                  <w:r>
                    <w:rPr>
                      <w:rFonts w:hint="eastAsia" w:cs="Times New Roman"/>
                      <w:color w:val="000000" w:themeColor="text1"/>
                      <w:kern w:val="2"/>
                      <w:sz w:val="21"/>
                      <w:szCs w:val="21"/>
                      <w:lang w:val="en-US" w:eastAsia="zh-CN" w:bidi="ar-SA"/>
                      <w14:textFill>
                        <w14:solidFill>
                          <w14:schemeClr w14:val="tx1"/>
                        </w14:solidFill>
                      </w14:textFill>
                    </w:rPr>
                    <w:t>钻孔距</w:t>
                  </w:r>
                  <w:r>
                    <w:rPr>
                      <w:rFonts w:hint="default" w:ascii="Times New Roman" w:hAnsi="Times New Roman" w:cs="Times New Roman"/>
                      <w:color w:val="000000" w:themeColor="text1"/>
                      <w:sz w:val="21"/>
                      <w:szCs w:val="21"/>
                      <w:lang w:val="en-US" w:eastAsia="zh-CN"/>
                      <w14:textFill>
                        <w14:solidFill>
                          <w14:schemeClr w14:val="tx1"/>
                        </w14:solidFill>
                      </w14:textFill>
                    </w:rPr>
                    <w:t>崇信龙泉省级地质公园</w:t>
                  </w:r>
                  <w:r>
                    <w:rPr>
                      <w:rFonts w:hint="eastAsia" w:ascii="Times New Roman" w:hAnsi="Times New Roman" w:cs="Times New Roman"/>
                      <w:color w:val="000000" w:themeColor="text1"/>
                      <w:sz w:val="21"/>
                      <w:szCs w:val="21"/>
                      <w:lang w:val="en-US" w:eastAsia="zh-CN"/>
                      <w14:textFill>
                        <w14:solidFill>
                          <w14:schemeClr w14:val="tx1"/>
                        </w14:solidFill>
                      </w14:textFill>
                    </w:rPr>
                    <w:t>最近，距离为3.5km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崇信龙泉省级地质公园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SE</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崆峒山</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风景名胜</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ZKC1-1</w:t>
                  </w:r>
                  <w:r>
                    <w:rPr>
                      <w:rFonts w:hint="eastAsia" w:cs="Times New Roman"/>
                      <w:color w:val="000000" w:themeColor="text1"/>
                      <w:kern w:val="2"/>
                      <w:sz w:val="21"/>
                      <w:szCs w:val="21"/>
                      <w:lang w:val="en-US" w:eastAsia="zh-CN" w:bidi="ar-SA"/>
                      <w14:textFill>
                        <w14:solidFill>
                          <w14:schemeClr w14:val="tx1"/>
                        </w14:solidFill>
                      </w14:textFill>
                    </w:rPr>
                    <w:t>钻孔距</w:t>
                  </w:r>
                  <w:r>
                    <w:rPr>
                      <w:rFonts w:hint="default" w:ascii="Times New Roman" w:hAnsi="Times New Roman" w:cs="Times New Roman"/>
                      <w:color w:val="000000" w:themeColor="text1"/>
                      <w:sz w:val="21"/>
                      <w:szCs w:val="21"/>
                      <w:lang w:val="en-US" w:eastAsia="zh-CN"/>
                      <w14:textFill>
                        <w14:solidFill>
                          <w14:schemeClr w14:val="tx1"/>
                        </w14:solidFill>
                      </w14:textFill>
                    </w:rPr>
                    <w:t>崇信龙泉寺－五龙山</w:t>
                  </w:r>
                  <w:r>
                    <w:rPr>
                      <w:rFonts w:hint="eastAsia" w:ascii="Times New Roman" w:hAnsi="Times New Roman" w:cs="Times New Roman"/>
                      <w:color w:val="000000" w:themeColor="text1"/>
                      <w:sz w:val="21"/>
                      <w:szCs w:val="21"/>
                      <w:lang w:val="en-US" w:eastAsia="zh-CN"/>
                      <w14:textFill>
                        <w14:solidFill>
                          <w14:schemeClr w14:val="tx1"/>
                        </w14:solidFill>
                      </w14:textFill>
                    </w:rPr>
                    <w:t>最近，距离为3.4km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崇信龙泉寺－五龙山</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风景名胜</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华亭莲花台</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风景名胜</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restar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水源保护地</w:t>
                  </w:r>
                </w:p>
              </w:tc>
              <w:tc>
                <w:tcPr>
                  <w:tcW w:w="1046"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小川水库水源地</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ZKC1-1</w:t>
                  </w:r>
                  <w:r>
                    <w:rPr>
                      <w:rFonts w:hint="eastAsia" w:cs="Times New Roman"/>
                      <w:color w:val="000000" w:themeColor="text1"/>
                      <w:kern w:val="2"/>
                      <w:sz w:val="21"/>
                      <w:szCs w:val="21"/>
                      <w:lang w:val="en-US" w:eastAsia="zh-CN" w:bidi="ar-SA"/>
                      <w14:textFill>
                        <w14:solidFill>
                          <w14:schemeClr w14:val="tx1"/>
                        </w14:solidFill>
                      </w14:textFill>
                    </w:rPr>
                    <w:t>钻孔距</w:t>
                  </w:r>
                  <w:r>
                    <w:rPr>
                      <w:rFonts w:hint="default" w:ascii="Times New Roman" w:hAnsi="Times New Roman" w:cs="Times New Roman"/>
                      <w:color w:val="000000" w:themeColor="text1"/>
                      <w:sz w:val="21"/>
                      <w:szCs w:val="21"/>
                      <w:lang w:val="en-US" w:eastAsia="zh-CN"/>
                      <w14:textFill>
                        <w14:solidFill>
                          <w14:schemeClr w14:val="tx1"/>
                        </w14:solidFill>
                      </w14:textFill>
                    </w:rPr>
                    <w:t>崇信</w:t>
                  </w:r>
                  <w:r>
                    <w:rPr>
                      <w:rFonts w:hint="eastAsia" w:ascii="Times New Roman" w:hAnsi="Times New Roman" w:cs="Times New Roman"/>
                      <w:color w:val="000000" w:themeColor="text1"/>
                      <w:sz w:val="21"/>
                      <w:szCs w:val="21"/>
                      <w:lang w:val="en-US" w:eastAsia="zh-CN"/>
                      <w14:textFill>
                        <w14:solidFill>
                          <w14:schemeClr w14:val="tx1"/>
                        </w14:solidFill>
                      </w14:textFill>
                    </w:rPr>
                    <w:t>县县城水源地最近，距离为2.4km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巴家咀水库水源地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南小河沟备用水源地</w:t>
                  </w:r>
                </w:p>
              </w:tc>
              <w:tc>
                <w:tcPr>
                  <w:tcW w:w="527"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马莲河水库水源地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崇信县县城水源地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N</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瓦岗川水源保护区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王家河水库</w:t>
                  </w:r>
                </w:p>
              </w:tc>
              <w:tc>
                <w:tcPr>
                  <w:tcW w:w="527"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冉河川水源保护区</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纸坊沟水源保护区</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马岭东沟水源保护区</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柔远东沟水源地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金岔沟水源地</w:t>
                  </w:r>
                </w:p>
              </w:tc>
              <w:tc>
                <w:tcPr>
                  <w:tcW w:w="527"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鸭儿湾水源地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梁南沟水源地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458" w:type="pct"/>
                  <w:vMerge w:val="continue"/>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p>
              </w:tc>
              <w:tc>
                <w:tcPr>
                  <w:tcW w:w="1046" w:type="pct"/>
                  <w:vAlign w:val="center"/>
                </w:tcPr>
                <w:p>
                  <w:pPr>
                    <w:autoSpaceDE w:val="0"/>
                    <w:autoSpaceDN w:val="0"/>
                    <w:jc w:val="center"/>
                    <w:rPr>
                      <w:rFonts w:hint="default"/>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平凉市水源地</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内蒙</w:t>
                  </w:r>
                </w:p>
              </w:tc>
              <w:tc>
                <w:tcPr>
                  <w:tcW w:w="458"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湿地公园</w:t>
                  </w: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内蒙古萨拉乌苏国家湿地公园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湿地</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E</w:t>
                  </w:r>
                </w:p>
              </w:tc>
              <w:tc>
                <w:tcPr>
                  <w:tcW w:w="783" w:type="pct"/>
                  <w:vAlign w:val="center"/>
                </w:tcPr>
                <w:p>
                  <w:pPr>
                    <w:autoSpaceDE w:val="0"/>
                    <w:autoSpaceDN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ZKY1-8与其最近，距离为77.0km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宁夏</w:t>
                  </w:r>
                </w:p>
              </w:tc>
              <w:tc>
                <w:tcPr>
                  <w:tcW w:w="458"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灵武白芨滩国家级自然保护区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fldChar w:fldCharType="begin"/>
                  </w:r>
                  <w:r>
                    <w:rPr>
                      <w:rFonts w:hint="eastAsia" w:cs="Times New Roman"/>
                      <w:color w:val="000000" w:themeColor="text1"/>
                      <w:sz w:val="21"/>
                      <w:szCs w:val="21"/>
                      <w:lang w:val="en-US" w:eastAsia="zh-CN"/>
                      <w14:textFill>
                        <w14:solidFill>
                          <w14:schemeClr w14:val="tx1"/>
                        </w14:solidFill>
                      </w14:textFill>
                    </w:rPr>
                    <w:instrText xml:space="preserve"> HYPERLINK "https://baike.baidu.com/item/%E6%9F%A0%E6%9D%A1" \t "https://baike.baidu.com/item/%E5%AE%81%E5%A4%8F%E7%81%B5%E6%AD%A6%E7%99%BD%E8%8A%A8%E6%BB%A9%E5%9B%BD%E5%AE%B6%E7%BA%A7%E8%87%AA%E7%84%B6%E4%BF%9D%E6%8A%A4%E5%8C%BA/_blank" </w:instrText>
                  </w:r>
                  <w:r>
                    <w:rPr>
                      <w:rFonts w:hint="eastAsia" w:cs="Times New Roman"/>
                      <w:color w:val="000000" w:themeColor="text1"/>
                      <w:sz w:val="21"/>
                      <w:szCs w:val="21"/>
                      <w:lang w:val="en-US" w:eastAsia="zh-CN"/>
                      <w14:textFill>
                        <w14:solidFill>
                          <w14:schemeClr w14:val="tx1"/>
                        </w14:solidFill>
                      </w14:textFill>
                    </w:rPr>
                    <w:fldChar w:fldCharType="separate"/>
                  </w:r>
                  <w:r>
                    <w:rPr>
                      <w:rFonts w:hint="eastAsia" w:cs="Times New Roman"/>
                      <w:color w:val="000000" w:themeColor="text1"/>
                      <w:sz w:val="21"/>
                      <w:szCs w:val="21"/>
                      <w:lang w:val="en-US" w:eastAsia="zh-CN"/>
                      <w14:textFill>
                        <w14:solidFill>
                          <w14:schemeClr w14:val="tx1"/>
                        </w14:solidFill>
                      </w14:textFill>
                    </w:rPr>
                    <w:t>柠条</w:t>
                  </w:r>
                  <w:r>
                    <w:rPr>
                      <w:rFonts w:hint="eastAsia" w:cs="Times New Roman"/>
                      <w:color w:val="000000" w:themeColor="text1"/>
                      <w:sz w:val="21"/>
                      <w:szCs w:val="21"/>
                      <w:lang w:val="en-US" w:eastAsia="zh-CN"/>
                      <w14:textFill>
                        <w14:solidFill>
                          <w14:schemeClr w14:val="tx1"/>
                        </w14:solidFill>
                      </w14:textFill>
                    </w:rPr>
                    <w:fldChar w:fldCharType="end"/>
                  </w:r>
                  <w:r>
                    <w:rPr>
                      <w:rFonts w:hint="eastAsia" w:cs="Times New Roman"/>
                      <w:color w:val="000000" w:themeColor="text1"/>
                      <w:sz w:val="21"/>
                      <w:szCs w:val="21"/>
                      <w:lang w:val="en-US" w:eastAsia="zh-CN"/>
                      <w14:textFill>
                        <w14:solidFill>
                          <w14:schemeClr w14:val="tx1"/>
                        </w14:solidFill>
                      </w14:textFill>
                    </w:rPr>
                    <w:t>、</w:t>
                  </w:r>
                  <w:r>
                    <w:rPr>
                      <w:rFonts w:hint="eastAsia" w:cs="Times New Roman"/>
                      <w:color w:val="000000" w:themeColor="text1"/>
                      <w:sz w:val="21"/>
                      <w:szCs w:val="21"/>
                      <w:lang w:val="en-US" w:eastAsia="zh-CN"/>
                      <w14:textFill>
                        <w14:solidFill>
                          <w14:schemeClr w14:val="tx1"/>
                        </w14:solidFill>
                      </w14:textFill>
                    </w:rPr>
                    <w:fldChar w:fldCharType="begin"/>
                  </w:r>
                  <w:r>
                    <w:rPr>
                      <w:rFonts w:hint="eastAsia" w:cs="Times New Roman"/>
                      <w:color w:val="000000" w:themeColor="text1"/>
                      <w:sz w:val="21"/>
                      <w:szCs w:val="21"/>
                      <w:lang w:val="en-US" w:eastAsia="zh-CN"/>
                      <w14:textFill>
                        <w14:solidFill>
                          <w14:schemeClr w14:val="tx1"/>
                        </w14:solidFill>
                      </w14:textFill>
                    </w:rPr>
                    <w:instrText xml:space="preserve"> HYPERLINK "https://baike.baidu.com/item/%E7%8C%AB%E5%A4%B4%E5%88%BA" \t "https://baike.baidu.com/item/%E5%AE%81%E5%A4%8F%E7%81%B5%E6%AD%A6%E7%99%BD%E8%8A%A8%E6%BB%A9%E5%9B%BD%E5%AE%B6%E7%BA%A7%E8%87%AA%E7%84%B6%E4%BF%9D%E6%8A%A4%E5%8C%BA/_blank" </w:instrText>
                  </w:r>
                  <w:r>
                    <w:rPr>
                      <w:rFonts w:hint="eastAsia" w:cs="Times New Roman"/>
                      <w:color w:val="000000" w:themeColor="text1"/>
                      <w:sz w:val="21"/>
                      <w:szCs w:val="21"/>
                      <w:lang w:val="en-US" w:eastAsia="zh-CN"/>
                      <w14:textFill>
                        <w14:solidFill>
                          <w14:schemeClr w14:val="tx1"/>
                        </w14:solidFill>
                      </w14:textFill>
                    </w:rPr>
                    <w:fldChar w:fldCharType="separate"/>
                  </w:r>
                  <w:r>
                    <w:rPr>
                      <w:rFonts w:hint="eastAsia" w:cs="Times New Roman"/>
                      <w:color w:val="000000" w:themeColor="text1"/>
                      <w:sz w:val="21"/>
                      <w:szCs w:val="21"/>
                      <w:lang w:val="en-US" w:eastAsia="zh-CN"/>
                      <w14:textFill>
                        <w14:solidFill>
                          <w14:schemeClr w14:val="tx1"/>
                        </w14:solidFill>
                      </w14:textFill>
                    </w:rPr>
                    <w:t>猫头刺</w:t>
                  </w:r>
                  <w:r>
                    <w:rPr>
                      <w:rFonts w:hint="eastAsia" w:cs="Times New Roman"/>
                      <w:color w:val="000000" w:themeColor="text1"/>
                      <w:sz w:val="21"/>
                      <w:szCs w:val="21"/>
                      <w:lang w:val="en-US" w:eastAsia="zh-CN"/>
                      <w14:textFill>
                        <w14:solidFill>
                          <w14:schemeClr w14:val="tx1"/>
                        </w14:solidFill>
                      </w14:textFill>
                    </w:rPr>
                    <w:fldChar w:fldCharType="end"/>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ZKY2-2</w:t>
                  </w:r>
                  <w:r>
                    <w:rPr>
                      <w:rFonts w:hint="eastAsia" w:cs="Times New Roman"/>
                      <w:color w:val="000000" w:themeColor="text1"/>
                      <w:kern w:val="2"/>
                      <w:sz w:val="21"/>
                      <w:szCs w:val="21"/>
                      <w:lang w:val="en-US" w:eastAsia="zh-CN" w:bidi="ar-SA"/>
                      <w14:textFill>
                        <w14:solidFill>
                          <w14:schemeClr w14:val="tx1"/>
                        </w14:solidFill>
                      </w14:textFill>
                    </w:rPr>
                    <w:t>钻孔距</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哈巴湖国家级自然保护区</w:t>
                  </w:r>
                  <w:r>
                    <w:rPr>
                      <w:rFonts w:hint="eastAsia" w:ascii="Times New Roman" w:hAnsi="Times New Roman" w:cs="Times New Roman"/>
                      <w:color w:val="000000" w:themeColor="text1"/>
                      <w:sz w:val="21"/>
                      <w:szCs w:val="21"/>
                      <w:lang w:val="en-US" w:eastAsia="zh-CN"/>
                      <w14:textFill>
                        <w14:solidFill>
                          <w14:schemeClr w14:val="tx1"/>
                        </w14:solidFill>
                      </w14:textFill>
                    </w:rPr>
                    <w:t>最近，距离为3.6km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4"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哈巴湖国家级自然保护区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生态系统及动植物</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森林公园</w:t>
                  </w: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宁夏花马寺国家森林公园</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SE</w:t>
                  </w:r>
                </w:p>
              </w:tc>
              <w:tc>
                <w:tcPr>
                  <w:tcW w:w="783" w:type="pct"/>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ZKY2-2</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钻孔</w:t>
                  </w:r>
                  <w:r>
                    <w:rPr>
                      <w:rFonts w:hint="eastAsia" w:cs="Times New Roman"/>
                      <w:color w:val="000000" w:themeColor="text1"/>
                      <w:sz w:val="21"/>
                      <w:szCs w:val="21"/>
                      <w:lang w:val="en-US" w:eastAsia="zh-CN"/>
                      <w14:textFill>
                        <w14:solidFill>
                          <w14:schemeClr w14:val="tx1"/>
                        </w14:solidFill>
                      </w14:textFill>
                    </w:rPr>
                    <w:t>与其最近，距离为20.5km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灵武国家地质公园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S</w:t>
                  </w:r>
                </w:p>
              </w:tc>
              <w:tc>
                <w:tcPr>
                  <w:tcW w:w="783" w:type="pct"/>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ZKY1-5</w:t>
                  </w: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钻孔</w:t>
                  </w:r>
                  <w:r>
                    <w:rPr>
                      <w:rFonts w:hint="eastAsia" w:cs="Times New Roman"/>
                      <w:color w:val="000000" w:themeColor="text1"/>
                      <w:sz w:val="21"/>
                      <w:szCs w:val="21"/>
                      <w:lang w:val="en-US" w:eastAsia="zh-CN"/>
                      <w14:textFill>
                        <w14:solidFill>
                          <w14:schemeClr w14:val="tx1"/>
                        </w14:solidFill>
                      </w14:textFill>
                    </w:rPr>
                    <w:t>与其最近，距离为44.2km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水源保护地</w:t>
                  </w: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水泉沟水源地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lang w:val="en-US" w:eastAsia="zh-CN"/>
                      <w14:textFill>
                        <w14:solidFill>
                          <w14:schemeClr w14:val="tx1"/>
                        </w14:solidFill>
                      </w14:textFill>
                    </w:rPr>
                    <w:t>ZKZ9-2钻孔</w:t>
                  </w:r>
                  <w:r>
                    <w:rPr>
                      <w:rFonts w:hint="eastAsia" w:cs="Times New Roman"/>
                      <w:color w:val="000000" w:themeColor="text1"/>
                      <w:sz w:val="21"/>
                      <w:szCs w:val="21"/>
                      <w:lang w:val="en-US" w:eastAsia="zh-CN"/>
                      <w14:textFill>
                        <w14:solidFill>
                          <w14:schemeClr w14:val="tx1"/>
                        </w14:solidFill>
                      </w14:textFill>
                    </w:rPr>
                    <w:t>与</w:t>
                  </w:r>
                  <w:r>
                    <w:rPr>
                      <w:rFonts w:hint="eastAsia"/>
                      <w:bCs/>
                      <w:color w:val="000000" w:themeColor="text1"/>
                      <w:sz w:val="21"/>
                      <w:szCs w:val="21"/>
                      <w:lang w:val="en-US" w:eastAsia="zh-CN"/>
                      <w14:textFill>
                        <w14:solidFill>
                          <w14:schemeClr w14:val="tx1"/>
                        </w14:solidFill>
                      </w14:textFill>
                    </w:rPr>
                    <w:t>冯庄水源地</w:t>
                  </w:r>
                  <w:r>
                    <w:rPr>
                      <w:rFonts w:hint="eastAsia" w:cs="Times New Roman"/>
                      <w:color w:val="000000" w:themeColor="text1"/>
                      <w:sz w:val="21"/>
                      <w:szCs w:val="21"/>
                      <w:lang w:val="en-US" w:eastAsia="zh-CN"/>
                      <w14:textFill>
                        <w14:solidFill>
                          <w14:schemeClr w14:val="tx1"/>
                        </w14:solidFill>
                      </w14:textFill>
                    </w:rPr>
                    <w:t>其最近，距离为9.1km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店洼水水源地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冯庄水源地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N</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曹家沟水源地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bCs/>
                      <w:color w:val="000000" w:themeColor="text1"/>
                      <w:sz w:val="21"/>
                      <w:szCs w:val="21"/>
                      <w:lang w:val="en-US" w:eastAsia="zh-CN"/>
                      <w14:textFill>
                        <w14:solidFill>
                          <w14:schemeClr w14:val="tx1"/>
                        </w14:solidFill>
                      </w14:textFill>
                    </w:rPr>
                  </w:pPr>
                  <w:r>
                    <w:rPr>
                      <w:rFonts w:hint="eastAsia"/>
                      <w:bCs/>
                      <w:color w:val="000000" w:themeColor="text1"/>
                      <w:sz w:val="21"/>
                      <w:szCs w:val="21"/>
                      <w:lang w:val="en-US" w:eastAsia="zh-CN"/>
                      <w14:textFill>
                        <w14:solidFill>
                          <w14:schemeClr w14:val="tx1"/>
                        </w14:solidFill>
                      </w14:textFill>
                    </w:rPr>
                    <w:t>榆又树水源地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雅石沟水源地</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685"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水源</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山西省</w:t>
                  </w:r>
                </w:p>
              </w:tc>
              <w:tc>
                <w:tcPr>
                  <w:tcW w:w="458"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自然保护区</w:t>
                  </w: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山西五鹿山国家级自然保护区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国家级</w:t>
                  </w:r>
                </w:p>
              </w:tc>
              <w:tc>
                <w:tcPr>
                  <w:tcW w:w="685" w:type="pct"/>
                  <w:vAlign w:val="center"/>
                </w:tcPr>
                <w:p>
                  <w:pPr>
                    <w:autoSpaceDE w:val="0"/>
                    <w:autoSpaceDN w:val="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褐马鸡、白皮松等野生动植物及其生境</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eastAsia="zh-CN"/>
                      <w14:textFill>
                        <w14:solidFill>
                          <w14:schemeClr w14:val="tx1"/>
                        </w14:solidFill>
                      </w14:textFill>
                    </w:rPr>
                    <w:t>勘查区</w:t>
                  </w:r>
                  <w:r>
                    <w:rPr>
                      <w:rFonts w:hint="default" w:ascii="Times New Roman" w:hAnsi="Times New Roman" w:cs="Times New Roman"/>
                      <w:color w:val="000000" w:themeColor="text1"/>
                      <w:sz w:val="21"/>
                      <w:szCs w:val="21"/>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w:t>
                  </w:r>
                </w:p>
              </w:tc>
              <w:tc>
                <w:tcPr>
                  <w:tcW w:w="783" w:type="pct"/>
                  <w:vMerge w:val="restart"/>
                  <w:vAlign w:val="center"/>
                </w:tcPr>
                <w:p>
                  <w:pPr>
                    <w:autoSpaceDE w:val="0"/>
                    <w:autoSpaceDN w:val="0"/>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该区域2022年未设置钻孔作业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山西团圆山省级自然保护区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635" w:type="pct"/>
                  <w:vAlign w:val="center"/>
                </w:tcPr>
                <w:p>
                  <w:pPr>
                    <w:autoSpaceDE w:val="0"/>
                    <w:autoSpaceDN w:val="0"/>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山西人祖山省级自然保护区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山西管头山省级自然保护区</w:t>
                  </w:r>
                </w:p>
              </w:tc>
              <w:tc>
                <w:tcPr>
                  <w:tcW w:w="527"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森林公园</w:t>
                  </w: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安国寺省级森林公园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森林公园</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地质公园</w:t>
                  </w: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碛口省级地质公园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隰县午城黄土省级地质公园</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地质公园</w:t>
                  </w:r>
                </w:p>
              </w:tc>
              <w:tc>
                <w:tcPr>
                  <w:tcW w:w="635" w:type="pct"/>
                  <w:vAlign w:val="center"/>
                </w:tcPr>
                <w:p>
                  <w:pPr>
                    <w:autoSpaceDE w:val="0"/>
                    <w:autoSpaceDN w:val="0"/>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restart"/>
                  <w:vAlign w:val="center"/>
                </w:tcPr>
                <w:p>
                  <w:pPr>
                    <w:autoSpaceDE w:val="0"/>
                    <w:autoSpaceDN w:val="0"/>
                    <w:jc w:val="center"/>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风景名胜区</w:t>
                  </w: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姑射山省级风景名胜区</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南阳沟省级风景名胜区</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1"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458" w:type="pct"/>
                  <w:vMerge w:val="continue"/>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p>
              </w:tc>
              <w:tc>
                <w:tcPr>
                  <w:tcW w:w="1046" w:type="pct"/>
                  <w:vAlign w:val="center"/>
                </w:tcPr>
                <w:p>
                  <w:pPr>
                    <w:autoSpaceDE w:val="0"/>
                    <w:autoSpaceDN w:val="0"/>
                    <w:jc w:val="cente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云丘山省级风景名胜区</w:t>
                  </w:r>
                </w:p>
              </w:tc>
              <w:tc>
                <w:tcPr>
                  <w:tcW w:w="527"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省级</w:t>
                  </w:r>
                </w:p>
              </w:tc>
              <w:tc>
                <w:tcPr>
                  <w:tcW w:w="685" w:type="pct"/>
                  <w:vAlign w:val="center"/>
                </w:tcPr>
                <w:p>
                  <w:pPr>
                    <w:autoSpaceDE w:val="0"/>
                    <w:autoSpaceDN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风景名胜区</w:t>
                  </w:r>
                </w:p>
              </w:tc>
              <w:tc>
                <w:tcPr>
                  <w:tcW w:w="635" w:type="pct"/>
                  <w:vAlign w:val="center"/>
                </w:tcPr>
                <w:p>
                  <w:pPr>
                    <w:autoSpaceDE w:val="0"/>
                    <w:autoSpaceDN w:val="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勘查区</w:t>
                  </w:r>
                  <w:r>
                    <w:rPr>
                      <w:rFonts w:hint="eastAsia" w:ascii="Times New Roman" w:hAnsi="Times New Roman" w:cs="Times New Roman"/>
                      <w:color w:val="000000" w:themeColor="text1"/>
                      <w:sz w:val="21"/>
                      <w:szCs w:val="21"/>
                      <w:lang w:val="en-US" w:eastAsia="zh-CN"/>
                      <w14:textFill>
                        <w14:solidFill>
                          <w14:schemeClr w14:val="tx1"/>
                        </w14:solidFill>
                      </w14:textFill>
                    </w:rPr>
                    <w:t>内</w:t>
                  </w:r>
                </w:p>
              </w:tc>
              <w:tc>
                <w:tcPr>
                  <w:tcW w:w="432" w:type="pct"/>
                  <w:vAlign w:val="center"/>
                </w:tcPr>
                <w:p>
                  <w:pPr>
                    <w:autoSpaceDE w:val="0"/>
                    <w:autoSpaceDN w:val="0"/>
                    <w:jc w:val="center"/>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783" w:type="pct"/>
                  <w:vMerge w:val="continue"/>
                  <w:vAlign w:val="center"/>
                </w:tcPr>
                <w:p>
                  <w:pPr>
                    <w:autoSpaceDE w:val="0"/>
                    <w:autoSpaceDN w:val="0"/>
                    <w:rPr>
                      <w:rFonts w:hint="eastAsia" w:cs="Times New Roman"/>
                      <w:color w:val="000000" w:themeColor="text1"/>
                      <w:sz w:val="21"/>
                      <w:szCs w:val="21"/>
                      <w:lang w:val="en-US" w:eastAsia="zh-CN"/>
                      <w14:textFill>
                        <w14:solidFill>
                          <w14:schemeClr w14:val="tx1"/>
                        </w14:solidFill>
                      </w14:textFill>
                    </w:rPr>
                  </w:pPr>
                </w:p>
              </w:tc>
            </w:tr>
          </w:tbl>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环境保护目标</w:t>
            </w:r>
          </w:p>
          <w:bookmarkEnd w:id="9"/>
          <w:p>
            <w:pPr>
              <w:pStyle w:val="12"/>
              <w:spacing w:after="0" w:line="360" w:lineRule="auto"/>
              <w:ind w:left="0" w:leftChars="0" w:firstLine="480" w:firstLineChars="200"/>
              <w:rPr>
                <w:rFonts w:hAnsi="宋体"/>
                <w:color w:val="000000" w:themeColor="text1"/>
                <w:sz w:val="24"/>
                <w14:textFill>
                  <w14:solidFill>
                    <w14:schemeClr w14:val="tx1"/>
                  </w14:solidFill>
                </w14:textFill>
              </w:rPr>
            </w:pPr>
            <w:r>
              <w:rPr>
                <w:rFonts w:hint="eastAsia" w:hAnsi="宋体"/>
                <w:color w:val="000000" w:themeColor="text1"/>
                <w:sz w:val="24"/>
                <w14:textFill>
                  <w14:solidFill>
                    <w14:schemeClr w14:val="tx1"/>
                  </w14:solidFill>
                </w14:textFill>
              </w:rPr>
              <w:t>本项目</w:t>
            </w:r>
            <w:r>
              <w:rPr>
                <w:rFonts w:hint="eastAsia" w:hAnsi="宋体"/>
                <w:color w:val="000000" w:themeColor="text1"/>
                <w:sz w:val="24"/>
                <w:lang w:val="en-US" w:eastAsia="zh-CN"/>
                <w14:textFill>
                  <w14:solidFill>
                    <w14:schemeClr w14:val="tx1"/>
                  </w14:solidFill>
                </w14:textFill>
              </w:rPr>
              <w:t>噪声评价范围内无居民，</w:t>
            </w:r>
            <w:r>
              <w:rPr>
                <w:rFonts w:hint="eastAsia" w:hAnsi="宋体"/>
                <w:color w:val="000000" w:themeColor="text1"/>
                <w:sz w:val="24"/>
                <w14:textFill>
                  <w14:solidFill>
                    <w14:schemeClr w14:val="tx1"/>
                  </w14:solidFill>
                </w14:textFill>
              </w:rPr>
              <w:t>环境空气、地表水环境、辐射环境各要素主要环境保护目标见表5</w:t>
            </w:r>
            <w:r>
              <w:rPr>
                <w:rFonts w:hAnsi="宋体"/>
                <w:color w:val="000000" w:themeColor="text1"/>
                <w:sz w:val="24"/>
                <w14:textFill>
                  <w14:solidFill>
                    <w14:schemeClr w14:val="tx1"/>
                  </w14:solidFill>
                </w14:textFill>
              </w:rPr>
              <w:t>-</w:t>
            </w:r>
            <w:r>
              <w:rPr>
                <w:rFonts w:hint="eastAsia" w:hAnsi="宋体"/>
                <w:color w:val="000000" w:themeColor="text1"/>
                <w:sz w:val="24"/>
                <w:lang w:val="en-US" w:eastAsia="zh-CN"/>
                <w14:textFill>
                  <w14:solidFill>
                    <w14:schemeClr w14:val="tx1"/>
                  </w14:solidFill>
                </w14:textFill>
              </w:rPr>
              <w:t>7</w:t>
            </w:r>
            <w:r>
              <w:rPr>
                <w:rFonts w:hint="eastAsia" w:hAnsi="宋体"/>
                <w:color w:val="000000" w:themeColor="text1"/>
                <w:sz w:val="24"/>
                <w14:textFill>
                  <w14:solidFill>
                    <w14:schemeClr w14:val="tx1"/>
                  </w14:solidFill>
                </w14:textFill>
              </w:rPr>
              <w:t>，</w:t>
            </w:r>
            <w:bookmarkStart w:id="10" w:name="_Hlk36127139"/>
            <w:r>
              <w:rPr>
                <w:rFonts w:hint="eastAsia" w:hAnsi="宋体"/>
                <w:color w:val="000000" w:themeColor="text1"/>
                <w:sz w:val="24"/>
                <w:lang w:eastAsia="zh-CN"/>
                <w14:textFill>
                  <w14:solidFill>
                    <w14:schemeClr w14:val="tx1"/>
                  </w14:solidFill>
                </w14:textFill>
              </w:rPr>
              <w:t>勘查区</w:t>
            </w:r>
            <w:r>
              <w:rPr>
                <w:rFonts w:hint="eastAsia" w:hAnsi="宋体"/>
                <w:color w:val="000000" w:themeColor="text1"/>
                <w:sz w:val="24"/>
                <w14:textFill>
                  <w14:solidFill>
                    <w14:schemeClr w14:val="tx1"/>
                  </w14:solidFill>
                </w14:textFill>
              </w:rPr>
              <w:t>主要</w:t>
            </w:r>
            <w:r>
              <w:rPr>
                <w:rFonts w:hint="eastAsia" w:hAnsi="宋体"/>
                <w:color w:val="000000" w:themeColor="text1"/>
                <w:sz w:val="24"/>
                <w:lang w:val="en-US" w:eastAsia="zh-CN"/>
                <w14:textFill>
                  <w14:solidFill>
                    <w14:schemeClr w14:val="tx1"/>
                  </w14:solidFill>
                </w14:textFill>
              </w:rPr>
              <w:t>居民点</w:t>
            </w:r>
            <w:r>
              <w:rPr>
                <w:rFonts w:hint="eastAsia" w:hAnsi="宋体"/>
                <w:color w:val="000000" w:themeColor="text1"/>
                <w:sz w:val="24"/>
                <w14:textFill>
                  <w14:solidFill>
                    <w14:schemeClr w14:val="tx1"/>
                  </w14:solidFill>
                </w14:textFill>
              </w:rPr>
              <w:t>分布</w:t>
            </w:r>
            <w:bookmarkEnd w:id="10"/>
            <w:r>
              <w:rPr>
                <w:rFonts w:hint="eastAsia" w:hAnsi="宋体"/>
                <w:color w:val="000000" w:themeColor="text1"/>
                <w:sz w:val="24"/>
                <w14:textFill>
                  <w14:solidFill>
                    <w14:schemeClr w14:val="tx1"/>
                  </w14:solidFill>
                </w14:textFill>
              </w:rPr>
              <w:t>见</w:t>
            </w:r>
            <w:bookmarkStart w:id="11" w:name="_Hlk36127144"/>
            <w:r>
              <w:rPr>
                <w:rFonts w:hint="eastAsia" w:hAnsi="宋体"/>
                <w:color w:val="000000" w:themeColor="text1"/>
                <w:sz w:val="24"/>
                <w:szCs w:val="24"/>
                <w14:textFill>
                  <w14:solidFill>
                    <w14:schemeClr w14:val="tx1"/>
                  </w14:solidFill>
                </w14:textFill>
              </w:rPr>
              <w:t>附图</w:t>
            </w:r>
            <w:bookmarkEnd w:id="11"/>
            <w:r>
              <w:rPr>
                <w:rFonts w:hint="eastAsia" w:hAnsi="宋体"/>
                <w:color w:val="000000" w:themeColor="text1"/>
                <w:sz w:val="24"/>
                <w:szCs w:val="24"/>
                <w:lang w:val="en-US" w:eastAsia="zh-CN"/>
                <w14:textFill>
                  <w14:solidFill>
                    <w14:schemeClr w14:val="tx1"/>
                  </w14:solidFill>
                </w14:textFill>
              </w:rPr>
              <w:t>14</w:t>
            </w:r>
            <w:r>
              <w:rPr>
                <w:rFonts w:hint="eastAsia" w:hAnsi="宋体"/>
                <w:color w:val="000000" w:themeColor="text1"/>
                <w:sz w:val="24"/>
                <w:szCs w:val="24"/>
                <w14:textFill>
                  <w14:solidFill>
                    <w14:schemeClr w14:val="tx1"/>
                  </w14:solidFill>
                </w14:textFill>
              </w:rPr>
              <w:t>。</w:t>
            </w:r>
          </w:p>
          <w:p>
            <w:pPr>
              <w:spacing w:line="240" w:lineRule="auto"/>
              <w:jc w:val="center"/>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表5-7  主要环境保护目标一览表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275"/>
              <w:gridCol w:w="1167"/>
              <w:gridCol w:w="506"/>
              <w:gridCol w:w="692"/>
              <w:gridCol w:w="2265"/>
              <w:gridCol w:w="1967"/>
              <w:gridCol w:w="16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86" w:hRule="atLeast"/>
                <w:tblHeader/>
                <w:jc w:val="center"/>
              </w:trPr>
              <w:tc>
                <w:tcPr>
                  <w:tcW w:w="672" w:type="pct"/>
                  <w:vMerge w:val="restar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环境要素</w:t>
                  </w:r>
                </w:p>
              </w:tc>
              <w:tc>
                <w:tcPr>
                  <w:tcW w:w="615" w:type="pct"/>
                  <w:vMerge w:val="restart"/>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保护目标</w:t>
                  </w:r>
                </w:p>
              </w:tc>
              <w:tc>
                <w:tcPr>
                  <w:tcW w:w="632" w:type="pct"/>
                  <w:gridSpan w:val="2"/>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相对方位</w:t>
                  </w:r>
                </w:p>
              </w:tc>
              <w:tc>
                <w:tcPr>
                  <w:tcW w:w="1192" w:type="pct"/>
                  <w:vMerge w:val="restar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保护目标基本情况</w:t>
                  </w:r>
                </w:p>
              </w:tc>
              <w:tc>
                <w:tcPr>
                  <w:tcW w:w="1037" w:type="pct"/>
                  <w:vMerge w:val="restar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环境功能区</w:t>
                  </w:r>
                </w:p>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（保护级别、要求）</w:t>
                  </w:r>
                </w:p>
              </w:tc>
              <w:tc>
                <w:tcPr>
                  <w:tcW w:w="849" w:type="pct"/>
                  <w:vMerge w:val="restar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566"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方位</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距离/km</w:t>
                  </w:r>
                </w:p>
              </w:tc>
              <w:tc>
                <w:tcPr>
                  <w:tcW w:w="1192"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95" w:hRule="atLeast"/>
                <w:tblHeader/>
                <w:jc w:val="center"/>
              </w:trPr>
              <w:tc>
                <w:tcPr>
                  <w:tcW w:w="672" w:type="pct"/>
                  <w:vMerge w:val="restar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环境</w:t>
                  </w:r>
                </w:p>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空气</w:t>
                  </w: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榆林市</w:t>
                  </w:r>
                </w:p>
              </w:tc>
              <w:tc>
                <w:tcPr>
                  <w:tcW w:w="267"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restart"/>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《环境空气质量标准》（GB3095-2012）中的</w:t>
                  </w:r>
                  <w:r>
                    <w:rPr>
                      <w:rFonts w:hint="eastAsia"/>
                      <w:color w:val="000000" w:themeColor="text1"/>
                      <w:sz w:val="21"/>
                      <w:szCs w:val="21"/>
                      <w14:textFill>
                        <w14:solidFill>
                          <w14:schemeClr w14:val="tx1"/>
                        </w14:solidFill>
                      </w14:textFill>
                    </w:rPr>
                    <w:t>二级标准</w:t>
                  </w:r>
                </w:p>
              </w:tc>
              <w:tc>
                <w:tcPr>
                  <w:tcW w:w="849" w:type="pct"/>
                  <w:vMerge w:val="restart"/>
                  <w:noWrap w:val="0"/>
                  <w:tcMar>
                    <w:top w:w="15" w:type="dxa"/>
                    <w:left w:w="15" w:type="dxa"/>
                    <w:bottom w:w="0" w:type="dxa"/>
                    <w:right w:w="15" w:type="dxa"/>
                  </w:tcMar>
                  <w:vAlign w:val="center"/>
                </w:tcPr>
                <w:p>
                  <w:pPr>
                    <w:jc w:val="center"/>
                    <w:rPr>
                      <w:rFonts w:hint="eastAsia" w:eastAsia="宋体"/>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95"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延安市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vMerge w:val="continue"/>
                  <w:noWrap w:val="0"/>
                  <w:tcMar>
                    <w:top w:w="15" w:type="dxa"/>
                    <w:left w:w="15" w:type="dxa"/>
                    <w:bottom w:w="0" w:type="dxa"/>
                    <w:right w:w="15" w:type="dxa"/>
                  </w:tcMar>
                  <w:vAlign w:val="center"/>
                </w:tcPr>
                <w:p>
                  <w:pPr>
                    <w:jc w:val="center"/>
                    <w:rPr>
                      <w:rFonts w:hint="eastAsia" w:eastAsia="宋体"/>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95"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渭南市</w:t>
                  </w:r>
                </w:p>
              </w:tc>
              <w:tc>
                <w:tcPr>
                  <w:tcW w:w="267" w:type="pct"/>
                  <w:noWrap w:val="0"/>
                  <w:tcMar>
                    <w:top w:w="15" w:type="dxa"/>
                    <w:left w:w="15" w:type="dxa"/>
                    <w:bottom w:w="0" w:type="dxa"/>
                    <w:right w:w="15" w:type="dxa"/>
                  </w:tcMar>
                  <w:vAlign w:val="center"/>
                </w:tcPr>
                <w:p>
                  <w:pPr>
                    <w:jc w:val="center"/>
                    <w:rPr>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vMerge w:val="continue"/>
                  <w:noWrap w:val="0"/>
                  <w:tcMar>
                    <w:top w:w="15" w:type="dxa"/>
                    <w:left w:w="15" w:type="dxa"/>
                    <w:bottom w:w="0" w:type="dxa"/>
                    <w:right w:w="15" w:type="dxa"/>
                  </w:tcMar>
                  <w:vAlign w:val="center"/>
                </w:tcPr>
                <w:p>
                  <w:pPr>
                    <w:jc w:val="center"/>
                    <w:rPr>
                      <w:rFonts w:hint="eastAsia" w:eastAsia="宋体"/>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56"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铜川市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vMerge w:val="continue"/>
                  <w:noWrap w:val="0"/>
                  <w:tcMar>
                    <w:top w:w="15" w:type="dxa"/>
                    <w:left w:w="15" w:type="dxa"/>
                    <w:bottom w:w="0" w:type="dxa"/>
                    <w:right w:w="15" w:type="dxa"/>
                  </w:tcMar>
                  <w:vAlign w:val="center"/>
                </w:tcPr>
                <w:p>
                  <w:pPr>
                    <w:jc w:val="center"/>
                    <w:rPr>
                      <w:rFonts w:hint="eastAsia" w:eastAsia="宋体"/>
                      <w:color w:val="000000" w:themeColor="text1"/>
                      <w:sz w:val="21"/>
                      <w:szCs w:val="21"/>
                      <w:lang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咸阳市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vMerge w:val="continue"/>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宝鸡市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vMerge w:val="continue"/>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庄科村</w:t>
                  </w:r>
                </w:p>
              </w:tc>
              <w:tc>
                <w:tcPr>
                  <w:tcW w:w="267"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SE</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0.35</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村庄隶属陕西省陇县</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ZKG65-2</w:t>
                  </w:r>
                  <w:r>
                    <w:rPr>
                      <w:rFonts w:hint="eastAsia" w:cs="Times New Roman"/>
                      <w:color w:val="000000" w:themeColor="text1"/>
                      <w:kern w:val="0"/>
                      <w:sz w:val="21"/>
                      <w:szCs w:val="21"/>
                      <w:lang w:val="en-US" w:eastAsia="zh-CN"/>
                      <w14:textFill>
                        <w14:solidFill>
                          <w14:schemeClr w14:val="tx1"/>
                        </w14:solidFill>
                      </w14:textFill>
                    </w:rPr>
                    <w:t>钻孔距离最近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庆阳市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平凉市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西勒村</w:t>
                  </w:r>
                </w:p>
              </w:tc>
              <w:tc>
                <w:tcPr>
                  <w:tcW w:w="267"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0.31</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村庄隶属庆阳市镇原县</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ZKZ4-8</w:t>
                  </w:r>
                  <w:r>
                    <w:rPr>
                      <w:rFonts w:hint="eastAsia" w:cs="Times New Roman"/>
                      <w:color w:val="000000" w:themeColor="text1"/>
                      <w:kern w:val="0"/>
                      <w:sz w:val="21"/>
                      <w:szCs w:val="21"/>
                      <w:lang w:val="en-US" w:eastAsia="zh-CN"/>
                      <w14:textFill>
                        <w14:solidFill>
                          <w14:schemeClr w14:val="tx1"/>
                        </w14:solidFill>
                      </w14:textFill>
                    </w:rPr>
                    <w:t>钻孔距离最近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银川市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吴忠市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固原市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五里坎</w:t>
                  </w:r>
                </w:p>
              </w:tc>
              <w:tc>
                <w:tcPr>
                  <w:tcW w:w="267" w:type="pct"/>
                  <w:noWrap w:val="0"/>
                  <w:tcMar>
                    <w:top w:w="15" w:type="dxa"/>
                    <w:left w:w="15" w:type="dxa"/>
                    <w:bottom w:w="0" w:type="dxa"/>
                    <w:right w:w="15" w:type="dxa"/>
                  </w:tcMar>
                  <w:vAlign w:val="center"/>
                </w:tcPr>
                <w:p>
                  <w:pPr>
                    <w:widowControl/>
                    <w:jc w:val="cente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cs="Times New Roman"/>
                      <w:color w:val="000000" w:themeColor="text1"/>
                      <w:kern w:val="0"/>
                      <w:sz w:val="21"/>
                      <w:szCs w:val="21"/>
                      <w:lang w:val="en-US" w:eastAsia="zh-CN" w:bidi="ar-SA"/>
                      <w14:textFill>
                        <w14:solidFill>
                          <w14:schemeClr w14:val="tx1"/>
                        </w14:solidFill>
                      </w14:textFill>
                    </w:rPr>
                    <w:t>W</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s="Times New Roman"/>
                      <w:color w:val="000000" w:themeColor="text1"/>
                      <w:kern w:val="0"/>
                      <w:sz w:val="21"/>
                      <w:szCs w:val="21"/>
                      <w:lang w:val="en-US" w:eastAsia="zh-CN"/>
                      <w14:textFill>
                        <w14:solidFill>
                          <w14:schemeClr w14:val="tx1"/>
                        </w14:solidFill>
                      </w14:textFill>
                    </w:rPr>
                    <w:t>0.43</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隶属吴忠市盐池县</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与</w:t>
                  </w:r>
                  <w:r>
                    <w:rPr>
                      <w:rFonts w:hint="default" w:ascii="Times New Roman" w:hAnsi="Times New Roman" w:eastAsia="宋体" w:cs="Times New Roman"/>
                      <w:color w:val="000000" w:themeColor="text1"/>
                      <w:kern w:val="0"/>
                      <w:sz w:val="21"/>
                      <w:szCs w:val="21"/>
                      <w14:textFill>
                        <w14:solidFill>
                          <w14:schemeClr w14:val="tx1"/>
                        </w14:solidFill>
                      </w14:textFill>
                    </w:rPr>
                    <w:t>ZKY2-2</w:t>
                  </w:r>
                  <w:r>
                    <w:rPr>
                      <w:rFonts w:hint="eastAsia" w:cs="Times New Roman"/>
                      <w:color w:val="000000" w:themeColor="text1"/>
                      <w:kern w:val="0"/>
                      <w:sz w:val="21"/>
                      <w:szCs w:val="21"/>
                      <w:lang w:val="en-US" w:eastAsia="zh-CN"/>
                      <w14:textFill>
                        <w14:solidFill>
                          <w14:schemeClr w14:val="tx1"/>
                        </w14:solidFill>
                      </w14:textFill>
                    </w:rPr>
                    <w:t>钻孔距离最近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鄂托克前旗</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旗（县级）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乌审旗</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旗（县级）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二道川一队</w:t>
                  </w:r>
                </w:p>
              </w:tc>
              <w:tc>
                <w:tcPr>
                  <w:tcW w:w="267"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NW</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0.54</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隶属鄂托克前旗</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与距</w:t>
                  </w:r>
                  <w:r>
                    <w:rPr>
                      <w:rFonts w:hint="default" w:ascii="Times New Roman" w:hAnsi="Times New Roman" w:eastAsia="宋体" w:cs="Times New Roman"/>
                      <w:color w:val="000000" w:themeColor="text1"/>
                      <w:kern w:val="0"/>
                      <w:sz w:val="21"/>
                      <w:szCs w:val="21"/>
                      <w14:textFill>
                        <w14:solidFill>
                          <w14:schemeClr w14:val="tx1"/>
                        </w14:solidFill>
                      </w14:textFill>
                    </w:rPr>
                    <w:t>ZKY1-7</w:t>
                  </w:r>
                  <w:r>
                    <w:rPr>
                      <w:rFonts w:hint="eastAsia" w:cs="Times New Roman"/>
                      <w:color w:val="000000" w:themeColor="text1"/>
                      <w:kern w:val="0"/>
                      <w:sz w:val="21"/>
                      <w:szCs w:val="21"/>
                      <w:lang w:val="en-US" w:eastAsia="zh-CN"/>
                      <w14:textFill>
                        <w14:solidFill>
                          <w14:schemeClr w14:val="tx1"/>
                        </w14:solidFill>
                      </w14:textFill>
                    </w:rPr>
                    <w:t>钻孔距离最近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吕梁市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临汾市</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市级</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eastAsia="宋体"/>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0" w:hRule="atLeast"/>
                <w:tblHeader/>
                <w:jc w:val="center"/>
              </w:trPr>
              <w:tc>
                <w:tcPr>
                  <w:tcW w:w="672" w:type="pct"/>
                  <w:vMerge w:val="restar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地表水</w:t>
                  </w: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黄河</w:t>
                  </w:r>
                </w:p>
              </w:tc>
              <w:tc>
                <w:tcPr>
                  <w:tcW w:w="267" w:type="pct"/>
                  <w:noWrap w:val="0"/>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勘查区内长度约279.2km</w:t>
                  </w:r>
                </w:p>
              </w:tc>
              <w:tc>
                <w:tcPr>
                  <w:tcW w:w="1037" w:type="pct"/>
                  <w:vMerge w:val="restart"/>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《地表水环境质量标准》（GB3838-2002）</w:t>
                  </w:r>
                  <w:r>
                    <w:rPr>
                      <w:rFonts w:hint="eastAsia"/>
                      <w:color w:val="000000" w:themeColor="text1"/>
                      <w:sz w:val="21"/>
                      <w:szCs w:val="21"/>
                      <w:lang w:val="en-US" w:eastAsia="zh-CN"/>
                      <w14:textFill>
                        <w14:solidFill>
                          <w14:schemeClr w14:val="tx1"/>
                        </w14:solidFill>
                      </w14:textFill>
                    </w:rPr>
                    <w:t>Ⅱ</w:t>
                  </w:r>
                  <w:r>
                    <w:rPr>
                      <w:rFonts w:hint="eastAsia"/>
                      <w:color w:val="000000" w:themeColor="text1"/>
                      <w:sz w:val="21"/>
                      <w:szCs w:val="21"/>
                      <w14:textFill>
                        <w14:solidFill>
                          <w14:schemeClr w14:val="tx1"/>
                        </w14:solidFill>
                      </w14:textFill>
                    </w:rPr>
                    <w:t>类</w:t>
                  </w:r>
                  <w:r>
                    <w:rPr>
                      <w:rFonts w:hint="eastAsia"/>
                      <w:color w:val="000000" w:themeColor="text1"/>
                      <w:sz w:val="21"/>
                      <w:szCs w:val="21"/>
                      <w:lang w:eastAsia="zh-CN"/>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Ⅲ类</w:t>
                  </w:r>
                  <w:r>
                    <w:rPr>
                      <w:rFonts w:hint="eastAsia"/>
                      <w:color w:val="000000" w:themeColor="text1"/>
                      <w:sz w:val="21"/>
                      <w:szCs w:val="21"/>
                      <w14:textFill>
                        <w14:solidFill>
                          <w14:schemeClr w14:val="tx1"/>
                        </w14:solidFill>
                      </w14:textFill>
                    </w:rPr>
                    <w:t>标准</w:t>
                  </w: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837"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北洛河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勘查区内长度约357.7km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89"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无定河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勘查区内长度约307.7km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49"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泾河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勘查区内长度约152.9km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88"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沮河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勘查区内长度约81.8km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2"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马栏河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勘查区内长度约74.96km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9"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蒲河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勘查区内长度约182.7km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67"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黑河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勘查区内长度约98km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67"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汭河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勘查区内长度约83.5km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67"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千河</w:t>
                  </w:r>
                </w:p>
              </w:tc>
              <w:tc>
                <w:tcPr>
                  <w:tcW w:w="267"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勘查区内长度约101.8km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67" w:hRule="atLeast"/>
                <w:tblHeader/>
                <w:jc w:val="center"/>
              </w:trPr>
              <w:tc>
                <w:tcPr>
                  <w:tcW w:w="672" w:type="pct"/>
                  <w:vMerge w:val="continue"/>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p>
              </w:tc>
              <w:tc>
                <w:tcPr>
                  <w:tcW w:w="615" w:type="pct"/>
                  <w:noWrap w:val="0"/>
                  <w:tcMar>
                    <w:top w:w="15" w:type="dxa"/>
                    <w:left w:w="15" w:type="dxa"/>
                    <w:bottom w:w="0" w:type="dxa"/>
                    <w:right w:w="15" w:type="dxa"/>
                  </w:tcMar>
                  <w:vAlign w:val="center"/>
                </w:tcPr>
                <w:p>
                  <w:pPr>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洪河</w:t>
                  </w:r>
                </w:p>
              </w:tc>
              <w:tc>
                <w:tcPr>
                  <w:tcW w:w="267" w:type="pct"/>
                  <w:noWrap w:val="0"/>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364" w:type="pct"/>
                  <w:noWrap w:val="0"/>
                  <w:tcMar>
                    <w:top w:w="15" w:type="dxa"/>
                    <w:left w:w="15" w:type="dxa"/>
                    <w:bottom w:w="0" w:type="dxa"/>
                    <w:right w:w="15" w:type="dxa"/>
                  </w:tcMar>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1192" w:type="pct"/>
                  <w:noWrap w:val="0"/>
                  <w:tcMar>
                    <w:top w:w="15" w:type="dxa"/>
                    <w:left w:w="15" w:type="dxa"/>
                    <w:bottom w:w="0" w:type="dxa"/>
                    <w:right w:w="15" w:type="dxa"/>
                  </w:tcMar>
                  <w:vAlign w:val="center"/>
                </w:tcPr>
                <w:p>
                  <w:pPr>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勘查区内长度约135.7km</w:t>
                  </w:r>
                </w:p>
              </w:tc>
              <w:tc>
                <w:tcPr>
                  <w:tcW w:w="1037" w:type="pct"/>
                  <w:vMerge w:val="continue"/>
                  <w:noWrap w:val="0"/>
                  <w:tcMar>
                    <w:top w:w="15" w:type="dxa"/>
                    <w:left w:w="15" w:type="dxa"/>
                    <w:bottom w:w="0" w:type="dxa"/>
                    <w:right w:w="15" w:type="dxa"/>
                  </w:tcMar>
                  <w:vAlign w:val="center"/>
                </w:tcPr>
                <w:p>
                  <w:pPr>
                    <w:jc w:val="both"/>
                    <w:rPr>
                      <w:rFonts w:hint="eastAsia"/>
                      <w:color w:val="000000" w:themeColor="text1"/>
                      <w:sz w:val="21"/>
                      <w:szCs w:val="21"/>
                      <w14:textFill>
                        <w14:solidFill>
                          <w14:schemeClr w14:val="tx1"/>
                        </w14:solidFill>
                      </w14:textFill>
                    </w:rPr>
                  </w:pPr>
                </w:p>
              </w:tc>
              <w:tc>
                <w:tcPr>
                  <w:tcW w:w="849" w:type="pct"/>
                  <w:noWrap w:val="0"/>
                  <w:tcMar>
                    <w:top w:w="15" w:type="dxa"/>
                    <w:left w:w="15" w:type="dxa"/>
                    <w:bottom w:w="0" w:type="dxa"/>
                    <w:right w:w="15" w:type="dxa"/>
                  </w:tcMar>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w:t>
                  </w:r>
                  <w:r>
                    <w:rPr>
                      <w:rFonts w:hint="eastAsia"/>
                      <w:color w:val="000000" w:themeColor="text1"/>
                      <w:sz w:val="21"/>
                      <w:szCs w:val="21"/>
                      <w14:textFill>
                        <w14:solidFill>
                          <w14:schemeClr w14:val="tx1"/>
                        </w14:solidFill>
                      </w14:textFill>
                    </w:rPr>
                    <w:t>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394" w:hRule="atLeast"/>
                <w:tblHeader/>
                <w:jc w:val="center"/>
              </w:trPr>
              <w:tc>
                <w:tcPr>
                  <w:tcW w:w="672" w:type="pct"/>
                  <w:noWrap w:val="0"/>
                  <w:tcMar>
                    <w:top w:w="15" w:type="dxa"/>
                    <w:left w:w="15" w:type="dxa"/>
                    <w:bottom w:w="0" w:type="dxa"/>
                    <w:right w:w="15" w:type="dxa"/>
                  </w:tcMar>
                  <w:vAlign w:val="center"/>
                </w:tcPr>
                <w:p>
                  <w:pPr>
                    <w:jc w:val="center"/>
                    <w:rPr>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辐射环境</w:t>
                  </w:r>
                </w:p>
              </w:tc>
              <w:tc>
                <w:tcPr>
                  <w:tcW w:w="2440" w:type="pct"/>
                  <w:gridSpan w:val="4"/>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铀矿地质钻探场地</w:t>
                  </w:r>
                  <w:r>
                    <w:rPr>
                      <w:rFonts w:ascii="Times New Roman" w:hAnsi="Times New Roman" w:cs="Times New Roman"/>
                      <w:color w:val="000000" w:themeColor="text1"/>
                      <w:sz w:val="21"/>
                      <w:szCs w:val="21"/>
                      <w:lang w:eastAsia="zh-CN"/>
                      <w14:textFill>
                        <w14:solidFill>
                          <w14:schemeClr w14:val="tx1"/>
                        </w14:solidFill>
                      </w14:textFill>
                    </w:rPr>
                    <w:t>500m</w:t>
                  </w:r>
                  <w:r>
                    <w:rPr>
                      <w:rFonts w:ascii="Times New Roman" w:cs="Times New Roman"/>
                      <w:color w:val="000000" w:themeColor="text1"/>
                      <w:sz w:val="21"/>
                      <w:szCs w:val="21"/>
                      <w:lang w:eastAsia="zh-CN"/>
                      <w14:textFill>
                        <w14:solidFill>
                          <w14:schemeClr w14:val="tx1"/>
                        </w14:solidFill>
                      </w14:textFill>
                    </w:rPr>
                    <w:t>评价范围内居民</w:t>
                  </w:r>
                </w:p>
              </w:tc>
              <w:tc>
                <w:tcPr>
                  <w:tcW w:w="1037" w:type="pct"/>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本项目未设置公众剂量约束值，作业过程中应确保不对公众造成影响</w:t>
                  </w:r>
                </w:p>
              </w:tc>
              <w:tc>
                <w:tcPr>
                  <w:tcW w:w="849" w:type="pct"/>
                  <w:noWrap w:val="0"/>
                  <w:tcMar>
                    <w:top w:w="15" w:type="dxa"/>
                    <w:left w:w="15" w:type="dxa"/>
                    <w:bottom w:w="0" w:type="dxa"/>
                    <w:right w:w="15" w:type="dxa"/>
                  </w:tcMar>
                  <w:vAlign w:val="center"/>
                </w:tcPr>
                <w:p>
                  <w:pPr>
                    <w:jc w:val="both"/>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勘查区内</w:t>
                  </w:r>
                </w:p>
              </w:tc>
            </w:tr>
          </w:tbl>
          <w:p>
            <w:pPr>
              <w:pStyle w:val="12"/>
              <w:spacing w:after="0" w:line="360" w:lineRule="auto"/>
              <w:ind w:left="0" w:leftChars="0" w:firstLine="560" w:firstLineChars="200"/>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w w:val="95"/>
          <w:sz w:val="32"/>
          <w14:textFill>
            <w14:solidFill>
              <w14:schemeClr w14:val="tx1"/>
            </w14:solidFill>
          </w14:textFill>
        </w:rPr>
      </w:pPr>
      <w:bookmarkStart w:id="12" w:name="_Toc3795901"/>
      <w:r>
        <w:rPr>
          <w:rFonts w:hint="eastAsia" w:eastAsia="黑体"/>
          <w:color w:val="000000" w:themeColor="text1"/>
          <w:w w:val="95"/>
          <w:sz w:val="32"/>
          <w:lang w:val="en-US" w:eastAsia="zh-CN"/>
          <w14:textFill>
            <w14:solidFill>
              <w14:schemeClr w14:val="tx1"/>
            </w14:solidFill>
          </w14:textFill>
        </w:rPr>
        <w:t>六、</w:t>
      </w:r>
      <w:r>
        <w:rPr>
          <w:rFonts w:eastAsia="黑体"/>
          <w:color w:val="000000" w:themeColor="text1"/>
          <w:w w:val="95"/>
          <w:sz w:val="32"/>
          <w14:textFill>
            <w14:solidFill>
              <w14:schemeClr w14:val="tx1"/>
            </w14:solidFill>
          </w14:textFill>
        </w:rPr>
        <w:t>建设项目工程分析</w:t>
      </w:r>
      <w:bookmarkEnd w:id="12"/>
    </w:p>
    <w:tbl>
      <w:tblPr>
        <w:tblStyle w:val="14"/>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工艺流程及产污环节简述</w:t>
            </w:r>
          </w:p>
          <w:p>
            <w:pPr>
              <w:widowControl/>
              <w:spacing w:line="360" w:lineRule="auto"/>
              <w:ind w:firstLine="480" w:firstLineChars="200"/>
              <w:rPr>
                <w:color w:val="000000" w:themeColor="text1"/>
                <w:kern w:val="0"/>
                <w:sz w:val="24"/>
                <w:lang w:bidi="ar"/>
                <w14:textFill>
                  <w14:solidFill>
                    <w14:schemeClr w14:val="tx1"/>
                  </w14:solidFill>
                </w14:textFill>
              </w:rPr>
            </w:pPr>
            <w:r>
              <w:rPr>
                <w:color w:val="000000" w:themeColor="text1"/>
                <w:kern w:val="0"/>
                <w:sz w:val="24"/>
                <w:lang w:bidi="ar"/>
                <w14:textFill>
                  <w14:solidFill>
                    <w14:schemeClr w14:val="tx1"/>
                  </w14:solidFill>
                </w14:textFill>
              </w:rPr>
              <w:t>本项目钻探工程主要为地质孔钻探</w:t>
            </w:r>
            <w:r>
              <w:rPr>
                <w:rFonts w:hint="eastAsia"/>
                <w:color w:val="000000" w:themeColor="text1"/>
                <w:kern w:val="0"/>
                <w:sz w:val="24"/>
                <w:lang w:val="en-US" w:eastAsia="zh-CN" w:bidi="ar"/>
                <w14:textFill>
                  <w14:solidFill>
                    <w14:schemeClr w14:val="tx1"/>
                  </w14:solidFill>
                </w14:textFill>
              </w:rPr>
              <w:t>,</w:t>
            </w:r>
            <w:r>
              <w:rPr>
                <w:color w:val="000000" w:themeColor="text1"/>
                <w:kern w:val="0"/>
                <w:sz w:val="24"/>
                <w:lang w:bidi="ar"/>
                <w14:textFill>
                  <w14:solidFill>
                    <w14:schemeClr w14:val="tx1"/>
                  </w14:solidFill>
                </w14:textFill>
              </w:rPr>
              <w:t>依据钻孔设计特点，结合勘查区地质情况和以往施工经验，详细施工工艺流程如下：</w:t>
            </w:r>
          </w:p>
          <w:p>
            <w:pPr>
              <w:widowControl/>
              <w:autoSpaceDE/>
              <w:autoSpaceDN/>
              <w:spacing w:line="360" w:lineRule="auto"/>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1、钻探施工工艺</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（1）钻前准备</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前准备工作包括钻孔测量定位、平整场地、孔位复合、设备进场安装、开孔前技术交底、安全检查、设备试运行等工作，本项目采用了无毒无害或毒性极小的水基钻井液，不使用油基钻井液，钻井液主要成分为水、钠基膨润土、腐殖酸钾、纤维素等。</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（2）钻井施工</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钻孔用水基泥浆作冲洗液用普通回转钻进方法施工，一般钻孔第四系沉积层采用Φ132全面钻进钻头钻穿第四系进入稳定基岩深度达1～3m后，下入表层套管隔离松散层，然后换用取心钻头钻进至设计深度。钻探机组以柴油发电机组作为动力，带动钻机、泥浆泵钻进钻孔，带动泥浆搅拌机搅拌钻进钻孔用的泥浆，带动除砂器清除泥浆中的岩渣。</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）取芯测样</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提取岩芯后，按先后顺序摆放在岩芯箱内，进行全孔岩芯编录，非矿段岩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填埋，矿段岩芯放置在岩</w:t>
            </w:r>
            <w:r>
              <w:rPr>
                <w:rFonts w:hint="eastAsia"/>
                <w:color w:val="000000" w:themeColor="text1"/>
                <w:lang w:eastAsia="zh-CN"/>
                <w14:textFill>
                  <w14:solidFill>
                    <w14:schemeClr w14:val="tx1"/>
                  </w14:solidFill>
                </w14:textFill>
              </w:rPr>
              <w:t>芯</w:t>
            </w:r>
            <w:r>
              <w:rPr>
                <w:rFonts w:hint="eastAsia"/>
                <w:color w:val="000000" w:themeColor="text1"/>
                <w:sz w:val="24"/>
                <w:szCs w:val="24"/>
                <w:lang w:eastAsia="zh-CN" w:bidi="ar"/>
                <w14:textFill>
                  <w14:solidFill>
                    <w14:schemeClr w14:val="tx1"/>
                  </w14:solidFill>
                </w14:textFill>
              </w:rPr>
              <w:t>库内，后期带回分析、化验。</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4</w:t>
            </w:r>
            <w:r>
              <w:rPr>
                <w:rFonts w:hint="eastAsia"/>
                <w:color w:val="000000" w:themeColor="text1"/>
                <w:sz w:val="24"/>
                <w:lang w:eastAsia="zh-CN"/>
                <w14:textFill>
                  <w14:solidFill>
                    <w14:schemeClr w14:val="tx1"/>
                  </w14:solidFill>
                </w14:textFill>
              </w:rPr>
              <w:t>）孔内测试</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终孔后进行简易水文观测，并进行物探综合测井。</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5</w:t>
            </w:r>
            <w:r>
              <w:rPr>
                <w:rFonts w:hint="eastAsia"/>
                <w:color w:val="000000" w:themeColor="text1"/>
                <w:sz w:val="24"/>
                <w:lang w:eastAsia="zh-CN"/>
                <w14:textFill>
                  <w14:solidFill>
                    <w14:schemeClr w14:val="tx1"/>
                  </w14:solidFill>
                </w14:textFill>
              </w:rPr>
              <w:t>）水泥封孔</w:t>
            </w:r>
          </w:p>
          <w:p>
            <w:pPr>
              <w:widowControl/>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全部测试工作完成后进行封孔，为防止含矿含水层与其上下的含水层贯通，采用高标号4</w:t>
            </w:r>
            <w:r>
              <w:rPr>
                <w:color w:val="000000" w:themeColor="text1"/>
                <w:sz w:val="24"/>
                <w:lang w:eastAsia="zh-CN"/>
                <w14:textFill>
                  <w14:solidFill>
                    <w14:schemeClr w14:val="tx1"/>
                  </w14:solidFill>
                </w14:textFill>
              </w:rPr>
              <w:t>25</w:t>
            </w:r>
            <w:r>
              <w:rPr>
                <w:rFonts w:hint="eastAsia"/>
                <w:color w:val="000000" w:themeColor="text1"/>
                <w:sz w:val="24"/>
                <w:lang w:eastAsia="zh-CN"/>
                <w14:textFill>
                  <w14:solidFill>
                    <w14:schemeClr w14:val="tx1"/>
                  </w14:solidFill>
                </w14:textFill>
              </w:rPr>
              <w:t>#水泥进行全孔封闭，水泥水灰比为 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1，将注浆管下至距封闭孔段底部</w:t>
            </w:r>
            <w:r>
              <w:rPr>
                <w:color w:val="000000" w:themeColor="text1"/>
                <w:sz w:val="24"/>
                <w:lang w:eastAsia="zh-CN"/>
                <w14:textFill>
                  <w14:solidFill>
                    <w14:schemeClr w14:val="tx1"/>
                  </w14:solidFill>
                </w14:textFill>
              </w:rPr>
              <w:t>1m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2m</w:t>
            </w:r>
            <w:r>
              <w:rPr>
                <w:rFonts w:hint="eastAsia"/>
                <w:color w:val="000000" w:themeColor="text1"/>
                <w:sz w:val="24"/>
                <w:lang w:eastAsia="zh-CN"/>
                <w14:textFill>
                  <w14:solidFill>
                    <w14:schemeClr w14:val="tx1"/>
                  </w14:solidFill>
                </w14:textFill>
              </w:rPr>
              <w:t>位置，将水泥经注浆管注入井内，水泥在通过泥浆泵的压力作用下，置换出钻孔内的钻井泥浆，完成固井封孔。</w:t>
            </w:r>
          </w:p>
          <w:p>
            <w:pPr>
              <w:widowControl/>
              <w:spacing w:line="360" w:lineRule="auto"/>
              <w:ind w:firstLine="480" w:firstLineChars="200"/>
              <w:outlineLvl w:val="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（6）场地环境恢复</w:t>
            </w:r>
          </w:p>
          <w:p>
            <w:pPr>
              <w:widowControl/>
              <w:autoSpaceDE/>
              <w:autoSpaceDN/>
              <w:spacing w:line="360" w:lineRule="auto"/>
              <w:ind w:firstLine="480" w:firstLineChars="200"/>
              <w:jc w:val="both"/>
              <w:rPr>
                <w:color w:val="000000" w:themeColor="text1"/>
                <w:kern w:val="0"/>
                <w:sz w:val="24"/>
                <w14:textFill>
                  <w14:solidFill>
                    <w14:schemeClr w14:val="tx1"/>
                  </w14:solidFill>
                </w14:textFill>
              </w:rPr>
            </w:pPr>
            <w:r>
              <w:rPr>
                <w:rFonts w:hint="eastAsia"/>
                <w:color w:val="000000" w:themeColor="text1"/>
                <w:sz w:val="24"/>
                <w:lang w:eastAsia="zh-CN"/>
                <w14:textFill>
                  <w14:solidFill>
                    <w14:schemeClr w14:val="tx1"/>
                  </w14:solidFill>
                </w14:textFill>
              </w:rPr>
              <w:t>设备搬迁后，及时进行场地恢复工作，包括垃圾、废浆、油污清理，泥浆坑、循环槽填埋等。</w:t>
            </w:r>
          </w:p>
          <w:p>
            <w:pPr>
              <w:spacing w:line="360" w:lineRule="auto"/>
              <w:ind w:firstLine="480" w:firstLineChars="200"/>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项目工艺流程及产污环节见图6-1。</w:t>
            </w:r>
          </w:p>
          <w:p>
            <w:pPr>
              <w:spacing w:line="360" w:lineRule="auto"/>
              <w:jc w:val="center"/>
              <w:rPr>
                <w:color w:val="000000" w:themeColor="text1"/>
                <w14:textFill>
                  <w14:solidFill>
                    <w14:schemeClr w14:val="tx1"/>
                  </w14:solidFill>
                </w14:textFill>
              </w:rPr>
            </w:pPr>
            <w:r>
              <w:rPr>
                <w:color w:val="000000" w:themeColor="text1"/>
                <w:lang w:eastAsia="zh-CN"/>
                <w14:textFill>
                  <w14:solidFill>
                    <w14:schemeClr w14:val="tx1"/>
                  </w14:solidFill>
                </w14:textFill>
              </w:rPr>
              <w:object>
                <v:shape id="_x0000_i1025" o:spt="75" type="#_x0000_t75" style="height:454.7pt;width:236pt;" o:ole="t" filled="f" o:preferrelative="t" stroked="f" coordsize="21600,21600">
                  <v:path/>
                  <v:fill on="f" focussize="0,0"/>
                  <v:stroke on="f"/>
                  <v:imagedata r:id="rId18" o:title=""/>
                  <o:lock v:ext="edit" aspectratio="f"/>
                  <w10:wrap type="none"/>
                  <w10:anchorlock/>
                </v:shape>
                <o:OLEObject Type="Embed" ProgID="Visio.Drawing.11" ShapeID="_x0000_i1025" DrawAspect="Content" ObjectID="_1468075725" r:id="rId17">
                  <o:LockedField>false</o:LockedField>
                </o:OLEObject>
              </w:object>
            </w:r>
          </w:p>
          <w:p>
            <w:pPr>
              <w:pStyle w:val="2"/>
              <w:jc w:val="center"/>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b w:val="0"/>
                <w:bCs/>
                <w:color w:val="000000" w:themeColor="text1"/>
                <w:sz w:val="24"/>
                <w14:textFill>
                  <w14:solidFill>
                    <w14:schemeClr w14:val="tx1"/>
                  </w14:solidFill>
                </w14:textFill>
              </w:rPr>
              <w:t>图6-1  钻井工艺流程及</w:t>
            </w:r>
            <w:r>
              <w:rPr>
                <w:rFonts w:hint="default" w:ascii="Times New Roman" w:hAnsi="Times New Roman" w:cs="Times New Roman"/>
                <w:b w:val="0"/>
                <w:bCs/>
                <w:color w:val="000000" w:themeColor="text1"/>
                <w:sz w:val="24"/>
                <w:lang w:val="en-US" w:eastAsia="zh-CN"/>
                <w14:textFill>
                  <w14:solidFill>
                    <w14:schemeClr w14:val="tx1"/>
                  </w14:solidFill>
                </w14:textFill>
              </w:rPr>
              <w:t>产污</w:t>
            </w:r>
            <w:r>
              <w:rPr>
                <w:rFonts w:hint="default" w:ascii="Times New Roman" w:hAnsi="Times New Roman" w:cs="Times New Roman"/>
                <w:b w:val="0"/>
                <w:bCs/>
                <w:color w:val="000000" w:themeColor="text1"/>
                <w:sz w:val="24"/>
                <w14:textFill>
                  <w14:solidFill>
                    <w14:schemeClr w14:val="tx1"/>
                  </w14:solidFill>
                </w14:textFill>
              </w:rPr>
              <w:t>环节示意图</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ascii="Times New Roman" w:hAnsi="Times New Roman" w:cs="Times New Roman"/>
                <w:bCs/>
                <w:color w:val="000000" w:themeColor="text1"/>
                <w:kern w:val="2"/>
                <w:sz w:val="24"/>
                <w:szCs w:val="24"/>
                <w:lang w:eastAsia="zh-CN"/>
                <w14:textFill>
                  <w14:solidFill>
                    <w14:schemeClr w14:val="tx1"/>
                  </w14:solidFill>
                </w14:textFill>
              </w:rPr>
            </w:pPr>
            <w:r>
              <w:rPr>
                <w:rFonts w:ascii="Times New Roman" w:hAnsi="Times New Roman" w:cs="Times New Roman"/>
                <w:bCs/>
                <w:color w:val="000000" w:themeColor="text1"/>
                <w:kern w:val="2"/>
                <w:sz w:val="24"/>
                <w:szCs w:val="24"/>
                <w:lang w:eastAsia="zh-CN"/>
                <w14:textFill>
                  <w14:solidFill>
                    <w14:schemeClr w14:val="tx1"/>
                  </w14:solidFill>
                </w14:textFill>
              </w:rPr>
              <w:t>本项目产污环节情况详见表6-</w:t>
            </w:r>
            <w:r>
              <w:rPr>
                <w:rFonts w:hint="eastAsia" w:ascii="Times New Roman" w:hAnsi="Times New Roman" w:cs="Times New Roman"/>
                <w:bCs/>
                <w:color w:val="000000" w:themeColor="text1"/>
                <w:kern w:val="2"/>
                <w:sz w:val="24"/>
                <w:szCs w:val="24"/>
                <w:lang w:eastAsia="zh-CN"/>
                <w14:textFill>
                  <w14:solidFill>
                    <w14:schemeClr w14:val="tx1"/>
                  </w14:solidFill>
                </w14:textFill>
              </w:rPr>
              <w:t>1</w:t>
            </w:r>
            <w:r>
              <w:rPr>
                <w:rFonts w:ascii="Times New Roman" w:hAnsi="Times New Roman" w:cs="Times New Roman"/>
                <w:bCs/>
                <w:color w:val="000000" w:themeColor="text1"/>
                <w:kern w:val="2"/>
                <w:sz w:val="24"/>
                <w:szCs w:val="24"/>
                <w:lang w:eastAsia="zh-CN"/>
                <w14:textFill>
                  <w14:solidFill>
                    <w14:schemeClr w14:val="tx1"/>
                  </w14:solidFill>
                </w14:textFill>
              </w:rPr>
              <w:t>：</w:t>
            </w:r>
          </w:p>
          <w:p>
            <w:pPr>
              <w:adjustRightInd w:val="0"/>
              <w:spacing w:line="240" w:lineRule="auto"/>
              <w:jc w:val="center"/>
              <w:textAlignment w:val="baseline"/>
              <w:rPr>
                <w:rFonts w:ascii="Times New Roman" w:hAnsi="Times New Roman" w:cs="Times New Roman"/>
                <w:b w:val="0"/>
                <w:bCs/>
                <w:color w:val="000000" w:themeColor="text1"/>
                <w:kern w:val="2"/>
                <w:sz w:val="24"/>
                <w:szCs w:val="24"/>
                <w14:textFill>
                  <w14:solidFill>
                    <w14:schemeClr w14:val="tx1"/>
                  </w14:solidFill>
                </w14:textFill>
              </w:rPr>
            </w:pPr>
            <w:r>
              <w:rPr>
                <w:rFonts w:ascii="Times New Roman" w:hAnsi="Times New Roman" w:cs="Times New Roman"/>
                <w:b w:val="0"/>
                <w:bCs/>
                <w:color w:val="000000" w:themeColor="text1"/>
                <w:kern w:val="2"/>
                <w:sz w:val="24"/>
                <w:szCs w:val="24"/>
                <w14:textFill>
                  <w14:solidFill>
                    <w14:schemeClr w14:val="tx1"/>
                  </w14:solidFill>
                </w14:textFill>
              </w:rPr>
              <w:t>表6-</w:t>
            </w:r>
            <w:r>
              <w:rPr>
                <w:rFonts w:hint="eastAsia" w:ascii="Times New Roman" w:hAnsi="Times New Roman" w:cs="Times New Roman"/>
                <w:b w:val="0"/>
                <w:bCs/>
                <w:color w:val="000000" w:themeColor="text1"/>
                <w:kern w:val="2"/>
                <w:sz w:val="24"/>
                <w:szCs w:val="24"/>
                <w:lang w:eastAsia="zh-CN"/>
                <w14:textFill>
                  <w14:solidFill>
                    <w14:schemeClr w14:val="tx1"/>
                  </w14:solidFill>
                </w14:textFill>
              </w:rPr>
              <w:t>1</w:t>
            </w:r>
            <w:r>
              <w:rPr>
                <w:rFonts w:ascii="Times New Roman" w:hAnsi="Times New Roman" w:cs="Times New Roman"/>
                <w:b w:val="0"/>
                <w:bCs/>
                <w:color w:val="000000" w:themeColor="text1"/>
                <w:kern w:val="2"/>
                <w:sz w:val="24"/>
                <w:szCs w:val="24"/>
                <w14:textFill>
                  <w14:solidFill>
                    <w14:schemeClr w14:val="tx1"/>
                  </w14:solidFill>
                </w14:textFill>
              </w:rPr>
              <w:t xml:space="preserve">  主要产污环节一览表</w:t>
            </w:r>
          </w:p>
          <w:tbl>
            <w:tblPr>
              <w:tblStyle w:val="14"/>
              <w:tblW w:w="497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287"/>
              <w:gridCol w:w="3327"/>
              <w:gridCol w:w="2956"/>
              <w:gridCol w:w="193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污染类型</w:t>
                  </w:r>
                </w:p>
              </w:tc>
              <w:tc>
                <w:tcPr>
                  <w:tcW w:w="1750"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产污工序</w:t>
                  </w:r>
                </w:p>
              </w:tc>
              <w:tc>
                <w:tcPr>
                  <w:tcW w:w="1555"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污染物种类</w:t>
                  </w:r>
                </w:p>
              </w:tc>
              <w:tc>
                <w:tcPr>
                  <w:tcW w:w="1017" w:type="pct"/>
                  <w:noWrap w:val="0"/>
                  <w:vAlign w:val="center"/>
                </w:tcPr>
                <w:p>
                  <w:pPr>
                    <w:adjustRightInd w:val="0"/>
                    <w:jc w:val="center"/>
                    <w:textAlignment w:val="baseline"/>
                    <w:rPr>
                      <w:rFonts w:ascii="Times New Roman" w:hAnsi="Times New Roman" w:cs="Times New Roman"/>
                      <w:b w:val="0"/>
                      <w:bCs w:val="0"/>
                      <w:color w:val="000000" w:themeColor="text1"/>
                      <w:kern w:val="2"/>
                      <w:sz w:val="21"/>
                      <w:szCs w:val="21"/>
                      <w14:textFill>
                        <w14:solidFill>
                          <w14:schemeClr w14:val="tx1"/>
                        </w14:solidFill>
                      </w14:textFill>
                    </w:rPr>
                  </w:pPr>
                  <w:r>
                    <w:rPr>
                      <w:rFonts w:ascii="Times New Roman" w:hAnsi="Times New Roman" w:cs="Times New Roman"/>
                      <w:b w:val="0"/>
                      <w:bCs w:val="0"/>
                      <w:color w:val="000000" w:themeColor="text1"/>
                      <w:kern w:val="2"/>
                      <w:sz w:val="21"/>
                      <w:szCs w:val="21"/>
                      <w14:textFill>
                        <w14:solidFill>
                          <w14:schemeClr w14:val="tx1"/>
                        </w14:solidFill>
                      </w14:textFill>
                    </w:rPr>
                    <w:t>产生方式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废气</w:t>
                  </w:r>
                </w:p>
              </w:tc>
              <w:tc>
                <w:tcPr>
                  <w:tcW w:w="1750"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555" w:type="pct"/>
                  <w:noWrap w:val="0"/>
                  <w:vAlign w:val="center"/>
                </w:tcPr>
                <w:p>
                  <w:pPr>
                    <w:adjustRightInd w:val="0"/>
                    <w:jc w:val="center"/>
                    <w:textAlignment w:val="baseline"/>
                    <w:rPr>
                      <w:rFonts w:ascii="Times New Roman" w:hAnsi="Times New Roman" w:cs="Times New Roman"/>
                      <w:bCs/>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扬尘</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柴油发电机</w:t>
                  </w:r>
                </w:p>
              </w:tc>
              <w:tc>
                <w:tcPr>
                  <w:tcW w:w="1555" w:type="pct"/>
                  <w:noWrap w:val="0"/>
                  <w:vAlign w:val="center"/>
                </w:tcPr>
                <w:p>
                  <w:pPr>
                    <w:adjustRightInd w:val="0"/>
                    <w:jc w:val="center"/>
                    <w:textAlignment w:val="baseline"/>
                    <w:rPr>
                      <w:rFonts w:hint="eastAsia" w:ascii="Times New Roman" w:hAnsi="Times New Roman" w:eastAsia="宋体" w:cs="Times New Roman"/>
                      <w:color w:val="000000" w:themeColor="text1"/>
                      <w:kern w:val="2"/>
                      <w:sz w:val="21"/>
                      <w:szCs w:val="21"/>
                      <w:lang w:val="en-US" w:eastAsia="zh-CN"/>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烟尘、NOx、SO</w:t>
                  </w:r>
                  <w:r>
                    <w:rPr>
                      <w:rFonts w:ascii="Times New Roman" w:hAnsi="Times New Roman" w:cs="Times New Roman"/>
                      <w:bCs/>
                      <w:color w:val="000000" w:themeColor="text1"/>
                      <w:kern w:val="2"/>
                      <w:sz w:val="21"/>
                      <w:szCs w:val="21"/>
                      <w:vertAlign w:val="subscript"/>
                      <w14:textFill>
                        <w14:solidFill>
                          <w14:schemeClr w14:val="tx1"/>
                        </w14:solidFill>
                      </w14:textFill>
                    </w:rPr>
                    <w:t>2</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CO</w:t>
                  </w:r>
                  <w:r>
                    <w:rPr>
                      <w:rFonts w:ascii="Times New Roman" w:hAnsi="Times New Roman" w:cs="Times New Roman"/>
                      <w:bCs/>
                      <w:color w:val="000000" w:themeColor="text1"/>
                      <w:kern w:val="2"/>
                      <w:sz w:val="21"/>
                      <w:szCs w:val="21"/>
                      <w14:textFill>
                        <w14:solidFill>
                          <w14:schemeClr w14:val="tx1"/>
                        </w14:solidFill>
                      </w14:textFill>
                    </w:rPr>
                    <w:t>、</w:t>
                  </w:r>
                  <w:r>
                    <w:rPr>
                      <w:rFonts w:hint="eastAsia" w:cs="Times New Roman"/>
                      <w:bCs/>
                      <w:color w:val="000000" w:themeColor="text1"/>
                      <w:kern w:val="2"/>
                      <w:sz w:val="21"/>
                      <w:szCs w:val="21"/>
                      <w:lang w:val="en-US" w:eastAsia="zh-CN"/>
                      <w14:textFill>
                        <w14:solidFill>
                          <w14:schemeClr w14:val="tx1"/>
                        </w14:solidFill>
                      </w14:textFill>
                    </w:rPr>
                    <w:t>总烃</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废水</w:t>
                  </w: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生活污水</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噪声</w:t>
                  </w:r>
                </w:p>
              </w:tc>
              <w:tc>
                <w:tcPr>
                  <w:tcW w:w="1750" w:type="pct"/>
                  <w:noWrap w:val="0"/>
                  <w:vAlign w:val="center"/>
                </w:tcPr>
                <w:p>
                  <w:pPr>
                    <w:adjustRightInd w:val="0"/>
                    <w:jc w:val="center"/>
                    <w:textAlignment w:val="baseline"/>
                    <w:rPr>
                      <w:rFonts w:hint="eastAsia"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钻探机组</w:t>
                  </w:r>
                  <w:r>
                    <w:rPr>
                      <w:rFonts w:hint="eastAsia" w:ascii="Times New Roman" w:hAnsi="Times New Roman" w:cs="Times New Roman"/>
                      <w:color w:val="000000" w:themeColor="text1"/>
                      <w:kern w:val="2"/>
                      <w:sz w:val="21"/>
                      <w:szCs w:val="21"/>
                      <w:lang w:eastAsia="zh-CN"/>
                      <w14:textFill>
                        <w14:solidFill>
                          <w14:schemeClr w14:val="tx1"/>
                        </w14:solidFill>
                      </w14:textFill>
                    </w:rPr>
                    <w:t>、柴油发电机、除砂器、</w:t>
                  </w:r>
                </w:p>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除砂器</w:t>
                  </w:r>
                  <w:r>
                    <w:rPr>
                      <w:rFonts w:ascii="Times New Roman" w:hAnsi="Times New Roman" w:cs="Times New Roman"/>
                      <w:color w:val="000000" w:themeColor="text1"/>
                      <w:kern w:val="2"/>
                      <w:sz w:val="21"/>
                      <w:szCs w:val="21"/>
                      <w:lang w:eastAsia="zh-CN"/>
                      <w14:textFill>
                        <w14:solidFill>
                          <w14:schemeClr w14:val="tx1"/>
                        </w14:solidFill>
                      </w14:textFill>
                    </w:rPr>
                    <w:t>及泥浆搅拌机</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等效声级</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restar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固体废物</w:t>
                  </w: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钻孔、封孔</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钻孔泥浆</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取芯测试</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矿段</w:t>
                  </w:r>
                  <w:r>
                    <w:rPr>
                      <w:rFonts w:ascii="Times New Roman" w:hAnsi="Times New Roman" w:cs="Times New Roman"/>
                      <w:color w:val="000000" w:themeColor="text1"/>
                      <w:kern w:val="2"/>
                      <w:sz w:val="21"/>
                      <w:szCs w:val="21"/>
                      <w:lang w:eastAsia="zh-CN"/>
                      <w14:textFill>
                        <w14:solidFill>
                          <w14:schemeClr w14:val="tx1"/>
                        </w14:solidFill>
                      </w14:textFill>
                    </w:rPr>
                    <w:t>岩芯</w:t>
                  </w:r>
                  <w:r>
                    <w:rPr>
                      <w:rFonts w:hint="eastAsia" w:ascii="Times New Roman" w:hAnsi="Times New Roman" w:cs="Times New Roman"/>
                      <w:color w:val="000000" w:themeColor="text1"/>
                      <w:kern w:val="2"/>
                      <w:sz w:val="21"/>
                      <w:szCs w:val="21"/>
                      <w:lang w:eastAsia="zh-CN"/>
                      <w14:textFill>
                        <w14:solidFill>
                          <w14:schemeClr w14:val="tx1"/>
                        </w14:solidFill>
                      </w14:textFill>
                    </w:rPr>
                    <w:t>及非矿段岩芯</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设备维护</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废机油</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间断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vMerge w:val="continue"/>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职工生活</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生活垃圾</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color w:val="000000" w:themeColor="text1"/>
                      <w:kern w:val="2"/>
                      <w:sz w:val="21"/>
                      <w:szCs w:val="21"/>
                      <w14:textFill>
                        <w14:solidFill>
                          <w14:schemeClr w14:val="tx1"/>
                        </w14:solidFill>
                      </w14:textFill>
                    </w:rPr>
                    <w:t>连续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jc w:val="center"/>
              </w:trPr>
              <w:tc>
                <w:tcPr>
                  <w:tcW w:w="677"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生态环境</w:t>
                  </w:r>
                </w:p>
              </w:tc>
              <w:tc>
                <w:tcPr>
                  <w:tcW w:w="1750" w:type="pct"/>
                  <w:noWrap w:val="0"/>
                  <w:vAlign w:val="center"/>
                </w:tcPr>
                <w:p>
                  <w:pPr>
                    <w:adjustRightInd w:val="0"/>
                    <w:jc w:val="center"/>
                    <w:textAlignment w:val="baseline"/>
                    <w:rPr>
                      <w:rFonts w:ascii="Times New Roman" w:hAnsi="Times New Roman" w:cs="Times New Roman"/>
                      <w:color w:val="000000" w:themeColor="text1"/>
                      <w:kern w:val="2"/>
                      <w:sz w:val="21"/>
                      <w:szCs w:val="21"/>
                      <w14:textFill>
                        <w14:solidFill>
                          <w14:schemeClr w14:val="tx1"/>
                        </w14:solidFill>
                      </w14:textFill>
                    </w:rPr>
                  </w:pPr>
                  <w:r>
                    <w:rPr>
                      <w:rFonts w:ascii="Times New Roman" w:hAnsi="Times New Roman" w:cs="Times New Roman"/>
                      <w:bCs/>
                      <w:color w:val="000000" w:themeColor="text1"/>
                      <w:kern w:val="2"/>
                      <w:sz w:val="21"/>
                      <w:szCs w:val="21"/>
                      <w14:textFill>
                        <w14:solidFill>
                          <w14:schemeClr w14:val="tx1"/>
                        </w14:solidFill>
                      </w14:textFill>
                    </w:rPr>
                    <w:t>平整场地</w:t>
                  </w:r>
                </w:p>
              </w:tc>
              <w:tc>
                <w:tcPr>
                  <w:tcW w:w="1555"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hint="eastAsia" w:ascii="Times New Roman" w:hAnsi="Times New Roman" w:cs="Times New Roman"/>
                      <w:color w:val="000000" w:themeColor="text1"/>
                      <w:kern w:val="2"/>
                      <w:sz w:val="21"/>
                      <w:szCs w:val="21"/>
                      <w:lang w:eastAsia="zh-CN"/>
                      <w14:textFill>
                        <w14:solidFill>
                          <w14:schemeClr w14:val="tx1"/>
                        </w14:solidFill>
                      </w14:textFill>
                    </w:rPr>
                    <w:t>植被破坏、水土流失、影响野生动物及景观</w:t>
                  </w:r>
                </w:p>
              </w:tc>
              <w:tc>
                <w:tcPr>
                  <w:tcW w:w="1017" w:type="pct"/>
                  <w:noWrap w:val="0"/>
                  <w:vAlign w:val="center"/>
                </w:tcPr>
                <w:p>
                  <w:pPr>
                    <w:adjustRightInd w:val="0"/>
                    <w:jc w:val="center"/>
                    <w:textAlignment w:val="baseline"/>
                    <w:rPr>
                      <w:rFonts w:ascii="Times New Roman" w:hAnsi="Times New Roman" w:cs="Times New Roman"/>
                      <w:color w:val="000000" w:themeColor="text1"/>
                      <w:kern w:val="2"/>
                      <w:sz w:val="21"/>
                      <w:szCs w:val="21"/>
                      <w:lang w:eastAsia="zh-CN"/>
                      <w14:textFill>
                        <w14:solidFill>
                          <w14:schemeClr w14:val="tx1"/>
                        </w14:solidFill>
                      </w14:textFill>
                    </w:rPr>
                  </w:pPr>
                  <w:r>
                    <w:rPr>
                      <w:rFonts w:ascii="Times New Roman" w:hAnsi="Times New Roman" w:cs="Times New Roman"/>
                      <w:color w:val="000000" w:themeColor="text1"/>
                      <w:kern w:val="2"/>
                      <w:sz w:val="21"/>
                      <w:szCs w:val="21"/>
                      <w:lang w:eastAsia="zh-CN"/>
                      <w14:textFill>
                        <w14:solidFill>
                          <w14:schemeClr w14:val="tx1"/>
                        </w14:solidFill>
                      </w14:textFill>
                    </w:rPr>
                    <w:t>间断</w:t>
                  </w:r>
                </w:p>
              </w:tc>
            </w:tr>
          </w:tbl>
          <w:p>
            <w:pPr>
              <w:widowControl/>
              <w:autoSpaceDE/>
              <w:autoSpaceDN/>
              <w:spacing w:line="360" w:lineRule="auto"/>
              <w:jc w:val="both"/>
              <w:rPr>
                <w:rFonts w:hint="default"/>
                <w:b/>
                <w:bCs/>
                <w:color w:val="000000" w:themeColor="text1"/>
                <w:sz w:val="24"/>
                <w:szCs w:val="24"/>
                <w:lang w:val="en-US" w:eastAsia="zh-CN" w:bidi="ar"/>
                <w14:textFill>
                  <w14:solidFill>
                    <w14:schemeClr w14:val="tx1"/>
                  </w14:solidFill>
                </w14:textFill>
              </w:rPr>
            </w:pPr>
            <w:r>
              <w:rPr>
                <w:rFonts w:hint="eastAsia"/>
                <w:b/>
                <w:bCs/>
                <w:color w:val="000000" w:themeColor="text1"/>
                <w:sz w:val="24"/>
                <w:szCs w:val="24"/>
                <w:lang w:val="en-US" w:eastAsia="zh-CN" w:bidi="ar"/>
                <w14:textFill>
                  <w14:solidFill>
                    <w14:schemeClr w14:val="tx1"/>
                  </w14:solidFill>
                </w14:textFill>
              </w:rPr>
              <w:t>2、主要原辅材料清单</w:t>
            </w:r>
          </w:p>
          <w:p>
            <w:pPr>
              <w:adjustRightInd w:val="0"/>
              <w:spacing w:line="360" w:lineRule="auto"/>
              <w:ind w:firstLine="480" w:firstLineChars="200"/>
              <w:jc w:val="left"/>
              <w:textAlignment w:val="baseline"/>
              <w:rPr>
                <w:rFonts w:ascii="Times New Roman" w:hAnsi="Times New Roman" w:cs="Times New Roman"/>
                <w:b/>
                <w:color w:val="000000" w:themeColor="text1"/>
                <w:kern w:val="2"/>
                <w:szCs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本项目原辅材料消耗见表6-2。</w:t>
            </w:r>
          </w:p>
          <w:p>
            <w:pPr>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表6-2  本项目原辅材料消耗一览表</w:t>
            </w:r>
          </w:p>
          <w:tbl>
            <w:tblPr>
              <w:tblStyle w:val="14"/>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607"/>
              <w:gridCol w:w="1922"/>
              <w:gridCol w:w="2555"/>
              <w:gridCol w:w="1406"/>
              <w:gridCol w:w="1198"/>
              <w:gridCol w:w="18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tcBorders>
                    <w:tl2br w:val="nil"/>
                    <w:tr2bl w:val="nil"/>
                  </w:tcBorders>
                  <w:vAlign w:val="center"/>
                </w:tcPr>
                <w:p>
                  <w:pPr>
                    <w:pStyle w:val="27"/>
                    <w:adjustRightInd/>
                    <w:jc w:val="center"/>
                    <w:rPr>
                      <w:color w:val="000000" w:themeColor="text1"/>
                      <w:sz w:val="22"/>
                      <w14:textFill>
                        <w14:solidFill>
                          <w14:schemeClr w14:val="tx1"/>
                        </w14:solidFill>
                      </w14:textFill>
                    </w:rPr>
                  </w:pPr>
                  <w:r>
                    <w:rPr>
                      <w:rFonts w:hAnsi="宋体"/>
                      <w:color w:val="000000" w:themeColor="text1"/>
                      <w:sz w:val="22"/>
                      <w14:textFill>
                        <w14:solidFill>
                          <w14:schemeClr w14:val="tx1"/>
                        </w14:solidFill>
                      </w14:textFill>
                    </w:rPr>
                    <w:t>序号</w:t>
                  </w:r>
                </w:p>
              </w:tc>
              <w:tc>
                <w:tcPr>
                  <w:tcW w:w="2346"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名称</w:t>
                  </w:r>
                </w:p>
              </w:tc>
              <w:tc>
                <w:tcPr>
                  <w:tcW w:w="737" w:type="pct"/>
                  <w:tcBorders>
                    <w:tl2br w:val="nil"/>
                    <w:tr2bl w:val="nil"/>
                  </w:tcBorders>
                  <w:vAlign w:val="center"/>
                </w:tcPr>
                <w:p>
                  <w:pPr>
                    <w:widowControl/>
                    <w:jc w:val="center"/>
                    <w:rPr>
                      <w:rFonts w:hint="default" w:eastAsia="宋体"/>
                      <w:color w:val="000000" w:themeColor="text1"/>
                      <w:sz w:val="22"/>
                      <w:lang w:val="en-US" w:eastAsia="zh-CN"/>
                      <w14:textFill>
                        <w14:solidFill>
                          <w14:schemeClr w14:val="tx1"/>
                        </w14:solidFill>
                      </w14:textFill>
                    </w:rPr>
                  </w:pPr>
                  <w:r>
                    <w:rPr>
                      <w:rFonts w:hint="eastAsia" w:hAnsi="宋体"/>
                      <w:color w:val="000000" w:themeColor="text1"/>
                      <w:kern w:val="0"/>
                      <w:szCs w:val="21"/>
                      <w:lang w:val="en-US" w:eastAsia="zh-CN" w:bidi="ar"/>
                      <w14:textFill>
                        <w14:solidFill>
                          <w14:schemeClr w14:val="tx1"/>
                        </w14:solidFill>
                      </w14:textFill>
                    </w:rPr>
                    <w:t>单位消耗量</w:t>
                  </w:r>
                </w:p>
              </w:tc>
              <w:tc>
                <w:tcPr>
                  <w:tcW w:w="628" w:type="pct"/>
                  <w:tcBorders>
                    <w:tl2br w:val="nil"/>
                    <w:tr2bl w:val="nil"/>
                  </w:tcBorders>
                  <w:vAlign w:val="center"/>
                </w:tcPr>
                <w:p>
                  <w:pPr>
                    <w:widowControl/>
                    <w:jc w:val="center"/>
                    <w:rPr>
                      <w:color w:val="000000" w:themeColor="text1"/>
                      <w:kern w:val="0"/>
                      <w:szCs w:val="21"/>
                      <w:lang w:bidi="ar"/>
                      <w14:textFill>
                        <w14:solidFill>
                          <w14:schemeClr w14:val="tx1"/>
                        </w14:solidFill>
                      </w14:textFill>
                    </w:rPr>
                  </w:pPr>
                  <w:r>
                    <w:rPr>
                      <w:color w:val="000000" w:themeColor="text1"/>
                      <w:kern w:val="0"/>
                      <w:szCs w:val="21"/>
                      <w:lang w:bidi="ar"/>
                      <w14:textFill>
                        <w14:solidFill>
                          <w14:schemeClr w14:val="tx1"/>
                        </w14:solidFill>
                      </w14:textFill>
                    </w:rPr>
                    <w:t>202</w:t>
                  </w:r>
                  <w:r>
                    <w:rPr>
                      <w:rFonts w:hint="eastAsia"/>
                      <w:color w:val="000000" w:themeColor="text1"/>
                      <w:kern w:val="0"/>
                      <w:szCs w:val="21"/>
                      <w:lang w:val="en-US" w:eastAsia="zh-CN" w:bidi="ar"/>
                      <w14:textFill>
                        <w14:solidFill>
                          <w14:schemeClr w14:val="tx1"/>
                        </w14:solidFill>
                      </w14:textFill>
                    </w:rPr>
                    <w:t>2</w:t>
                  </w:r>
                  <w:r>
                    <w:rPr>
                      <w:rFonts w:hAnsi="宋体"/>
                      <w:color w:val="000000" w:themeColor="text1"/>
                      <w:kern w:val="0"/>
                      <w:szCs w:val="21"/>
                      <w:lang w:bidi="ar"/>
                      <w14:textFill>
                        <w14:solidFill>
                          <w14:schemeClr w14:val="tx1"/>
                        </w14:solidFill>
                      </w14:textFill>
                    </w:rPr>
                    <w:t>年度</w:t>
                  </w:r>
                </w:p>
              </w:tc>
              <w:tc>
                <w:tcPr>
                  <w:tcW w:w="969" w:type="pct"/>
                  <w:tcBorders>
                    <w:tl2br w:val="nil"/>
                    <w:tr2bl w:val="nil"/>
                  </w:tcBorders>
                  <w:vAlign w:val="center"/>
                </w:tcPr>
                <w:p>
                  <w:pPr>
                    <w:widowControl/>
                    <w:jc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2023-2026年度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08" w:hRule="atLeast"/>
              </w:trPr>
              <w:tc>
                <w:tcPr>
                  <w:tcW w:w="318" w:type="pct"/>
                  <w:vMerge w:val="restart"/>
                  <w:tcBorders>
                    <w:tl2br w:val="nil"/>
                    <w:tr2bl w:val="nil"/>
                  </w:tcBorders>
                  <w:vAlign w:val="center"/>
                </w:tcPr>
                <w:p>
                  <w:pPr>
                    <w:pStyle w:val="27"/>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1</w:t>
                  </w:r>
                </w:p>
              </w:tc>
              <w:tc>
                <w:tcPr>
                  <w:tcW w:w="2346" w:type="pct"/>
                  <w:gridSpan w:val="2"/>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钻井液</w:t>
                  </w:r>
                </w:p>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（包括膨润土、</w:t>
                  </w:r>
                  <w:r>
                    <w:rPr>
                      <w:rFonts w:hint="eastAsia" w:hAnsi="宋体"/>
                      <w:color w:val="000000" w:themeColor="text1"/>
                      <w:kern w:val="0"/>
                      <w:szCs w:val="21"/>
                      <w:lang w:bidi="ar"/>
                      <w14:textFill>
                        <w14:solidFill>
                          <w14:schemeClr w14:val="tx1"/>
                        </w14:solidFill>
                      </w14:textFill>
                    </w:rPr>
                    <w:t>腐植酸钾</w:t>
                  </w:r>
                  <w:r>
                    <w:rPr>
                      <w:rFonts w:hAnsi="宋体"/>
                      <w:color w:val="000000" w:themeColor="text1"/>
                      <w:kern w:val="0"/>
                      <w:szCs w:val="21"/>
                      <w:lang w:bidi="ar"/>
                      <w14:textFill>
                        <w14:solidFill>
                          <w14:schemeClr w14:val="tx1"/>
                        </w14:solidFill>
                      </w14:textFill>
                    </w:rPr>
                    <w:t>、纤维素）</w:t>
                  </w:r>
                </w:p>
              </w:tc>
              <w:tc>
                <w:tcPr>
                  <w:tcW w:w="737"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0.535kg/m</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18.725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74.9</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vMerge w:val="continue"/>
                  <w:tcBorders>
                    <w:tl2br w:val="nil"/>
                    <w:tr2bl w:val="nil"/>
                  </w:tcBorders>
                  <w:vAlign w:val="center"/>
                </w:tcPr>
                <w:p>
                  <w:pPr>
                    <w:pStyle w:val="27"/>
                    <w:adjustRightInd/>
                    <w:jc w:val="center"/>
                    <w:rPr>
                      <w:color w:val="000000" w:themeColor="text1"/>
                      <w:sz w:val="22"/>
                      <w14:textFill>
                        <w14:solidFill>
                          <w14:schemeClr w14:val="tx1"/>
                        </w14:solidFill>
                      </w14:textFill>
                    </w:rPr>
                  </w:pPr>
                </w:p>
              </w:tc>
              <w:tc>
                <w:tcPr>
                  <w:tcW w:w="1007" w:type="pct"/>
                  <w:vMerge w:val="restart"/>
                  <w:tcBorders>
                    <w:tl2br w:val="nil"/>
                    <w:tr2bl w:val="nil"/>
                  </w:tcBorders>
                  <w:vAlign w:val="center"/>
                </w:tcPr>
                <w:p>
                  <w:pPr>
                    <w:widowControl/>
                    <w:jc w:val="center"/>
                    <w:rPr>
                      <w:rFonts w:hint="default" w:eastAsia="宋体"/>
                      <w:color w:val="000000" w:themeColor="text1"/>
                      <w:kern w:val="0"/>
                      <w:szCs w:val="21"/>
                      <w:lang w:val="en-US" w:eastAsia="zh-CN" w:bidi="ar"/>
                      <w14:textFill>
                        <w14:solidFill>
                          <w14:schemeClr w14:val="tx1"/>
                        </w14:solidFill>
                      </w14:textFill>
                    </w:rPr>
                  </w:pPr>
                  <w:r>
                    <w:rPr>
                      <w:rFonts w:hint="eastAsia"/>
                      <w:color w:val="000000" w:themeColor="text1"/>
                      <w:kern w:val="0"/>
                      <w:szCs w:val="21"/>
                      <w:lang w:val="en-US" w:eastAsia="zh-CN" w:bidi="ar"/>
                      <w14:textFill>
                        <w14:solidFill>
                          <w14:schemeClr w14:val="tx1"/>
                        </w14:solidFill>
                      </w14:textFill>
                    </w:rPr>
                    <w:t>钻井液</w:t>
                  </w:r>
                </w:p>
              </w:tc>
              <w:tc>
                <w:tcPr>
                  <w:tcW w:w="1338"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膨润土</w:t>
                  </w:r>
                </w:p>
              </w:tc>
              <w:tc>
                <w:tcPr>
                  <w:tcW w:w="7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0.487kg/m</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17.045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68.18</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vMerge w:val="continue"/>
                  <w:tcBorders>
                    <w:tl2br w:val="nil"/>
                    <w:tr2bl w:val="nil"/>
                  </w:tcBorders>
                  <w:vAlign w:val="center"/>
                </w:tcPr>
                <w:p>
                  <w:pPr>
                    <w:pStyle w:val="27"/>
                    <w:adjustRightInd/>
                    <w:jc w:val="center"/>
                    <w:rPr>
                      <w:color w:val="000000" w:themeColor="text1"/>
                      <w:sz w:val="22"/>
                      <w14:textFill>
                        <w14:solidFill>
                          <w14:schemeClr w14:val="tx1"/>
                        </w14:solidFill>
                      </w14:textFill>
                    </w:rPr>
                  </w:pPr>
                </w:p>
              </w:tc>
              <w:tc>
                <w:tcPr>
                  <w:tcW w:w="1007"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338" w:type="pct"/>
                  <w:tcBorders>
                    <w:tl2br w:val="nil"/>
                    <w:tr2bl w:val="nil"/>
                  </w:tcBorders>
                  <w:vAlign w:val="center"/>
                </w:tcPr>
                <w:p>
                  <w:pPr>
                    <w:widowControl/>
                    <w:jc w:val="center"/>
                    <w:rPr>
                      <w:rFonts w:hint="eastAsia" w:hAnsi="宋体"/>
                      <w:color w:val="000000" w:themeColor="text1"/>
                      <w:kern w:val="0"/>
                      <w:szCs w:val="21"/>
                      <w:lang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腐植酸钾</w:t>
                  </w:r>
                </w:p>
              </w:tc>
              <w:tc>
                <w:tcPr>
                  <w:tcW w:w="7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0.041kg/m</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1.435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5.74</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vMerge w:val="continue"/>
                  <w:tcBorders>
                    <w:tl2br w:val="nil"/>
                    <w:tr2bl w:val="nil"/>
                  </w:tcBorders>
                  <w:vAlign w:val="center"/>
                </w:tcPr>
                <w:p>
                  <w:pPr>
                    <w:pStyle w:val="27"/>
                    <w:adjustRightInd/>
                    <w:jc w:val="center"/>
                    <w:rPr>
                      <w:color w:val="000000" w:themeColor="text1"/>
                      <w:sz w:val="22"/>
                      <w14:textFill>
                        <w14:solidFill>
                          <w14:schemeClr w14:val="tx1"/>
                        </w14:solidFill>
                      </w14:textFill>
                    </w:rPr>
                  </w:pPr>
                </w:p>
              </w:tc>
              <w:tc>
                <w:tcPr>
                  <w:tcW w:w="1007" w:type="pct"/>
                  <w:vMerge w:val="continue"/>
                  <w:tcBorders>
                    <w:tl2br w:val="nil"/>
                    <w:tr2bl w:val="nil"/>
                  </w:tcBorders>
                  <w:vAlign w:val="center"/>
                </w:tcPr>
                <w:p>
                  <w:pPr>
                    <w:widowControl/>
                    <w:jc w:val="center"/>
                    <w:rPr>
                      <w:color w:val="000000" w:themeColor="text1"/>
                      <w:kern w:val="0"/>
                      <w:szCs w:val="21"/>
                      <w:lang w:bidi="ar"/>
                      <w14:textFill>
                        <w14:solidFill>
                          <w14:schemeClr w14:val="tx1"/>
                        </w14:solidFill>
                      </w14:textFill>
                    </w:rPr>
                  </w:pPr>
                </w:p>
              </w:tc>
              <w:tc>
                <w:tcPr>
                  <w:tcW w:w="1338" w:type="pct"/>
                  <w:tcBorders>
                    <w:tl2br w:val="nil"/>
                    <w:tr2bl w:val="nil"/>
                  </w:tcBorders>
                  <w:vAlign w:val="center"/>
                </w:tcPr>
                <w:p>
                  <w:pPr>
                    <w:widowControl/>
                    <w:jc w:val="center"/>
                    <w:rPr>
                      <w:rFonts w:hAnsi="宋体"/>
                      <w:color w:val="000000" w:themeColor="text1"/>
                      <w:kern w:val="0"/>
                      <w:szCs w:val="21"/>
                      <w:lang w:bidi="ar"/>
                      <w14:textFill>
                        <w14:solidFill>
                          <w14:schemeClr w14:val="tx1"/>
                        </w14:solidFill>
                      </w14:textFill>
                    </w:rPr>
                  </w:pPr>
                  <w:r>
                    <w:rPr>
                      <w:rFonts w:hAnsi="宋体"/>
                      <w:color w:val="000000" w:themeColor="text1"/>
                      <w:kern w:val="0"/>
                      <w:szCs w:val="21"/>
                      <w:lang w:bidi="ar"/>
                      <w14:textFill>
                        <w14:solidFill>
                          <w14:schemeClr w14:val="tx1"/>
                        </w14:solidFill>
                      </w14:textFill>
                    </w:rPr>
                    <w:t>纤维素</w:t>
                  </w:r>
                </w:p>
              </w:tc>
              <w:tc>
                <w:tcPr>
                  <w:tcW w:w="7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0.007kg/m</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0.245</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0.98</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tcBorders>
                    <w:tl2br w:val="nil"/>
                    <w:tr2bl w:val="nil"/>
                  </w:tcBorders>
                  <w:vAlign w:val="center"/>
                </w:tcPr>
                <w:p>
                  <w:pPr>
                    <w:pStyle w:val="27"/>
                    <w:adjustRightInd/>
                    <w:jc w:val="center"/>
                    <w:rPr>
                      <w:color w:val="000000" w:themeColor="text1"/>
                      <w:sz w:val="22"/>
                      <w14:textFill>
                        <w14:solidFill>
                          <w14:schemeClr w14:val="tx1"/>
                        </w14:solidFill>
                      </w14:textFill>
                    </w:rPr>
                  </w:pPr>
                  <w:r>
                    <w:rPr>
                      <w:color w:val="000000" w:themeColor="text1"/>
                      <w:sz w:val="22"/>
                      <w14:textFill>
                        <w14:solidFill>
                          <w14:schemeClr w14:val="tx1"/>
                        </w14:solidFill>
                      </w14:textFill>
                    </w:rPr>
                    <w:t>2</w:t>
                  </w:r>
                </w:p>
              </w:tc>
              <w:tc>
                <w:tcPr>
                  <w:tcW w:w="2346"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水泥</w:t>
                  </w:r>
                </w:p>
              </w:tc>
              <w:tc>
                <w:tcPr>
                  <w:tcW w:w="737"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1</w:t>
                  </w:r>
                  <w:r>
                    <w:rPr>
                      <w:rFonts w:hint="eastAsia"/>
                      <w:bCs/>
                      <w:color w:val="000000" w:themeColor="text1"/>
                      <w:kern w:val="0"/>
                      <w:szCs w:val="21"/>
                      <w:lang w:val="en-US" w:eastAsia="zh-CN" w:bidi="ar"/>
                      <w14:textFill>
                        <w14:solidFill>
                          <w14:schemeClr w14:val="tx1"/>
                        </w14:solidFill>
                      </w14:textFill>
                    </w:rPr>
                    <w:t>0</w:t>
                  </w:r>
                  <w:r>
                    <w:rPr>
                      <w:bCs/>
                      <w:color w:val="000000" w:themeColor="text1"/>
                      <w:kern w:val="0"/>
                      <w:szCs w:val="21"/>
                      <w:lang w:bidi="ar"/>
                      <w14:textFill>
                        <w14:solidFill>
                          <w14:schemeClr w14:val="tx1"/>
                        </w14:solidFill>
                      </w14:textFill>
                    </w:rPr>
                    <w:t>kg/m</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bCs/>
                      <w:color w:val="000000" w:themeColor="text1"/>
                      <w:kern w:val="0"/>
                      <w:sz w:val="21"/>
                      <w:szCs w:val="21"/>
                      <w:lang w:val="en-US"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350</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1400</w:t>
                  </w:r>
                  <w:r>
                    <w:rPr>
                      <w:rFonts w:hint="eastAsia" w:ascii="Times New Roman" w:hAnsi="Times New Roman" w:cs="Times New Roman"/>
                      <w:i w:val="0"/>
                      <w:color w:val="000000" w:themeColor="text1"/>
                      <w:kern w:val="0"/>
                      <w:sz w:val="21"/>
                      <w:szCs w:val="21"/>
                      <w:u w:val="none"/>
                      <w:lang w:val="en-US" w:eastAsia="zh-CN" w:bidi="ar"/>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tcBorders>
                    <w:tl2br w:val="nil"/>
                    <w:tr2bl w:val="nil"/>
                  </w:tcBorders>
                  <w:vAlign w:val="center"/>
                </w:tcPr>
                <w:p>
                  <w:pPr>
                    <w:pStyle w:val="27"/>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3</w:t>
                  </w:r>
                </w:p>
              </w:tc>
              <w:tc>
                <w:tcPr>
                  <w:tcW w:w="2346" w:type="pct"/>
                  <w:gridSpan w:val="2"/>
                  <w:tcBorders>
                    <w:tl2br w:val="nil"/>
                    <w:tr2bl w:val="nil"/>
                  </w:tcBorders>
                  <w:vAlign w:val="center"/>
                </w:tcPr>
                <w:p>
                  <w:pPr>
                    <w:widowControl/>
                    <w:jc w:val="center"/>
                    <w:rPr>
                      <w:color w:val="000000" w:themeColor="text1"/>
                      <w:sz w:val="22"/>
                      <w14:textFill>
                        <w14:solidFill>
                          <w14:schemeClr w14:val="tx1"/>
                        </w14:solidFill>
                      </w14:textFill>
                    </w:rPr>
                  </w:pPr>
                  <w:r>
                    <w:rPr>
                      <w:rFonts w:hAnsi="宋体"/>
                      <w:color w:val="000000" w:themeColor="text1"/>
                      <w:kern w:val="0"/>
                      <w:szCs w:val="21"/>
                      <w:lang w:bidi="ar"/>
                      <w14:textFill>
                        <w14:solidFill>
                          <w14:schemeClr w14:val="tx1"/>
                        </w14:solidFill>
                      </w14:textFill>
                    </w:rPr>
                    <w:t>柴油</w:t>
                  </w:r>
                </w:p>
              </w:tc>
              <w:tc>
                <w:tcPr>
                  <w:tcW w:w="737" w:type="pct"/>
                  <w:tcBorders>
                    <w:tl2br w:val="nil"/>
                    <w:tr2bl w:val="nil"/>
                  </w:tcBorders>
                  <w:vAlign w:val="center"/>
                </w:tcPr>
                <w:p>
                  <w:pPr>
                    <w:widowControl/>
                    <w:jc w:val="center"/>
                    <w:rPr>
                      <w:bCs/>
                      <w:color w:val="000000" w:themeColor="text1"/>
                      <w:sz w:val="22"/>
                      <w14:textFill>
                        <w14:solidFill>
                          <w14:schemeClr w14:val="tx1"/>
                        </w14:solidFill>
                      </w14:textFill>
                    </w:rPr>
                  </w:pPr>
                  <w:r>
                    <w:rPr>
                      <w:bCs/>
                      <w:color w:val="000000" w:themeColor="text1"/>
                      <w:kern w:val="0"/>
                      <w:szCs w:val="21"/>
                      <w:lang w:bidi="ar"/>
                      <w14:textFill>
                        <w14:solidFill>
                          <w14:schemeClr w14:val="tx1"/>
                        </w14:solidFill>
                      </w14:textFill>
                    </w:rPr>
                    <w:t>3.6L/m</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126000</w:t>
                  </w:r>
                  <w:r>
                    <w:rPr>
                      <w:bCs/>
                      <w:color w:val="000000" w:themeColor="text1"/>
                      <w:kern w:val="0"/>
                      <w:szCs w:val="21"/>
                      <w:lang w:bidi="ar"/>
                      <w14:textFill>
                        <w14:solidFill>
                          <w14:schemeClr w14:val="tx1"/>
                        </w14:solidFill>
                      </w14:textFill>
                    </w:rPr>
                    <w:t>L</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504000</w:t>
                  </w:r>
                  <w:r>
                    <w:rPr>
                      <w:bCs/>
                      <w:color w:val="000000" w:themeColor="text1"/>
                      <w:kern w:val="0"/>
                      <w:szCs w:val="21"/>
                      <w:lang w:bidi="ar"/>
                      <w14:textFill>
                        <w14:solidFill>
                          <w14:schemeClr w14:val="tx1"/>
                        </w14:solidFill>
                      </w14:textFill>
                    </w:rPr>
                    <w:t>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18" w:type="pct"/>
                  <w:tcBorders>
                    <w:tl2br w:val="nil"/>
                    <w:tr2bl w:val="nil"/>
                  </w:tcBorders>
                  <w:vAlign w:val="center"/>
                </w:tcPr>
                <w:p>
                  <w:pPr>
                    <w:pStyle w:val="27"/>
                    <w:adjustRightInd/>
                    <w:jc w:val="center"/>
                    <w:rPr>
                      <w:rFonts w:hint="eastAsia" w:eastAsia="宋体"/>
                      <w:color w:val="000000" w:themeColor="text1"/>
                      <w:sz w:val="22"/>
                      <w:lang w:eastAsia="zh-CN"/>
                      <w14:textFill>
                        <w14:solidFill>
                          <w14:schemeClr w14:val="tx1"/>
                        </w14:solidFill>
                      </w14:textFill>
                    </w:rPr>
                  </w:pPr>
                  <w:r>
                    <w:rPr>
                      <w:rFonts w:hint="eastAsia"/>
                      <w:color w:val="000000" w:themeColor="text1"/>
                      <w:sz w:val="22"/>
                      <w:lang w:val="en-US" w:eastAsia="zh-CN"/>
                      <w14:textFill>
                        <w14:solidFill>
                          <w14:schemeClr w14:val="tx1"/>
                        </w14:solidFill>
                      </w14:textFill>
                    </w:rPr>
                    <w:t>4</w:t>
                  </w:r>
                </w:p>
              </w:tc>
              <w:tc>
                <w:tcPr>
                  <w:tcW w:w="2346" w:type="pct"/>
                  <w:gridSpan w:val="2"/>
                  <w:tcBorders>
                    <w:tl2br w:val="nil"/>
                    <w:tr2bl w:val="nil"/>
                  </w:tcBorders>
                  <w:vAlign w:val="center"/>
                </w:tcPr>
                <w:p>
                  <w:pPr>
                    <w:widowControl/>
                    <w:jc w:val="center"/>
                    <w:rPr>
                      <w:rFonts w:hint="eastAsia" w:hAnsi="宋体" w:eastAsia="宋体"/>
                      <w:color w:val="000000" w:themeColor="text1"/>
                      <w:kern w:val="0"/>
                      <w:szCs w:val="21"/>
                      <w:lang w:eastAsia="zh-CN" w:bidi="ar"/>
                      <w14:textFill>
                        <w14:solidFill>
                          <w14:schemeClr w14:val="tx1"/>
                        </w14:solidFill>
                      </w14:textFill>
                    </w:rPr>
                  </w:pPr>
                  <w:r>
                    <w:rPr>
                      <w:rFonts w:hint="eastAsia" w:hAnsi="宋体"/>
                      <w:color w:val="000000" w:themeColor="text1"/>
                      <w:kern w:val="0"/>
                      <w:szCs w:val="21"/>
                      <w:lang w:bidi="ar"/>
                      <w14:textFill>
                        <w14:solidFill>
                          <w14:schemeClr w14:val="tx1"/>
                        </w14:solidFill>
                      </w14:textFill>
                    </w:rPr>
                    <w:t>防渗膜（HDPE膜</w:t>
                  </w:r>
                  <w:r>
                    <w:rPr>
                      <w:rFonts w:hint="eastAsia" w:hAnsi="宋体"/>
                      <w:color w:val="000000" w:themeColor="text1"/>
                      <w:kern w:val="0"/>
                      <w:szCs w:val="21"/>
                      <w:lang w:eastAsia="zh-CN" w:bidi="ar"/>
                      <w14:textFill>
                        <w14:solidFill>
                          <w14:schemeClr w14:val="tx1"/>
                        </w14:solidFill>
                      </w14:textFill>
                    </w:rPr>
                    <w:t>）</w:t>
                  </w:r>
                </w:p>
              </w:tc>
              <w:tc>
                <w:tcPr>
                  <w:tcW w:w="737" w:type="pct"/>
                  <w:tcBorders>
                    <w:tl2br w:val="nil"/>
                    <w:tr2bl w:val="nil"/>
                  </w:tcBorders>
                  <w:vAlign w:val="center"/>
                </w:tcPr>
                <w:p>
                  <w:pPr>
                    <w:widowControl/>
                    <w:jc w:val="center"/>
                    <w:rPr>
                      <w:bCs/>
                      <w:color w:val="000000" w:themeColor="text1"/>
                      <w:kern w:val="0"/>
                      <w:szCs w:val="21"/>
                      <w:lang w:bidi="ar"/>
                      <w14:textFill>
                        <w14:solidFill>
                          <w14:schemeClr w14:val="tx1"/>
                        </w14:solidFill>
                      </w14:textFill>
                    </w:rPr>
                  </w:pPr>
                  <w:r>
                    <w:rPr>
                      <w:bCs/>
                      <w:color w:val="000000" w:themeColor="text1"/>
                      <w:kern w:val="0"/>
                      <w:szCs w:val="21"/>
                      <w:lang w:bidi="ar"/>
                      <w14:textFill>
                        <w14:solidFill>
                          <w14:schemeClr w14:val="tx1"/>
                        </w14:solidFill>
                      </w14:textFill>
                    </w:rPr>
                    <w:t>70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r>
                    <w:rPr>
                      <w:bCs/>
                      <w:color w:val="000000" w:themeColor="text1"/>
                      <w:kern w:val="0"/>
                      <w:szCs w:val="21"/>
                      <w:lang w:bidi="ar"/>
                      <w14:textFill>
                        <w14:solidFill>
                          <w14:schemeClr w14:val="tx1"/>
                        </w14:solidFill>
                      </w14:textFill>
                    </w:rPr>
                    <w:t>/</w:t>
                  </w:r>
                  <w:r>
                    <w:rPr>
                      <w:rFonts w:hint="eastAsia"/>
                      <w:bCs/>
                      <w:color w:val="000000" w:themeColor="text1"/>
                      <w:kern w:val="0"/>
                      <w:szCs w:val="21"/>
                      <w:lang w:bidi="ar"/>
                      <w14:textFill>
                        <w14:solidFill>
                          <w14:schemeClr w14:val="tx1"/>
                        </w14:solidFill>
                      </w14:textFill>
                    </w:rPr>
                    <w:t>单井</w:t>
                  </w:r>
                </w:p>
              </w:tc>
              <w:tc>
                <w:tcPr>
                  <w:tcW w:w="628"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eastAsia="等线" w:cs="Times New Roman"/>
                      <w:color w:val="000000" w:themeColor="text1"/>
                      <w:sz w:val="21"/>
                      <w:szCs w:val="21"/>
                      <w:lang w:val="en-US" w:eastAsia="zh-CN"/>
                      <w14:textFill>
                        <w14:solidFill>
                          <w14:schemeClr w14:val="tx1"/>
                        </w14:solidFill>
                      </w14:textFill>
                    </w:rPr>
                    <w:t>4060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p>
              </w:tc>
              <w:tc>
                <w:tcPr>
                  <w:tcW w:w="969" w:type="pct"/>
                  <w:tcBorders>
                    <w:tl2br w:val="nil"/>
                    <w:tr2bl w:val="nil"/>
                  </w:tcBorders>
                  <w:vAlign w:val="center"/>
                </w:tcPr>
                <w:p>
                  <w:pPr>
                    <w:keepNext w:val="0"/>
                    <w:keepLines w:val="0"/>
                    <w:widowControl/>
                    <w:suppressLineNumbers w:val="0"/>
                    <w:jc w:val="center"/>
                    <w:textAlignment w:val="center"/>
                    <w:rPr>
                      <w:rFonts w:hint="default" w:ascii="Times New Roman" w:hAnsi="Times New Roman" w:eastAsia="等线" w:cs="Times New Roman"/>
                      <w:color w:val="000000" w:themeColor="text1"/>
                      <w:sz w:val="21"/>
                      <w:szCs w:val="21"/>
                      <w:lang w:val="en-US" w:eastAsia="zh-CN"/>
                      <w14:textFill>
                        <w14:solidFill>
                          <w14:schemeClr w14:val="tx1"/>
                        </w14:solidFill>
                      </w14:textFill>
                    </w:rPr>
                  </w:pPr>
                  <w:r>
                    <w:rPr>
                      <w:rFonts w:hint="eastAsia" w:eastAsia="等线" w:cs="Times New Roman"/>
                      <w:color w:val="000000" w:themeColor="text1"/>
                      <w:sz w:val="21"/>
                      <w:szCs w:val="21"/>
                      <w:lang w:val="en-US" w:eastAsia="zh-CN"/>
                      <w14:textFill>
                        <w14:solidFill>
                          <w14:schemeClr w14:val="tx1"/>
                        </w14:solidFill>
                      </w14:textFill>
                    </w:rPr>
                    <w:t>16800</w:t>
                  </w:r>
                  <w:r>
                    <w:rPr>
                      <w:rFonts w:hint="eastAsia"/>
                      <w:bCs/>
                      <w:color w:val="000000" w:themeColor="text1"/>
                      <w:kern w:val="0"/>
                      <w:szCs w:val="21"/>
                      <w:lang w:bidi="ar"/>
                      <w14:textFill>
                        <w14:solidFill>
                          <w14:schemeClr w14:val="tx1"/>
                        </w14:solidFill>
                      </w14:textFill>
                    </w:rPr>
                    <w:t>m</w:t>
                  </w:r>
                  <w:r>
                    <w:rPr>
                      <w:bCs/>
                      <w:color w:val="000000" w:themeColor="text1"/>
                      <w:kern w:val="0"/>
                      <w:szCs w:val="21"/>
                      <w:vertAlign w:val="superscript"/>
                      <w:lang w:bidi="ar"/>
                      <w14:textFill>
                        <w14:solidFill>
                          <w14:schemeClr w14:val="tx1"/>
                        </w14:solidFill>
                      </w14:textFill>
                    </w:rPr>
                    <w:t>2</w:t>
                  </w:r>
                </w:p>
              </w:tc>
            </w:tr>
          </w:tbl>
          <w:p>
            <w:pPr>
              <w:numPr>
                <w:ilvl w:val="0"/>
                <w:numId w:val="0"/>
              </w:numPr>
              <w:spacing w:line="240" w:lineRule="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备注：①2023年-2026年度钻探预估工作量</w:t>
            </w:r>
            <w:r>
              <w:rPr>
                <w:rFonts w:hint="eastAsia" w:cs="Times New Roman"/>
                <w:color w:val="000000" w:themeColor="text1"/>
                <w:sz w:val="21"/>
                <w:szCs w:val="21"/>
                <w:lang w:val="en-US" w:eastAsia="zh-CN"/>
                <w14:textFill>
                  <w14:solidFill>
                    <w14:schemeClr w14:val="tx1"/>
                  </w14:solidFill>
                </w14:textFill>
              </w:rPr>
              <w:t>140</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000m/</w:t>
            </w:r>
            <w:r>
              <w:rPr>
                <w:rFonts w:hint="eastAsia" w:cs="Times New Roman"/>
                <w:color w:val="000000" w:themeColor="text1"/>
                <w:sz w:val="21"/>
                <w:szCs w:val="21"/>
                <w:lang w:val="en-US" w:eastAsia="zh-CN"/>
                <w14:textFill>
                  <w14:solidFill>
                    <w14:schemeClr w14:val="tx1"/>
                  </w14:solidFill>
                </w14:textFill>
              </w:rPr>
              <w:t>240</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孔；②本项目采用无毒无害的水基钻井液。</w:t>
            </w:r>
          </w:p>
          <w:p>
            <w:pPr>
              <w:widowControl/>
              <w:autoSpaceDE/>
              <w:autoSpaceDN/>
              <w:spacing w:line="360" w:lineRule="auto"/>
              <w:jc w:val="both"/>
              <w:rPr>
                <w:rFonts w:hint="default" w:ascii="Times New Roman" w:hAnsi="Times New Roman" w:eastAsia="宋体" w:cs="Times New Roman"/>
                <w:b/>
                <w:bCs/>
                <w:color w:val="000000" w:themeColor="text1"/>
                <w:sz w:val="24"/>
                <w:szCs w:val="24"/>
                <w:lang w:val="en-US" w:eastAsia="zh-CN" w:bidi="ar"/>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bidi="ar"/>
                <w14:textFill>
                  <w14:solidFill>
                    <w14:schemeClr w14:val="tx1"/>
                  </w14:solidFill>
                </w14:textFill>
              </w:rPr>
              <w:t>3、水平衡</w:t>
            </w:r>
          </w:p>
          <w:p>
            <w:pPr>
              <w:spacing w:line="360" w:lineRule="auto"/>
              <w:ind w:firstLine="480" w:firstLineChars="200"/>
              <w:rPr>
                <w:rFonts w:hint="default" w:ascii="宋体" w:hAnsi="宋体" w:cs="宋体"/>
                <w:color w:val="000000" w:themeColor="text1"/>
                <w:sz w:val="24"/>
                <w:lang w:val="en-US" w:eastAsia="zh-CN"/>
                <w14:textFill>
                  <w14:solidFill>
                    <w14:schemeClr w14:val="tx1"/>
                  </w14:solidFill>
                </w14:textFill>
              </w:rPr>
            </w:pPr>
            <w:r>
              <w:rPr>
                <w:rFonts w:hint="eastAsia" w:ascii="宋体" w:hAnsi="宋体" w:cs="宋体"/>
                <w:color w:val="000000" w:themeColor="text1"/>
                <w:sz w:val="24"/>
                <w:lang w:val="en-US" w:eastAsia="zh-CN"/>
                <w14:textFill>
                  <w14:solidFill>
                    <w14:schemeClr w14:val="tx1"/>
                  </w14:solidFill>
                </w14:textFill>
              </w:rPr>
              <w:t>（1）给水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项目部</w:t>
            </w:r>
            <w:r>
              <w:rPr>
                <w:rFonts w:hint="eastAsia"/>
                <w:color w:val="000000" w:themeColor="text1"/>
                <w:sz w:val="24"/>
                <w:lang w:val="en-GB"/>
                <w14:textFill>
                  <w14:solidFill>
                    <w14:schemeClr w14:val="tx1"/>
                  </w14:solidFill>
                </w14:textFill>
              </w:rPr>
              <w:t>生活用水依托</w:t>
            </w:r>
            <w:r>
              <w:rPr>
                <w:rFonts w:hint="eastAsia"/>
                <w:color w:val="000000" w:themeColor="text1"/>
                <w:sz w:val="24"/>
                <w:lang w:val="en-US" w:eastAsia="zh-CN"/>
                <w14:textFill>
                  <w14:solidFill>
                    <w14:schemeClr w14:val="tx1"/>
                  </w14:solidFill>
                </w14:textFill>
              </w:rPr>
              <w:t>附近</w:t>
            </w:r>
            <w:r>
              <w:rPr>
                <w:rFonts w:hint="eastAsia"/>
                <w:color w:val="000000" w:themeColor="text1"/>
                <w:sz w:val="24"/>
                <w:lang w:val="en-GB"/>
                <w14:textFill>
                  <w14:solidFill>
                    <w14:schemeClr w14:val="tx1"/>
                  </w14:solidFill>
                </w14:textFill>
              </w:rPr>
              <w:t>村庄，钻探</w:t>
            </w:r>
            <w:r>
              <w:rPr>
                <w:rFonts w:hint="eastAsia"/>
                <w:color w:val="000000" w:themeColor="text1"/>
                <w:sz w:val="24"/>
                <w:lang w:val="en-GB" w:eastAsia="zh-CN"/>
                <w14:textFill>
                  <w14:solidFill>
                    <w14:schemeClr w14:val="tx1"/>
                  </w14:solidFill>
                </w14:textFill>
              </w:rPr>
              <w:t>勘查区</w:t>
            </w:r>
            <w:r>
              <w:rPr>
                <w:rFonts w:hint="eastAsia"/>
                <w:color w:val="000000" w:themeColor="text1"/>
                <w:sz w:val="24"/>
                <w:lang w:val="en-GB"/>
                <w14:textFill>
                  <w14:solidFill>
                    <w14:schemeClr w14:val="tx1"/>
                  </w14:solidFill>
                </w14:textFill>
              </w:rPr>
              <w:t>施工及生活用水采用水车从附近村庄拉运。</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①2022年度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2022年度该项目</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35</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58</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35</w:t>
            </w:r>
            <w:r>
              <w:rPr>
                <w:rFonts w:hint="eastAsia"/>
                <w:color w:val="000000" w:themeColor="text1"/>
                <w:sz w:val="24"/>
                <w:lang w:eastAsia="zh-CN"/>
                <w14:textFill>
                  <w14:solidFill>
                    <w14:schemeClr w14:val="tx1"/>
                  </w14:solidFill>
                </w14:textFill>
              </w:rPr>
              <w:t>0m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即1.75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/d；封井水泥用水量为</w:t>
            </w:r>
            <w:r>
              <w:rPr>
                <w:rFonts w:hint="eastAsia"/>
                <w:color w:val="000000" w:themeColor="text1"/>
                <w:sz w:val="24"/>
                <w:lang w:val="en-US" w:eastAsia="zh-CN"/>
                <w14:textFill>
                  <w14:solidFill>
                    <w14:schemeClr w14:val="tx1"/>
                  </w14:solidFill>
                </w14:textFill>
              </w:rPr>
              <w:t>175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即0.875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87</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即0.435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年度勘探所需人员为</w:t>
            </w:r>
            <w:r>
              <w:rPr>
                <w:rFonts w:hint="eastAsia"/>
                <w:color w:val="000000" w:themeColor="text1"/>
                <w:sz w:val="24"/>
                <w:lang w:val="en-US" w:eastAsia="zh-CN"/>
                <w14:textFill>
                  <w14:solidFill>
                    <w14:schemeClr w14:val="tx1"/>
                  </w14:solidFill>
                </w14:textFill>
              </w:rPr>
              <w:t>80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GB"/>
                <w14:textFill>
                  <w14:solidFill>
                    <w14:schemeClr w14:val="tx1"/>
                  </w14:solidFill>
                </w14:textFill>
              </w:rPr>
              <w:t>参考《</w:t>
            </w:r>
            <w:r>
              <w:rPr>
                <w:rFonts w:hint="eastAsia"/>
                <w:color w:val="000000" w:themeColor="text1"/>
                <w:sz w:val="24"/>
                <w:lang w:val="en-US" w:eastAsia="zh-CN"/>
                <w14:textFill>
                  <w14:solidFill>
                    <w14:schemeClr w14:val="tx1"/>
                  </w14:solidFill>
                </w14:textFill>
              </w:rPr>
              <w:t>陕西省</w:t>
            </w:r>
            <w:r>
              <w:rPr>
                <w:rFonts w:hint="eastAsia"/>
                <w:color w:val="000000" w:themeColor="text1"/>
                <w:sz w:val="24"/>
                <w:lang w:val="en-GB"/>
                <w14:textFill>
                  <w14:solidFill>
                    <w14:schemeClr w14:val="tx1"/>
                  </w14:solidFill>
                </w14:textFill>
              </w:rPr>
              <w:t>行业用水定额（</w:t>
            </w:r>
            <w:r>
              <w:rPr>
                <w:rFonts w:hint="eastAsia"/>
                <w:color w:val="000000" w:themeColor="text1"/>
                <w:sz w:val="24"/>
                <w:lang w:val="en-US" w:eastAsia="zh-CN"/>
                <w14:textFill>
                  <w14:solidFill>
                    <w14:schemeClr w14:val="tx1"/>
                  </w14:solidFill>
                </w14:textFill>
              </w:rPr>
              <w:t>2020</w:t>
            </w:r>
            <w:r>
              <w:rPr>
                <w:rFonts w:hint="eastAsia"/>
                <w:color w:val="000000" w:themeColor="text1"/>
                <w:sz w:val="24"/>
                <w:lang w:val="en-GB"/>
                <w14:textFill>
                  <w14:solidFill>
                    <w14:schemeClr w14:val="tx1"/>
                  </w14:solidFill>
                </w14:textFill>
              </w:rPr>
              <w:t>年版）》中“农村居民”用水定额，本次环评按</w:t>
            </w:r>
            <w:r>
              <w:rPr>
                <w:rFonts w:hint="eastAsia" w:cs="Times New Roman"/>
                <w:color w:val="000000" w:themeColor="text1"/>
                <w:sz w:val="24"/>
                <w:lang w:val="en-US" w:eastAsia="zh-CN"/>
                <w14:textFill>
                  <w14:solidFill>
                    <w14:schemeClr w14:val="tx1"/>
                  </w14:solidFill>
                </w14:textFill>
              </w:rPr>
              <w:t>80</w:t>
            </w:r>
            <w:r>
              <w:rPr>
                <w:rFonts w:hint="default" w:ascii="Times New Roman" w:hAnsi="Times New Roman" w:cs="Times New Roman"/>
                <w:color w:val="000000" w:themeColor="text1"/>
                <w:sz w:val="24"/>
                <w:lang w:val="en-GB"/>
                <w14:textFill>
                  <w14:solidFill>
                    <w14:schemeClr w14:val="tx1"/>
                  </w14:solidFill>
                </w14:textFill>
              </w:rPr>
              <w:t>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6.4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/d（勘探期约为200天，则</w:t>
            </w:r>
            <w:r>
              <w:rPr>
                <w:rFonts w:hint="eastAsia"/>
                <w:color w:val="000000" w:themeColor="text1"/>
                <w:sz w:val="24"/>
                <w:lang w:val="en-US" w:eastAsia="zh-CN"/>
                <w14:textFill>
                  <w14:solidFill>
                    <w14:schemeClr w14:val="tx1"/>
                  </w14:solidFill>
                </w14:textFill>
              </w:rPr>
              <w:t>1280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GB" w:eastAsia="zh-CN"/>
                <w14:textFill>
                  <w14:solidFill>
                    <w14:schemeClr w14:val="tx1"/>
                  </w14:solidFill>
                </w14:textFill>
              </w:rPr>
              <w:fldChar w:fldCharType="begin"/>
            </w:r>
            <w:r>
              <w:rPr>
                <w:rFonts w:hint="eastAsia"/>
                <w:color w:val="000000" w:themeColor="text1"/>
                <w:sz w:val="24"/>
                <w:lang w:val="en-GB" w:eastAsia="zh-CN"/>
                <w14:textFill>
                  <w14:solidFill>
                    <w14:schemeClr w14:val="tx1"/>
                  </w14:solidFill>
                </w14:textFill>
              </w:rPr>
              <w:instrText xml:space="preserve"> = 2 \* GB3 \* MERGEFORMAT </w:instrText>
            </w:r>
            <w:r>
              <w:rPr>
                <w:rFonts w:hint="eastAsia"/>
                <w:color w:val="000000" w:themeColor="text1"/>
                <w:sz w:val="24"/>
                <w:lang w:val="en-GB" w:eastAsia="zh-CN"/>
                <w14:textFill>
                  <w14:solidFill>
                    <w14:schemeClr w14:val="tx1"/>
                  </w14:solidFill>
                </w14:textFill>
              </w:rPr>
              <w:fldChar w:fldCharType="separate"/>
            </w:r>
            <w:r>
              <w:rPr>
                <w:rFonts w:hint="eastAsia"/>
                <w:color w:val="000000" w:themeColor="text1"/>
                <w:sz w:val="24"/>
                <w:lang w:val="en-GB"/>
                <w14:textFill>
                  <w14:solidFill>
                    <w14:schemeClr w14:val="tx1"/>
                  </w14:solidFill>
                </w14:textFill>
              </w:rPr>
              <w:t>②</w:t>
            </w:r>
            <w:r>
              <w:rPr>
                <w:rFonts w:hint="eastAsia"/>
                <w:color w:val="000000" w:themeColor="text1"/>
                <w:sz w:val="24"/>
                <w:lang w:val="en-GB" w:eastAsia="zh-CN"/>
                <w14:textFill>
                  <w14:solidFill>
                    <w14:schemeClr w14:val="tx1"/>
                  </w14:solidFill>
                </w14:textFill>
              </w:rPr>
              <w:fldChar w:fldCharType="end"/>
            </w:r>
            <w:r>
              <w:rPr>
                <w:rFonts w:hint="eastAsia"/>
                <w:color w:val="000000" w:themeColor="text1"/>
                <w:sz w:val="24"/>
                <w:lang w:val="en-US" w:eastAsia="zh-CN"/>
                <w14:textFill>
                  <w14:solidFill>
                    <w14:schemeClr w14:val="tx1"/>
                  </w14:solidFill>
                </w14:textFill>
              </w:rPr>
              <w:t>2023-2026年度</w:t>
            </w:r>
          </w:p>
          <w:p>
            <w:pPr>
              <w:spacing w:line="360" w:lineRule="auto"/>
              <w:ind w:firstLine="480" w:firstLineChars="200"/>
              <w:rPr>
                <w:color w:val="000000" w:themeColor="text1"/>
                <w:sz w:val="24"/>
                <w:lang w:val="en-GB"/>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2023-2026年度该项目预估</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cs="Times New Roman"/>
                <w:b w:val="0"/>
                <w:bCs w:val="0"/>
                <w:color w:val="000000" w:themeColor="text1"/>
                <w:sz w:val="24"/>
                <w:lang w:val="en-US" w:eastAsia="zh-CN"/>
                <w14:textFill>
                  <w14:solidFill>
                    <w14:schemeClr w14:val="tx1"/>
                  </w14:solidFill>
                </w14:textFill>
              </w:rPr>
              <w:t>工作量140</w:t>
            </w:r>
            <w:r>
              <w:rPr>
                <w:rFonts w:hint="eastAsia" w:ascii="Times New Roman" w:hAnsi="Times New Roman" w:cs="Times New Roman"/>
                <w:b w:val="0"/>
                <w:bCs w:val="0"/>
                <w:color w:val="000000" w:themeColor="text1"/>
                <w:sz w:val="24"/>
                <w:lang w:val="en-US" w:eastAsia="zh-CN"/>
                <w14:textFill>
                  <w14:solidFill>
                    <w14:schemeClr w14:val="tx1"/>
                  </w14:solidFill>
                </w14:textFill>
              </w:rPr>
              <w:t>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cs="Times New Roman"/>
                <w:b w:val="0"/>
                <w:bCs w:val="0"/>
                <w:color w:val="000000" w:themeColor="text1"/>
                <w:sz w:val="24"/>
                <w:lang w:val="en-US" w:eastAsia="zh-CN"/>
                <w14:textFill>
                  <w14:solidFill>
                    <w14:schemeClr w14:val="tx1"/>
                  </w14:solidFill>
                </w14:textFill>
              </w:rPr>
              <w:t>240</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生产用水主要为配置钻井液用水以及封井水泥用水</w:t>
            </w:r>
            <w:r>
              <w:rPr>
                <w:rFonts w:hint="eastAsia" w:cs="Times New Roman"/>
                <w:b w:val="0"/>
                <w:bCs w:val="0"/>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根据类比调查估算，202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年度钻井液用水均为</w:t>
            </w:r>
            <w:r>
              <w:rPr>
                <w:rFonts w:hint="eastAsia"/>
                <w:color w:val="000000" w:themeColor="text1"/>
                <w:sz w:val="24"/>
                <w:lang w:val="en-US" w:eastAsia="zh-CN"/>
                <w14:textFill>
                  <w14:solidFill>
                    <w14:schemeClr w14:val="tx1"/>
                  </w14:solidFill>
                </w14:textFill>
              </w:rPr>
              <w:t>1400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/100m），</w:t>
            </w:r>
            <w:r>
              <w:rPr>
                <w:rFonts w:hint="eastAsia"/>
                <w:color w:val="000000" w:themeColor="text1"/>
                <w:sz w:val="24"/>
                <w:lang w:val="en-US" w:eastAsia="zh-CN"/>
                <w14:textFill>
                  <w14:solidFill>
                    <w14:schemeClr w14:val="tx1"/>
                  </w14:solidFill>
                </w14:textFill>
              </w:rPr>
              <w:t>即1.75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/d；封井水泥用水量均为</w:t>
            </w:r>
            <w:r>
              <w:rPr>
                <w:rFonts w:hint="eastAsia"/>
                <w:color w:val="000000" w:themeColor="text1"/>
                <w:sz w:val="24"/>
                <w:lang w:val="en-US" w:eastAsia="zh-CN"/>
                <w14:textFill>
                  <w14:solidFill>
                    <w14:schemeClr w14:val="tx1"/>
                  </w14:solidFill>
                </w14:textFill>
              </w:rPr>
              <w:t>700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/a（水灰比例1:2），</w:t>
            </w:r>
            <w:r>
              <w:rPr>
                <w:rFonts w:hint="eastAsia"/>
                <w:color w:val="000000" w:themeColor="text1"/>
                <w:sz w:val="24"/>
                <w:lang w:val="en-US" w:eastAsia="zh-CN"/>
                <w14:textFill>
                  <w14:solidFill>
                    <w14:schemeClr w14:val="tx1"/>
                  </w14:solidFill>
                </w14:textFill>
              </w:rPr>
              <w:t>即0.875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/d；完井后</w:t>
            </w:r>
            <w:r>
              <w:rPr>
                <w:color w:val="000000" w:themeColor="text1"/>
                <w:sz w:val="24"/>
                <w:lang w:eastAsia="zh-CN"/>
                <w14:textFill>
                  <w14:solidFill>
                    <w14:schemeClr w14:val="tx1"/>
                  </w14:solidFill>
                </w14:textFill>
              </w:rPr>
              <w:t>钻具等冲洗水用</w:t>
            </w:r>
            <w:r>
              <w:rPr>
                <w:rFonts w:hint="eastAsia"/>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360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/a（1.5</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color w:val="000000" w:themeColor="text1"/>
                <w:sz w:val="24"/>
                <w:lang w:eastAsia="zh-CN"/>
                <w14:textFill>
                  <w14:solidFill>
                    <w14:schemeClr w14:val="tx1"/>
                  </w14:solidFill>
                </w14:textFill>
              </w:rPr>
              <w:t>/单井</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即0.45</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w:t>
            </w:r>
            <w:r>
              <w:rPr>
                <w:rFonts w:hint="eastAsia"/>
                <w:color w:val="000000" w:themeColor="text1"/>
                <w:sz w:val="24"/>
                <w:lang w:eastAsia="zh-CN"/>
                <w14:textFill>
                  <w14:solidFill>
                    <w14:schemeClr w14:val="tx1"/>
                  </w14:solidFill>
                </w14:textFill>
              </w:rPr>
              <w:t>勘探所需人员均为</w:t>
            </w:r>
            <w:r>
              <w:rPr>
                <w:rFonts w:hint="eastAsia"/>
                <w:color w:val="000000" w:themeColor="text1"/>
                <w:sz w:val="24"/>
                <w:lang w:val="en-US" w:eastAsia="zh-CN"/>
                <w14:textFill>
                  <w14:solidFill>
                    <w14:schemeClr w14:val="tx1"/>
                  </w14:solidFill>
                </w14:textFill>
              </w:rPr>
              <w:t>80</w:t>
            </w:r>
            <w:r>
              <w:rPr>
                <w:rFonts w:hint="eastAsia"/>
                <w:color w:val="000000" w:themeColor="text1"/>
                <w:sz w:val="24"/>
                <w:lang w:eastAsia="zh-CN"/>
                <w14:textFill>
                  <w14:solidFill>
                    <w14:schemeClr w14:val="tx1"/>
                  </w14:solidFill>
                </w14:textFill>
              </w:rPr>
              <w:t>人，</w:t>
            </w:r>
            <w:r>
              <w:rPr>
                <w:rFonts w:hint="eastAsia"/>
                <w:color w:val="000000" w:themeColor="text1"/>
                <w:sz w:val="24"/>
                <w:lang w:val="en-GB"/>
                <w14:textFill>
                  <w14:solidFill>
                    <w14:schemeClr w14:val="tx1"/>
                  </w14:solidFill>
                </w14:textFill>
              </w:rPr>
              <w:t>参考《</w:t>
            </w:r>
            <w:r>
              <w:rPr>
                <w:rFonts w:hint="eastAsia"/>
                <w:color w:val="000000" w:themeColor="text1"/>
                <w:sz w:val="24"/>
                <w:lang w:val="en-US" w:eastAsia="zh-CN"/>
                <w14:textFill>
                  <w14:solidFill>
                    <w14:schemeClr w14:val="tx1"/>
                  </w14:solidFill>
                </w14:textFill>
              </w:rPr>
              <w:t>陕西省</w:t>
            </w:r>
            <w:r>
              <w:rPr>
                <w:rFonts w:hint="eastAsia"/>
                <w:color w:val="000000" w:themeColor="text1"/>
                <w:sz w:val="24"/>
                <w:lang w:val="en-GB"/>
                <w14:textFill>
                  <w14:solidFill>
                    <w14:schemeClr w14:val="tx1"/>
                  </w14:solidFill>
                </w14:textFill>
              </w:rPr>
              <w:t>行业用水定额（</w:t>
            </w:r>
            <w:r>
              <w:rPr>
                <w:rFonts w:hint="eastAsia"/>
                <w:color w:val="000000" w:themeColor="text1"/>
                <w:sz w:val="24"/>
                <w:lang w:val="en-US" w:eastAsia="zh-CN"/>
                <w14:textFill>
                  <w14:solidFill>
                    <w14:schemeClr w14:val="tx1"/>
                  </w14:solidFill>
                </w14:textFill>
              </w:rPr>
              <w:t>2020</w:t>
            </w:r>
            <w:r>
              <w:rPr>
                <w:rFonts w:hint="eastAsia"/>
                <w:color w:val="000000" w:themeColor="text1"/>
                <w:sz w:val="24"/>
                <w:lang w:val="en-GB"/>
                <w14:textFill>
                  <w14:solidFill>
                    <w14:schemeClr w14:val="tx1"/>
                  </w14:solidFill>
                </w14:textFill>
              </w:rPr>
              <w:t>年版）》中“农村居民”用水定额，本次环评按</w:t>
            </w:r>
            <w:r>
              <w:rPr>
                <w:rFonts w:hint="eastAsia" w:cs="Times New Roman"/>
                <w:color w:val="000000" w:themeColor="text1"/>
                <w:sz w:val="24"/>
                <w:lang w:val="en-US" w:eastAsia="zh-CN"/>
                <w14:textFill>
                  <w14:solidFill>
                    <w14:schemeClr w14:val="tx1"/>
                  </w14:solidFill>
                </w14:textFill>
              </w:rPr>
              <w:t>8</w:t>
            </w:r>
            <w:r>
              <w:rPr>
                <w:rFonts w:hint="default" w:ascii="Times New Roman" w:hAnsi="Times New Roman" w:cs="Times New Roman"/>
                <w:color w:val="000000" w:themeColor="text1"/>
                <w:sz w:val="24"/>
                <w:lang w:val="en-GB"/>
                <w14:textFill>
                  <w14:solidFill>
                    <w14:schemeClr w14:val="tx1"/>
                  </w14:solidFill>
                </w14:textFill>
              </w:rPr>
              <w:t>0L/人·d</w:t>
            </w:r>
            <w:r>
              <w:rPr>
                <w:rFonts w:hint="eastAsia"/>
                <w:color w:val="000000" w:themeColor="text1"/>
                <w:sz w:val="24"/>
                <w:lang w:val="en-GB"/>
                <w14:textFill>
                  <w14:solidFill>
                    <w14:schemeClr w14:val="tx1"/>
                  </w14:solidFill>
                </w14:textFill>
              </w:rPr>
              <w:t>计，</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年度项目生活用水量约</w:t>
            </w:r>
            <w:r>
              <w:rPr>
                <w:rFonts w:hint="eastAsia"/>
                <w:color w:val="000000" w:themeColor="text1"/>
                <w:sz w:val="24"/>
                <w:lang w:val="en-US" w:eastAsia="zh-CN"/>
                <w14:textFill>
                  <w14:solidFill>
                    <w14:schemeClr w14:val="tx1"/>
                  </w14:solidFill>
                </w14:textFill>
              </w:rPr>
              <w:t>6.4</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/d（勘探期约为</w:t>
            </w:r>
            <w:r>
              <w:rPr>
                <w:rFonts w:hint="eastAsia"/>
                <w:color w:val="000000" w:themeColor="text1"/>
                <w:sz w:val="24"/>
                <w:lang w:val="en-US" w:eastAsia="zh-CN"/>
                <w14:textFill>
                  <w14:solidFill>
                    <w14:schemeClr w14:val="tx1"/>
                  </w14:solidFill>
                </w14:textFill>
              </w:rPr>
              <w:t>8</w:t>
            </w:r>
            <w:r>
              <w:rPr>
                <w:rFonts w:hint="eastAsia"/>
                <w:color w:val="000000" w:themeColor="text1"/>
                <w:sz w:val="24"/>
                <w:lang w:eastAsia="zh-CN"/>
                <w14:textFill>
                  <w14:solidFill>
                    <w14:schemeClr w14:val="tx1"/>
                  </w14:solidFill>
                </w14:textFill>
              </w:rPr>
              <w:t>00天，则</w:t>
            </w:r>
            <w:r>
              <w:rPr>
                <w:rFonts w:hint="eastAsia"/>
                <w:color w:val="000000" w:themeColor="text1"/>
                <w:sz w:val="24"/>
                <w:lang w:val="en-US" w:eastAsia="zh-CN"/>
                <w14:textFill>
                  <w14:solidFill>
                    <w14:schemeClr w14:val="tx1"/>
                  </w14:solidFill>
                </w14:textFill>
              </w:rPr>
              <w:t>5120</w:t>
            </w:r>
            <w:r>
              <w:rPr>
                <w:rFonts w:hint="eastAsia"/>
                <w:color w:val="000000" w:themeColor="text1"/>
                <w:sz w:val="24"/>
                <w:lang w:eastAsia="zh-CN"/>
                <w14:textFill>
                  <w14:solidFill>
                    <w14:schemeClr w14:val="tx1"/>
                  </w14:solidFill>
                </w14:textFill>
              </w:rPr>
              <w:t>m</w:t>
            </w:r>
            <w:r>
              <w:rPr>
                <w:rFonts w:hint="eastAsia"/>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/a）。</w:t>
            </w:r>
          </w:p>
          <w:p>
            <w:pPr>
              <w:autoSpaceDE/>
              <w:autoSpaceDN/>
              <w:spacing w:line="360" w:lineRule="auto"/>
              <w:ind w:firstLine="480" w:firstLineChars="200"/>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（2）排水</w:t>
            </w:r>
          </w:p>
          <w:p>
            <w:pPr>
              <w:adjustRightInd w:val="0"/>
              <w:spacing w:line="360" w:lineRule="auto"/>
              <w:ind w:firstLine="480" w:firstLineChars="200"/>
              <w:rPr>
                <w:rFonts w:ascii="Times New Roman" w:hAnsi="Times New Roman" w:cs="Times New Roman"/>
                <w:color w:val="000000" w:themeColor="text1"/>
                <w:sz w:val="24"/>
                <w:lang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工程废、污水主要为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p>
          <w:p>
            <w:pPr>
              <w:widowControl/>
              <w:autoSpaceDE/>
              <w:autoSpaceDN/>
              <w:spacing w:line="360" w:lineRule="auto"/>
              <w:ind w:firstLine="480" w:firstLineChars="200"/>
              <w:jc w:val="both"/>
              <w:rPr>
                <w:rFonts w:hint="eastAsia"/>
                <w:color w:val="000000" w:themeColor="text1"/>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项目部依托村庄现有旱厕收集生活粪便，生活洗漱污水用于抑尘；钻探施工区生活区设旱厕，生活洗漱污水用于抑尘。</w:t>
            </w:r>
            <w:r>
              <w:rPr>
                <w:rFonts w:hint="eastAsia"/>
                <w:color w:val="000000" w:themeColor="text1"/>
                <w:sz w:val="24"/>
                <w:szCs w:val="24"/>
                <w:lang w:val="en-US" w:eastAsia="zh-CN"/>
                <w14:textFill>
                  <w14:solidFill>
                    <w14:schemeClr w14:val="tx1"/>
                  </w14:solidFill>
                </w14:textFill>
              </w:rPr>
              <w:t>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2022年度用、排水量及水平衡分别见下表6-3和图6-2。</w: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表6-3  项目用排水一览表（2022年度）</w:t>
            </w:r>
          </w:p>
          <w:tbl>
            <w:tblPr>
              <w:tblStyle w:val="14"/>
              <w:tblW w:w="494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88"/>
              <w:gridCol w:w="653"/>
              <w:gridCol w:w="1537"/>
              <w:gridCol w:w="1284"/>
              <w:gridCol w:w="1178"/>
              <w:gridCol w:w="1284"/>
              <w:gridCol w:w="1285"/>
              <w:gridCol w:w="15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59"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2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0"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807"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59"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6.4</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6.4</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restar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年工作天数</w:t>
                  </w:r>
                  <w:r>
                    <w:rPr>
                      <w:rFonts w:hint="eastAsia"/>
                      <w:color w:val="000000" w:themeColor="text1"/>
                      <w:szCs w:val="21"/>
                      <w:lang w:val="en-US" w:eastAsia="zh-CN"/>
                      <w14:textFill>
                        <w14:solidFill>
                          <w14:schemeClr w14:val="tx1"/>
                        </w14:solidFill>
                      </w14:textFill>
                    </w:rPr>
                    <w:t>200</w:t>
                  </w:r>
                  <w:r>
                    <w:rPr>
                      <w:color w:val="000000" w:themeColor="text1"/>
                      <w:szCs w:val="21"/>
                      <w14:textFill>
                        <w14:solidFill>
                          <w14:schemeClr w14:val="tx1"/>
                        </w14:solidFill>
                      </w14:textFill>
                    </w:rPr>
                    <w:t>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6" w:type="pct"/>
                  <w:vMerge w:val="restar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施工作业用水</w:t>
                  </w:r>
                </w:p>
              </w:tc>
              <w:tc>
                <w:tcPr>
                  <w:tcW w:w="81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15.035</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2.185</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12.85</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6"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0.875</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0.875</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5"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6"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1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0.435</w:t>
                  </w:r>
                </w:p>
              </w:tc>
              <w:tc>
                <w:tcPr>
                  <w:tcW w:w="624"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0.435</w:t>
                  </w:r>
                </w:p>
              </w:tc>
              <w:tc>
                <w:tcPr>
                  <w:tcW w:w="680"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81"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1525"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1307"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22.745</w:t>
                  </w:r>
                </w:p>
              </w:tc>
              <w:tc>
                <w:tcPr>
                  <w:tcW w:w="1199"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9.895</w:t>
                  </w:r>
                </w:p>
              </w:tc>
              <w:tc>
                <w:tcPr>
                  <w:tcW w:w="1307"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12.85</w:t>
                  </w:r>
                </w:p>
              </w:tc>
              <w:tc>
                <w:tcPr>
                  <w:tcW w:w="681" w:type="pct"/>
                  <w:tcBorders>
                    <w:tl2br w:val="nil"/>
                    <w:tr2bl w:val="nil"/>
                  </w:tcBorders>
                  <w:vAlign w:val="center"/>
                </w:tcPr>
                <w:p>
                  <w:pPr>
                    <w:contextualSpacing/>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807"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numPr>
                <w:ilvl w:val="0"/>
                <w:numId w:val="0"/>
              </w:numPr>
              <w:spacing w:line="360" w:lineRule="auto"/>
              <w:jc w:val="center"/>
              <w:rPr>
                <w:rFonts w:hint="eastAsia" w:eastAsia="黑体"/>
                <w:color w:val="000000" w:themeColor="text1"/>
                <w:sz w:val="24"/>
                <w:lang w:val="en-US" w:eastAsia="zh-CN"/>
                <w14:textFill>
                  <w14:solidFill>
                    <w14:schemeClr w14:val="tx1"/>
                  </w14:solidFill>
                </w14:textFill>
              </w:rPr>
            </w:pPr>
            <w:r>
              <w:rPr>
                <w:rFonts w:hint="eastAsia" w:eastAsia="黑体"/>
                <w:color w:val="000000" w:themeColor="text1"/>
                <w:sz w:val="24"/>
                <w:lang w:val="en-US" w:eastAsia="zh-CN"/>
                <w14:textFill>
                  <w14:solidFill>
                    <w14:schemeClr w14:val="tx1"/>
                  </w14:solidFill>
                </w14:textFill>
              </w:rPr>
              <w:object>
                <v:shape id="_x0000_i1026" o:spt="75" type="#_x0000_t75" style="height:198.5pt;width:326.8pt;" o:ole="t" filled="f" o:preferrelative="t" stroked="f" coordsize="21600,21600">
                  <v:path/>
                  <v:fill on="f" focussize="0,0"/>
                  <v:stroke on="f"/>
                  <v:imagedata r:id="rId20" o:title=""/>
                  <o:lock v:ext="edit" aspectratio="f"/>
                  <w10:wrap type="none"/>
                  <w10:anchorlock/>
                </v:shape>
                <o:OLEObject Type="Embed" ProgID="Visio.Drawing.11" ShapeID="_x0000_i1026" DrawAspect="Content" ObjectID="_1468075726" r:id="rId19">
                  <o:LockedField>false</o:LockedField>
                </o:OLEObject>
              </w:object>
            </w:r>
          </w:p>
          <w:p>
            <w:pPr>
              <w:spacing w:line="240" w:lineRule="auto"/>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图6-2  项目水平衡图（2022年度） </w:t>
            </w:r>
            <w:r>
              <w:rPr>
                <w:rFonts w:hint="eastAsia"/>
                <w:b/>
                <w:bCs/>
                <w:color w:val="000000" w:themeColor="text1"/>
                <w:sz w:val="24"/>
                <w:lang w:val="en-US" w:eastAsia="zh-CN"/>
                <w14:textFill>
                  <w14:solidFill>
                    <w14:schemeClr w14:val="tx1"/>
                  </w14:solidFill>
                </w14:textFill>
              </w:rPr>
              <w:t xml:space="preserve"> </w:t>
            </w:r>
            <w:r>
              <w:rPr>
                <w:rFonts w:hint="default" w:ascii="Times New Roman" w:hAnsi="Times New Roman" w:cs="Times New Roman"/>
                <w:b w:val="0"/>
                <w:bCs w:val="0"/>
                <w:color w:val="000000" w:themeColor="text1"/>
                <w:sz w:val="24"/>
                <w:szCs w:val="24"/>
                <w:lang w:eastAsia="zh-CN"/>
                <w14:textFill>
                  <w14:solidFill>
                    <w14:schemeClr w14:val="tx1"/>
                  </w14:solidFill>
                </w14:textFill>
              </w:rPr>
              <w:t>单位：m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eastAsia="zh-CN"/>
                <w14:textFill>
                  <w14:solidFill>
                    <w14:schemeClr w14:val="tx1"/>
                  </w14:solidFill>
                </w14:textFill>
              </w:rPr>
              <w:t>/d</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2023-2026年度用、排水量及水平衡分别见下表6-4和图6-3。</w:t>
            </w:r>
          </w:p>
          <w:p>
            <w:pPr>
              <w:spacing w:line="240" w:lineRule="auto"/>
              <w:jc w:val="center"/>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表6-4  项目用排水一览表（2023-2026年度）</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1"/>
              <w:gridCol w:w="655"/>
              <w:gridCol w:w="1531"/>
              <w:gridCol w:w="1285"/>
              <w:gridCol w:w="1285"/>
              <w:gridCol w:w="1285"/>
              <w:gridCol w:w="1287"/>
              <w:gridCol w:w="152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类别</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用水量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损耗量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3"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回用量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674"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排水量</w:t>
                  </w:r>
                </w:p>
                <w:p>
                  <w:pPr>
                    <w:contextualSpacing/>
                    <w:jc w:val="center"/>
                    <w:rPr>
                      <w:color w:val="000000" w:themeColor="text1"/>
                      <w:szCs w:val="21"/>
                      <w14:textFill>
                        <w14:solidFill>
                          <w14:schemeClr w14:val="tx1"/>
                        </w14:solidFill>
                      </w14:textFill>
                    </w:rPr>
                  </w:pPr>
                  <w:r>
                    <w:rPr>
                      <w:color w:val="000000" w:themeColor="text1"/>
                      <w:szCs w:val="21"/>
                      <w:lang w:val="en-GB"/>
                      <w14:textFill>
                        <w14:solidFill>
                          <w14:schemeClr w14:val="tx1"/>
                        </w14:solidFill>
                      </w14:textFill>
                    </w:rPr>
                    <w:t>m</w:t>
                  </w:r>
                  <w:r>
                    <w:rPr>
                      <w:color w:val="000000" w:themeColor="text1"/>
                      <w:szCs w:val="21"/>
                      <w:vertAlign w:val="superscript"/>
                      <w:lang w:val="en-GB"/>
                      <w14:textFill>
                        <w14:solidFill>
                          <w14:schemeClr w14:val="tx1"/>
                        </w14:solidFill>
                      </w14:textFill>
                    </w:rPr>
                    <w:t>3</w:t>
                  </w:r>
                  <w:r>
                    <w:rPr>
                      <w:color w:val="000000" w:themeColor="text1"/>
                      <w:szCs w:val="21"/>
                      <w:lang w:val="en-GB"/>
                      <w14:textFill>
                        <w14:solidFill>
                          <w14:schemeClr w14:val="tx1"/>
                        </w14:solidFill>
                      </w14:textFill>
                    </w:rPr>
                    <w:t>/d</w:t>
                  </w:r>
                </w:p>
              </w:tc>
              <w:tc>
                <w:tcPr>
                  <w:tcW w:w="798"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1145" w:type="pct"/>
                  <w:gridSpan w:val="2"/>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6.4</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6.4</w:t>
                  </w:r>
                </w:p>
              </w:tc>
              <w:tc>
                <w:tcPr>
                  <w:tcW w:w="673" w:type="pct"/>
                  <w:tcBorders>
                    <w:tl2br w:val="nil"/>
                    <w:tr2bl w:val="nil"/>
                  </w:tcBorders>
                  <w:vAlign w:val="center"/>
                </w:tcPr>
                <w:p>
                  <w:pPr>
                    <w:contextualSpacing/>
                    <w:jc w:val="center"/>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0</w:t>
                  </w:r>
                </w:p>
              </w:tc>
              <w:tc>
                <w:tcPr>
                  <w:tcW w:w="674" w:type="pct"/>
                  <w:tcBorders>
                    <w:tl2br w:val="nil"/>
                    <w:tr2bl w:val="nil"/>
                  </w:tcBorders>
                  <w:vAlign w:val="center"/>
                </w:tcPr>
                <w:p>
                  <w:pPr>
                    <w:contextualSpacing/>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0</w:t>
                  </w:r>
                </w:p>
              </w:tc>
              <w:tc>
                <w:tcPr>
                  <w:tcW w:w="798" w:type="pct"/>
                  <w:vMerge w:val="restart"/>
                  <w:tcBorders>
                    <w:tl2br w:val="nil"/>
                    <w:tr2bl w:val="nil"/>
                  </w:tcBorders>
                  <w:vAlign w:val="center"/>
                </w:tcPr>
                <w:p>
                  <w:pPr>
                    <w:contextualSpacing/>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年均工作天数200天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343" w:type="pct"/>
                  <w:vMerge w:val="restar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施工作业用水</w:t>
                  </w: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钻井液用水</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15.14</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2.2</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12.94</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9"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343"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封井水泥用水</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0.875</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0.875</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6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343"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c>
                <w:tcPr>
                  <w:tcW w:w="802" w:type="pct"/>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钻具冲洗用水</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0.45</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0.45</w:t>
                  </w:r>
                </w:p>
              </w:tc>
              <w:tc>
                <w:tcPr>
                  <w:tcW w:w="673" w:type="pct"/>
                  <w:tcBorders>
                    <w:tl2br w:val="nil"/>
                    <w:tr2bl w:val="nil"/>
                  </w:tcBorders>
                  <w:vAlign w:val="center"/>
                </w:tcPr>
                <w:p>
                  <w:pPr>
                    <w:contextualSpacing/>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7" w:type="pct"/>
                  <w:gridSpan w:val="3"/>
                  <w:tcBorders>
                    <w:tl2br w:val="nil"/>
                    <w:tr2bl w:val="nil"/>
                  </w:tcBorders>
                  <w:vAlign w:val="center"/>
                </w:tcPr>
                <w:p>
                  <w:pPr>
                    <w:contextualSpacing/>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合计</w:t>
                  </w:r>
                </w:p>
              </w:tc>
              <w:tc>
                <w:tcPr>
                  <w:tcW w:w="130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22.865</w:t>
                  </w:r>
                </w:p>
              </w:tc>
              <w:tc>
                <w:tcPr>
                  <w:tcW w:w="130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9.925</w:t>
                  </w:r>
                </w:p>
              </w:tc>
              <w:tc>
                <w:tcPr>
                  <w:tcW w:w="1308" w:type="dxa"/>
                  <w:tcBorders>
                    <w:tl2br w:val="nil"/>
                    <w:tr2bl w:val="nil"/>
                  </w:tcBorders>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12.94</w:t>
                  </w:r>
                </w:p>
              </w:tc>
              <w:tc>
                <w:tcPr>
                  <w:tcW w:w="674" w:type="pct"/>
                  <w:tcBorders>
                    <w:tl2br w:val="nil"/>
                    <w:tr2bl w:val="nil"/>
                  </w:tcBorders>
                  <w:vAlign w:val="center"/>
                </w:tcPr>
                <w:p>
                  <w:pPr>
                    <w:contextualSpacing/>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798" w:type="pct"/>
                  <w:vMerge w:val="continue"/>
                  <w:tcBorders>
                    <w:tl2br w:val="nil"/>
                    <w:tr2bl w:val="nil"/>
                  </w:tcBorders>
                  <w:vAlign w:val="center"/>
                </w:tcPr>
                <w:p>
                  <w:pPr>
                    <w:contextualSpacing/>
                    <w:jc w:val="center"/>
                    <w:rPr>
                      <w:color w:val="000000" w:themeColor="text1"/>
                      <w:szCs w:val="21"/>
                      <w14:textFill>
                        <w14:solidFill>
                          <w14:schemeClr w14:val="tx1"/>
                        </w14:solidFill>
                      </w14:textFill>
                    </w:rPr>
                  </w:pPr>
                </w:p>
              </w:tc>
            </w:tr>
          </w:tbl>
          <w:p>
            <w:pPr>
              <w:pStyle w:val="4"/>
              <w:jc w:val="center"/>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object>
                <v:shape id="_x0000_i1027" o:spt="75" type="#_x0000_t75" style="height:187.15pt;width:332.4pt;" o:ole="t" filled="f" o:preferrelative="t" stroked="f" coordsize="21600,21600">
                  <v:path/>
                  <v:fill on="f" focussize="0,0"/>
                  <v:stroke on="f"/>
                  <v:imagedata r:id="rId22" o:title=""/>
                  <o:lock v:ext="edit" aspectratio="f"/>
                  <w10:wrap type="none"/>
                  <w10:anchorlock/>
                </v:shape>
                <o:OLEObject Type="Embed" ProgID="Visio.Drawing.11" ShapeID="_x0000_i1027" DrawAspect="Content" ObjectID="_1468075727" r:id="rId21">
                  <o:LockedField>false</o:LockedField>
                </o:OLEObject>
              </w:object>
            </w:r>
          </w:p>
          <w:p>
            <w:pPr>
              <w:pStyle w:val="2"/>
              <w:jc w:val="center"/>
              <w:rPr>
                <w:rFonts w:hint="default" w:ascii="Times New Roman" w:hAnsi="Times New Roman" w:cs="Times New Roman"/>
                <w:b w:val="0"/>
                <w:bCs/>
                <w:color w:val="000000" w:themeColor="text1"/>
                <w:kern w:val="2"/>
                <w:sz w:val="24"/>
                <w:szCs w:val="24"/>
                <w14:textFill>
                  <w14:solidFill>
                    <w14:schemeClr w14:val="tx1"/>
                  </w14:solidFill>
                </w14:textFill>
              </w:rPr>
            </w:pPr>
            <w:r>
              <w:rPr>
                <w:rFonts w:hint="default" w:ascii="Times New Roman" w:hAnsi="Times New Roman" w:cs="Times New Roman"/>
                <w:color w:val="000000" w:themeColor="text1"/>
                <w:sz w:val="24"/>
                <w:lang w:val="en-US" w:eastAsia="zh-CN"/>
                <w14:textFill>
                  <w14:solidFill>
                    <w14:schemeClr w14:val="tx1"/>
                  </w14:solidFill>
                </w14:textFill>
              </w:rPr>
              <w:t xml:space="preserve">图6-3  项目水平衡图（2023-2026年度）  </w:t>
            </w:r>
            <w:r>
              <w:rPr>
                <w:rFonts w:hint="default" w:ascii="Times New Roman" w:hAnsi="Times New Roman" w:cs="Times New Roman"/>
                <w:b/>
                <w:bCs/>
                <w:color w:val="000000" w:themeColor="text1"/>
                <w:sz w:val="24"/>
                <w:szCs w:val="24"/>
                <w:lang w:eastAsia="zh-CN"/>
                <w14:textFill>
                  <w14:solidFill>
                    <w14:schemeClr w14:val="tx1"/>
                  </w14:solidFill>
                </w14:textFill>
              </w:rPr>
              <w:t>单位：m</w:t>
            </w:r>
            <w:r>
              <w:rPr>
                <w:rFonts w:hint="default" w:ascii="Times New Roman" w:hAnsi="Times New Roman" w:cs="Times New Roman"/>
                <w:b/>
                <w:bCs/>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bCs/>
                <w:color w:val="000000" w:themeColor="text1"/>
                <w:sz w:val="24"/>
                <w:szCs w:val="24"/>
                <w:lang w:eastAsia="zh-CN"/>
                <w14:textFill>
                  <w14:solidFill>
                    <w14:schemeClr w14:val="tx1"/>
                  </w14:solidFill>
                </w14:textFill>
              </w:rPr>
              <w:t>/d</w:t>
            </w: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rPr>
                <w:rFonts w:ascii="Times New Roman" w:hAnsi="Times New Roman" w:cs="Times New Roman"/>
                <w:b w:val="0"/>
                <w:bCs/>
                <w:color w:val="000000" w:themeColor="text1"/>
                <w:kern w:val="2"/>
                <w:sz w:val="24"/>
                <w:szCs w:val="24"/>
                <w14:textFill>
                  <w14:solidFill>
                    <w14:schemeClr w14:val="tx1"/>
                  </w14:solidFill>
                </w14:textFill>
              </w:rPr>
            </w:pPr>
          </w:p>
          <w:p>
            <w:pPr>
              <w:rPr>
                <w:rFonts w:ascii="Times New Roman" w:hAnsi="Times New Roman" w:cs="Times New Roman"/>
                <w:b w:val="0"/>
                <w:bCs/>
                <w:color w:val="000000" w:themeColor="text1"/>
                <w:kern w:val="2"/>
                <w:sz w:val="24"/>
                <w:szCs w:val="24"/>
                <w14:textFill>
                  <w14:solidFill>
                    <w14:schemeClr w14:val="tx1"/>
                  </w14:solidFill>
                </w14:textFill>
              </w:rPr>
            </w:pPr>
          </w:p>
          <w:p>
            <w:pPr>
              <w:pStyle w:val="2"/>
              <w:rPr>
                <w:color w:val="000000" w:themeColor="text1"/>
                <w14:textFill>
                  <w14:solidFill>
                    <w14:schemeClr w14:val="tx1"/>
                  </w14:solidFill>
                </w14:textFill>
              </w:rPr>
            </w:pPr>
          </w:p>
          <w:p>
            <w:pPr>
              <w:spacing w:line="360" w:lineRule="auto"/>
              <w:jc w:val="center"/>
              <w:rPr>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 w:hRule="atLeast"/>
          <w:jc w:val="center"/>
        </w:trPr>
        <w:tc>
          <w:tcPr>
            <w:tcW w:w="5000" w:type="pct"/>
          </w:tcPr>
          <w:p>
            <w:pPr>
              <w:spacing w:line="360" w:lineRule="auto"/>
              <w:rPr>
                <w:rFonts w:eastAsia="黑体"/>
                <w:color w:val="000000" w:themeColor="text1"/>
                <w:sz w:val="28"/>
                <w14:textFill>
                  <w14:solidFill>
                    <w14:schemeClr w14:val="tx1"/>
                  </w14:solidFill>
                </w14:textFill>
              </w:rPr>
            </w:pPr>
            <w:r>
              <w:rPr>
                <w:rFonts w:hint="eastAsia" w:eastAsia="黑体"/>
                <w:color w:val="000000" w:themeColor="text1"/>
                <w:sz w:val="28"/>
                <w14:textFill>
                  <w14:solidFill>
                    <w14:schemeClr w14:val="tx1"/>
                  </w14:solidFill>
                </w14:textFill>
              </w:rPr>
              <w:t>污染物的产生及治理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钻探平整场地、钻探施工对生态环境产生一定影响；施工作业产生少量施工废水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人员生活污水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施工机械废气及粉尘</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钻孔、发电机等</w:t>
            </w:r>
            <w:r>
              <w:rPr>
                <w:rFonts w:hint="eastAsia"/>
                <w:color w:val="000000" w:themeColor="text1"/>
                <w:sz w:val="24"/>
                <w:lang w:val="en-US" w:eastAsia="zh-CN"/>
                <w14:textFill>
                  <w14:solidFill>
                    <w14:schemeClr w14:val="tx1"/>
                  </w14:solidFill>
                </w14:textFill>
              </w:rPr>
              <w:t>设备运行产生</w:t>
            </w:r>
            <w:r>
              <w:rPr>
                <w:rFonts w:hint="eastAsia"/>
                <w:color w:val="000000" w:themeColor="text1"/>
                <w:sz w:val="24"/>
                <w14:textFill>
                  <w14:solidFill>
                    <w14:schemeClr w14:val="tx1"/>
                  </w14:solidFill>
                </w14:textFill>
              </w:rPr>
              <w:t>噪声。</w:t>
            </w:r>
          </w:p>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rFonts w:hint="eastAsia"/>
                <w:b/>
                <w:bCs/>
                <w:color w:val="000000" w:themeColor="text1"/>
                <w:sz w:val="24"/>
                <w14:textFill>
                  <w14:solidFill>
                    <w14:schemeClr w14:val="tx1"/>
                  </w14:solidFill>
                </w14:textFill>
              </w:rPr>
              <w:t>废气</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（1）钻井柴油机排放的大气污染物</w:t>
            </w:r>
          </w:p>
          <w:p>
            <w:pPr>
              <w:adjustRightInd w:val="0"/>
              <w:spacing w:line="360" w:lineRule="auto"/>
              <w:ind w:firstLine="480" w:firstLineChars="200"/>
              <w:contextualSpacing/>
              <w:jc w:val="both"/>
              <w:rPr>
                <w:rFonts w:hint="eastAsia"/>
                <w:color w:val="000000" w:themeColor="text1"/>
                <w:sz w:val="24"/>
                <w:szCs w:val="24"/>
                <w:lang w:eastAsia="zh-CN"/>
                <w14:textFill>
                  <w14:solidFill>
                    <w14:schemeClr w14:val="tx1"/>
                  </w14:solidFill>
                </w14:textFill>
              </w:rPr>
            </w:pPr>
            <w:r>
              <w:rPr>
                <w:rFonts w:hint="eastAsia"/>
                <w:color w:val="000000" w:themeColor="text1"/>
                <w:sz w:val="24"/>
                <w14:textFill>
                  <w14:solidFill>
                    <w14:schemeClr w14:val="tx1"/>
                  </w14:solidFill>
                </w14:textFill>
              </w:rPr>
              <w:t>柴油机产生的燃油废气，主要污染物是颗粒物、SO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、NO</w:t>
            </w:r>
            <w:r>
              <w:rPr>
                <w:rFonts w:hint="eastAsia"/>
                <w:color w:val="000000" w:themeColor="text1"/>
                <w:sz w:val="24"/>
                <w:vertAlign w:val="subscript"/>
                <w14:textFill>
                  <w14:solidFill>
                    <w14:schemeClr w14:val="tx1"/>
                  </w14:solidFill>
                </w14:textFill>
              </w:rPr>
              <w:t>X</w:t>
            </w:r>
            <w:r>
              <w:rPr>
                <w:rFonts w:hint="eastAsia"/>
                <w:color w:val="000000" w:themeColor="text1"/>
                <w:sz w:val="24"/>
                <w14:textFill>
                  <w14:solidFill>
                    <w14:schemeClr w14:val="tx1"/>
                  </w14:solidFill>
                </w14:textFill>
              </w:rPr>
              <w:t>、CO、总烃等，属无组织排放。根据类比调查，单井每百米进尺平均消耗柴油量360L</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根据工作量核算，</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35</w:t>
            </w:r>
            <w:r>
              <w:rPr>
                <w:rFonts w:hint="eastAsia"/>
                <w:color w:val="000000" w:themeColor="text1"/>
                <w:sz w:val="24"/>
                <w:szCs w:val="24"/>
                <w:lang w:eastAsia="zh-CN"/>
                <w14:textFill>
                  <w14:solidFill>
                    <w14:schemeClr w14:val="tx1"/>
                  </w14:solidFill>
                </w14:textFill>
              </w:rPr>
              <w:t>000m</w:t>
            </w:r>
            <w:r>
              <w:rPr>
                <w:rFonts w:hint="eastAsia"/>
                <w:color w:val="000000" w:themeColor="text1"/>
                <w:sz w:val="24"/>
                <w:szCs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则202</w:t>
            </w:r>
            <w:r>
              <w:rPr>
                <w:rFonts w:hint="eastAsia"/>
                <w:color w:val="000000" w:themeColor="text1"/>
                <w:sz w:val="24"/>
                <w:szCs w:val="24"/>
                <w:lang w:val="en-US"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126000L</w:t>
            </w:r>
            <w:r>
              <w:rPr>
                <w:rFonts w:hint="eastAsia"/>
                <w:color w:val="000000" w:themeColor="text1"/>
                <w:sz w:val="24"/>
                <w:szCs w:val="24"/>
                <w:lang w:eastAsia="zh-CN"/>
                <w14:textFill>
                  <w14:solidFill>
                    <w14:schemeClr w14:val="tx1"/>
                  </w14:solidFill>
                </w14:textFill>
              </w:rPr>
              <w:t>。202</w:t>
            </w:r>
            <w:r>
              <w:rPr>
                <w:rFonts w:hint="eastAsia"/>
                <w:color w:val="000000" w:themeColor="text1"/>
                <w:sz w:val="24"/>
                <w:szCs w:val="24"/>
                <w:lang w:val="en-US" w:eastAsia="zh-CN"/>
                <w14:textFill>
                  <w14:solidFill>
                    <w14:schemeClr w14:val="tx1"/>
                  </w14:solidFill>
                </w14:textFill>
              </w:rPr>
              <w:t>3-2026</w:t>
            </w:r>
            <w:r>
              <w:rPr>
                <w:rFonts w:hint="eastAsia"/>
                <w:color w:val="000000" w:themeColor="text1"/>
                <w:sz w:val="24"/>
                <w:szCs w:val="24"/>
                <w:lang w:eastAsia="zh-CN"/>
                <w14:textFill>
                  <w14:solidFill>
                    <w14:schemeClr w14:val="tx1"/>
                  </w14:solidFill>
                </w14:textFill>
              </w:rPr>
              <w:t>年项目钻井工作量均为</w:t>
            </w:r>
            <w:r>
              <w:rPr>
                <w:rFonts w:hint="eastAsia"/>
                <w:color w:val="000000" w:themeColor="text1"/>
                <w:sz w:val="24"/>
                <w:szCs w:val="24"/>
                <w:lang w:val="en-US" w:eastAsia="zh-CN"/>
                <w14:textFill>
                  <w14:solidFill>
                    <w14:schemeClr w14:val="tx1"/>
                  </w14:solidFill>
                </w14:textFill>
              </w:rPr>
              <w:t>140</w:t>
            </w:r>
            <w:r>
              <w:rPr>
                <w:rFonts w:hint="eastAsia"/>
                <w:color w:val="000000" w:themeColor="text1"/>
                <w:sz w:val="24"/>
                <w:szCs w:val="24"/>
                <w:lang w:eastAsia="zh-CN"/>
                <w14:textFill>
                  <w14:solidFill>
                    <w14:schemeClr w14:val="tx1"/>
                  </w14:solidFill>
                </w14:textFill>
              </w:rPr>
              <w:t>000m，则20</w:t>
            </w:r>
            <w:r>
              <w:rPr>
                <w:rFonts w:hint="eastAsia"/>
                <w:color w:val="000000" w:themeColor="text1"/>
                <w:sz w:val="24"/>
                <w:szCs w:val="24"/>
                <w:lang w:val="en-US" w:eastAsia="zh-CN"/>
                <w14:textFill>
                  <w14:solidFill>
                    <w14:schemeClr w14:val="tx1"/>
                  </w14:solidFill>
                </w14:textFill>
              </w:rPr>
              <w:t>23-2026</w:t>
            </w:r>
            <w:r>
              <w:rPr>
                <w:rFonts w:hint="eastAsia"/>
                <w:color w:val="000000" w:themeColor="text1"/>
                <w:sz w:val="24"/>
                <w:szCs w:val="24"/>
                <w:lang w:eastAsia="zh-CN"/>
                <w14:textFill>
                  <w14:solidFill>
                    <w14:schemeClr w14:val="tx1"/>
                  </w14:solidFill>
                </w14:textFill>
              </w:rPr>
              <w:t>年钻井需均消耗柴油</w:t>
            </w:r>
            <w:r>
              <w:rPr>
                <w:rFonts w:hint="eastAsia"/>
                <w:color w:val="000000" w:themeColor="text1"/>
                <w:sz w:val="24"/>
                <w:szCs w:val="24"/>
                <w:lang w:val="en-US" w:eastAsia="zh-CN"/>
                <w14:textFill>
                  <w14:solidFill>
                    <w14:schemeClr w14:val="tx1"/>
                  </w14:solidFill>
                </w14:textFill>
              </w:rPr>
              <w:t>504000L</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参照《环境影响评价工程师职业资格登记培训教材—社会区域类环境影响评价》中相关参数估算，柴油机烟气污染物排放量分别为</w:t>
            </w:r>
            <w:r>
              <w:rPr>
                <w:rFonts w:hint="eastAsia"/>
                <w:color w:val="000000" w:themeColor="text1"/>
                <w:sz w:val="24"/>
                <w:lang w:val="en-US" w:eastAsia="zh-CN"/>
                <w14:textFill>
                  <w14:solidFill>
                    <w14:schemeClr w14:val="tx1"/>
                  </w14:solidFill>
                </w14:textFill>
              </w:rPr>
              <w:t>颗粒物</w:t>
            </w:r>
            <w:r>
              <w:rPr>
                <w:rFonts w:hint="eastAsia"/>
                <w:color w:val="000000" w:themeColor="text1"/>
                <w:sz w:val="24"/>
                <w14:textFill>
                  <w14:solidFill>
                    <w14:schemeClr w14:val="tx1"/>
                  </w14:solidFill>
                </w14:textFill>
              </w:rPr>
              <w:t>0.714g/L柴油、SO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4g/L柴油、NOx2.56g/L 柴油、</w:t>
            </w:r>
            <w:r>
              <w:rPr>
                <w:rFonts w:hint="eastAsia"/>
                <w:color w:val="000000" w:themeColor="text1"/>
                <w:sz w:val="24"/>
                <w:lang w:val="en-US" w:eastAsia="zh-CN"/>
                <w14:textFill>
                  <w14:solidFill>
                    <w14:schemeClr w14:val="tx1"/>
                  </w14:solidFill>
                </w14:textFill>
              </w:rPr>
              <w:t>CO1.5</w:t>
            </w:r>
            <w:r>
              <w:rPr>
                <w:rFonts w:hint="eastAsia"/>
                <w:color w:val="000000" w:themeColor="text1"/>
                <w:sz w:val="24"/>
                <w14:textFill>
                  <w14:solidFill>
                    <w14:schemeClr w14:val="tx1"/>
                  </w14:solidFill>
                </w14:textFill>
              </w:rPr>
              <w:t>g/L柴油、</w:t>
            </w:r>
            <w:r>
              <w:rPr>
                <w:rFonts w:hint="eastAsia"/>
                <w:color w:val="000000" w:themeColor="text1"/>
                <w:sz w:val="24"/>
                <w:lang w:val="en-US" w:eastAsia="zh-CN"/>
                <w14:textFill>
                  <w14:solidFill>
                    <w14:schemeClr w14:val="tx1"/>
                  </w14:solidFill>
                </w14:textFill>
              </w:rPr>
              <w:t>总烃1.489</w:t>
            </w:r>
            <w:r>
              <w:rPr>
                <w:rFonts w:hint="eastAsia"/>
                <w:color w:val="000000" w:themeColor="text1"/>
                <w:sz w:val="24"/>
                <w14:textFill>
                  <w14:solidFill>
                    <w14:schemeClr w14:val="tx1"/>
                  </w14:solidFill>
                </w14:textFill>
              </w:rPr>
              <w:t>g/L柴油，则</w:t>
            </w:r>
            <w:r>
              <w:rPr>
                <w:rFonts w:hint="eastAsia"/>
                <w:color w:val="000000" w:themeColor="text1"/>
                <w:sz w:val="24"/>
                <w:lang w:val="en-US" w:eastAsia="zh-CN"/>
                <w14:textFill>
                  <w14:solidFill>
                    <w14:schemeClr w14:val="tx1"/>
                  </w14:solidFill>
                </w14:textFill>
              </w:rPr>
              <w:t>各年度</w:t>
            </w:r>
            <w:r>
              <w:rPr>
                <w:rFonts w:hint="eastAsia"/>
                <w:color w:val="000000" w:themeColor="text1"/>
                <w:sz w:val="24"/>
                <w14:textFill>
                  <w14:solidFill>
                    <w14:schemeClr w14:val="tx1"/>
                  </w14:solidFill>
                </w14:textFill>
              </w:rPr>
              <w:t>燃油废气污染物排放量</w:t>
            </w:r>
            <w:r>
              <w:rPr>
                <w:rFonts w:hint="eastAsia"/>
                <w:color w:val="000000" w:themeColor="text1"/>
                <w:sz w:val="24"/>
                <w:lang w:val="en-US" w:eastAsia="zh-CN"/>
                <w14:textFill>
                  <w14:solidFill>
                    <w14:schemeClr w14:val="tx1"/>
                  </w14:solidFill>
                </w14:textFill>
              </w:rPr>
              <w:t>见下表6-5</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表6-</w:t>
            </w:r>
            <w:r>
              <w:rPr>
                <w:rFonts w:hint="eastAsia"/>
                <w:b w:val="0"/>
                <w:bCs w:val="0"/>
                <w:color w:val="000000" w:themeColor="text1"/>
                <w:sz w:val="24"/>
                <w:lang w:val="en-US" w:eastAsia="zh-CN"/>
                <w14:textFill>
                  <w14:solidFill>
                    <w14:schemeClr w14:val="tx1"/>
                  </w14:solidFill>
                </w14:textFill>
              </w:rPr>
              <w:t>5</w:t>
            </w:r>
            <w:r>
              <w:rPr>
                <w:b w:val="0"/>
                <w:bCs w:val="0"/>
                <w:color w:val="000000" w:themeColor="text1"/>
                <w:sz w:val="24"/>
                <w14:textFill>
                  <w14:solidFill>
                    <w14:schemeClr w14:val="tx1"/>
                  </w14:solidFill>
                </w14:textFill>
              </w:rPr>
              <w:t xml:space="preserve">  柴油发电机组污染物排放量</w:t>
            </w:r>
          </w:p>
          <w:tbl>
            <w:tblPr>
              <w:tblStyle w:val="14"/>
              <w:tblW w:w="4994"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745"/>
              <w:gridCol w:w="1022"/>
              <w:gridCol w:w="1024"/>
              <w:gridCol w:w="1025"/>
              <w:gridCol w:w="1025"/>
              <w:gridCol w:w="1025"/>
              <w:gridCol w:w="16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w:t>
                  </w:r>
                </w:p>
              </w:tc>
              <w:tc>
                <w:tcPr>
                  <w:tcW w:w="536"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颗粒物</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SO</w:t>
                  </w:r>
                  <w:r>
                    <w:rPr>
                      <w:bCs/>
                      <w:color w:val="000000" w:themeColor="text1"/>
                      <w:szCs w:val="21"/>
                      <w:vertAlign w:val="subscript"/>
                      <w14:textFill>
                        <w14:solidFill>
                          <w14:schemeClr w14:val="tx1"/>
                        </w14:solidFill>
                      </w14:textFill>
                    </w:rPr>
                    <w:t>2</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NOx</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CO</w:t>
                  </w:r>
                </w:p>
              </w:tc>
              <w:tc>
                <w:tcPr>
                  <w:tcW w:w="537" w:type="pct"/>
                  <w:vAlign w:val="center"/>
                </w:tcPr>
                <w:p>
                  <w:pPr>
                    <w:jc w:val="center"/>
                    <w:rPr>
                      <w:rFonts w:hint="eastAsia"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总烃</w:t>
                  </w:r>
                </w:p>
              </w:tc>
              <w:tc>
                <w:tcPr>
                  <w:tcW w:w="873" w:type="pct"/>
                  <w:vMerge w:val="restar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柴油机废气（g/L柴油）</w:t>
                  </w:r>
                </w:p>
              </w:tc>
              <w:tc>
                <w:tcPr>
                  <w:tcW w:w="536"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0.714</w:t>
                  </w:r>
                </w:p>
              </w:tc>
              <w:tc>
                <w:tcPr>
                  <w:tcW w:w="537" w:type="pct"/>
                  <w:vAlign w:val="center"/>
                </w:tcPr>
                <w:p>
                  <w:pPr>
                    <w:jc w:val="center"/>
                    <w:rPr>
                      <w:rFonts w:hint="eastAsia" w:eastAsia="宋体"/>
                      <w:bCs/>
                      <w:color w:val="000000" w:themeColor="text1"/>
                      <w:szCs w:val="21"/>
                      <w:lang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4</w:t>
                  </w:r>
                </w:p>
              </w:tc>
              <w:tc>
                <w:tcPr>
                  <w:tcW w:w="537"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2.56</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1.5</w:t>
                  </w:r>
                </w:p>
              </w:tc>
              <w:tc>
                <w:tcPr>
                  <w:tcW w:w="537" w:type="pct"/>
                  <w:vAlign w:val="center"/>
                </w:tcPr>
                <w:p>
                  <w:pPr>
                    <w:jc w:val="center"/>
                    <w:rPr>
                      <w:rFonts w:hint="default" w:eastAsia="宋体"/>
                      <w:bCs/>
                      <w:color w:val="000000" w:themeColor="text1"/>
                      <w:szCs w:val="21"/>
                      <w:lang w:val="en-US" w:eastAsia="zh-CN"/>
                      <w14:textFill>
                        <w14:solidFill>
                          <w14:schemeClr w14:val="tx1"/>
                        </w14:solidFill>
                      </w14:textFill>
                    </w:rPr>
                  </w:pPr>
                  <w:r>
                    <w:rPr>
                      <w:rFonts w:hint="eastAsia"/>
                      <w:bCs/>
                      <w:color w:val="000000" w:themeColor="text1"/>
                      <w:szCs w:val="21"/>
                      <w:lang w:val="en-US" w:eastAsia="zh-CN"/>
                      <w14:textFill>
                        <w14:solidFill>
                          <w14:schemeClr w14:val="tx1"/>
                        </w14:solidFill>
                      </w14:textFill>
                    </w:rPr>
                    <w:t>1.489</w:t>
                  </w:r>
                </w:p>
              </w:tc>
              <w:tc>
                <w:tcPr>
                  <w:tcW w:w="873" w:type="pct"/>
                  <w:vMerge w:val="continue"/>
                  <w:vAlign w:val="center"/>
                </w:tcPr>
                <w:p>
                  <w:pPr>
                    <w:jc w:val="center"/>
                    <w:rPr>
                      <w:bCs/>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lang w:val="en-US" w:eastAsia="zh-CN"/>
                      <w14:textFill>
                        <w14:solidFill>
                          <w14:schemeClr w14:val="tx1"/>
                        </w14:solidFill>
                      </w14:textFill>
                    </w:rPr>
                    <w:t>2</w:t>
                  </w:r>
                  <w:r>
                    <w:rPr>
                      <w:bCs/>
                      <w:color w:val="000000" w:themeColor="text1"/>
                      <w:szCs w:val="21"/>
                      <w14:textFill>
                        <w14:solidFill>
                          <w14:schemeClr w14:val="tx1"/>
                        </w14:solidFill>
                      </w14:textFill>
                    </w:rPr>
                    <w:t>年总计（t）</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0.090</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0.504</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0.323</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0.189</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0.188</w:t>
                  </w:r>
                </w:p>
              </w:tc>
              <w:tc>
                <w:tcPr>
                  <w:tcW w:w="873" w:type="pct"/>
                  <w:vMerge w:val="restart"/>
                  <w:vAlign w:val="center"/>
                </w:tcPr>
                <w:p>
                  <w:pPr>
                    <w:jc w:val="center"/>
                    <w:rPr>
                      <w:rFonts w:hint="eastAsia" w:eastAsia="宋体"/>
                      <w:color w:val="000000" w:themeColor="text1"/>
                      <w:szCs w:val="21"/>
                      <w:lang w:val="en-US" w:eastAsia="zh-CN"/>
                      <w14:textFill>
                        <w14:solidFill>
                          <w14:schemeClr w14:val="tx1"/>
                        </w14:solidFill>
                      </w14:textFill>
                    </w:rPr>
                  </w:pPr>
                  <w:r>
                    <w:rPr>
                      <w:rFonts w:hint="eastAsia" w:eastAsia="宋体"/>
                      <w:color w:val="000000" w:themeColor="text1"/>
                      <w:sz w:val="18"/>
                      <w:szCs w:val="18"/>
                      <w:lang w:val="zh-CN" w:eastAsia="zh-CN"/>
                      <w14:textFill>
                        <w14:solidFill>
                          <w14:schemeClr w14:val="tx1"/>
                        </w14:solidFill>
                      </w14:textFill>
                    </w:rPr>
                    <w:t>单位柴油燃烧产生污染物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39" w:type="pct"/>
                  <w:vAlign w:val="center"/>
                </w:tcPr>
                <w:p>
                  <w:pPr>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202</w:t>
                  </w:r>
                  <w:r>
                    <w:rPr>
                      <w:rFonts w:hint="eastAsia"/>
                      <w:bCs/>
                      <w:color w:val="000000" w:themeColor="text1"/>
                      <w:szCs w:val="21"/>
                      <w:lang w:val="en-US" w:eastAsia="zh-CN"/>
                      <w14:textFill>
                        <w14:solidFill>
                          <w14:schemeClr w14:val="tx1"/>
                        </w14:solidFill>
                      </w14:textFill>
                    </w:rPr>
                    <w:t>3-2026</w:t>
                  </w:r>
                  <w:r>
                    <w:rPr>
                      <w:bCs/>
                      <w:color w:val="000000" w:themeColor="text1"/>
                      <w:szCs w:val="21"/>
                      <w14:textFill>
                        <w14:solidFill>
                          <w14:schemeClr w14:val="tx1"/>
                        </w14:solidFill>
                      </w14:textFill>
                    </w:rPr>
                    <w:t>年总计（t）</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0.360</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2.016</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1.290</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0.756</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0.750</w:t>
                  </w:r>
                </w:p>
              </w:tc>
              <w:tc>
                <w:tcPr>
                  <w:tcW w:w="873" w:type="pct"/>
                  <w:vMerge w:val="continue"/>
                  <w:vAlign w:val="center"/>
                </w:tcPr>
                <w:p>
                  <w:pPr>
                    <w:jc w:val="center"/>
                    <w:rPr>
                      <w:rFonts w:hint="eastAsia" w:eastAsia="宋体"/>
                      <w:color w:val="000000" w:themeColor="text1"/>
                      <w:szCs w:val="21"/>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439" w:type="pct"/>
                  <w:vAlign w:val="center"/>
                </w:tcPr>
                <w:p>
                  <w:pPr>
                    <w:jc w:val="center"/>
                    <w:rPr>
                      <w:bCs/>
                      <w:color w:val="000000" w:themeColor="text1"/>
                      <w:szCs w:val="21"/>
                      <w14:textFill>
                        <w14:solidFill>
                          <w14:schemeClr w14:val="tx1"/>
                        </w14:solidFill>
                      </w14:textFill>
                    </w:rPr>
                  </w:pPr>
                  <w:r>
                    <w:rPr>
                      <w:rFonts w:hint="eastAsia"/>
                      <w:bCs/>
                      <w:color w:val="000000" w:themeColor="text1"/>
                      <w:szCs w:val="21"/>
                      <w:lang w:val="en-US" w:eastAsia="zh-CN"/>
                      <w14:textFill>
                        <w14:solidFill>
                          <w14:schemeClr w14:val="tx1"/>
                        </w14:solidFill>
                      </w14:textFill>
                    </w:rPr>
                    <w:t>合计</w:t>
                  </w:r>
                </w:p>
              </w:tc>
              <w:tc>
                <w:tcPr>
                  <w:tcW w:w="536"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0.450</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2.52</w:t>
                  </w:r>
                </w:p>
              </w:tc>
              <w:tc>
                <w:tcPr>
                  <w:tcW w:w="537" w:type="pct"/>
                  <w:vAlign w:val="center"/>
                </w:tcPr>
                <w:p>
                  <w:pPr>
                    <w:keepNext w:val="0"/>
                    <w:keepLines w:val="0"/>
                    <w:widowControl/>
                    <w:suppressLineNumbers w:val="0"/>
                    <w:jc w:val="center"/>
                    <w:textAlignment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1.613</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0.945</w:t>
                  </w:r>
                </w:p>
              </w:tc>
              <w:tc>
                <w:tcPr>
                  <w:tcW w:w="537" w:type="pct"/>
                  <w:vAlign w:val="center"/>
                </w:tcPr>
                <w:p>
                  <w:pPr>
                    <w:keepNext w:val="0"/>
                    <w:keepLines w:val="0"/>
                    <w:widowControl/>
                    <w:suppressLineNumbers w:val="0"/>
                    <w:jc w:val="center"/>
                    <w:textAlignment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0.938</w:t>
                  </w:r>
                </w:p>
              </w:tc>
              <w:tc>
                <w:tcPr>
                  <w:tcW w:w="873" w:type="pct"/>
                  <w:vMerge w:val="continue"/>
                  <w:vAlign w:val="center"/>
                </w:tcPr>
                <w:p>
                  <w:pPr>
                    <w:jc w:val="center"/>
                    <w:rPr>
                      <w:color w:val="000000" w:themeColor="text1"/>
                      <w:szCs w:val="21"/>
                      <w:lang w:val="zh-CN"/>
                      <w14:textFill>
                        <w14:solidFill>
                          <w14:schemeClr w14:val="tx1"/>
                        </w14:solidFill>
                      </w14:textFill>
                    </w:rPr>
                  </w:pPr>
                </w:p>
              </w:tc>
            </w:tr>
          </w:tbl>
          <w:p>
            <w:pPr>
              <w:adjustRightInd w:val="0"/>
              <w:spacing w:line="360" w:lineRule="auto"/>
              <w:ind w:firstLine="480" w:firstLineChars="200"/>
              <w:contextualSpacing/>
              <w:rPr>
                <w:rFonts w:hint="eastAsia" w:eastAsia="宋体"/>
                <w:color w:val="000000" w:themeColor="text1"/>
                <w:sz w:val="24"/>
                <w:szCs w:val="28"/>
                <w:lang w:val="en-US" w:eastAsia="zh-CN"/>
                <w14:textFill>
                  <w14:solidFill>
                    <w14:schemeClr w14:val="tx1"/>
                  </w14:solidFill>
                </w14:textFill>
              </w:rPr>
            </w:pPr>
            <w:r>
              <w:rPr>
                <w:rFonts w:hint="eastAsia"/>
                <w:color w:val="000000" w:themeColor="text1"/>
                <w:sz w:val="24"/>
                <w14:textFill>
                  <w14:solidFill>
                    <w14:schemeClr w14:val="tx1"/>
                  </w14:solidFill>
                </w14:textFill>
              </w:rPr>
              <w:t>单台钻机平均日进尺量约40m，需要的有效钻进天数为15天，钻机每天钻进的有效工作时间为24</w:t>
            </w:r>
            <w:r>
              <w:rPr>
                <w:rFonts w:hint="eastAsia"/>
                <w:color w:val="000000" w:themeColor="text1"/>
                <w:sz w:val="24"/>
                <w:lang w:val="en-US" w:eastAsia="zh-CN"/>
                <w14:textFill>
                  <w14:solidFill>
                    <w14:schemeClr w14:val="tx1"/>
                  </w14:solidFill>
                </w14:textFill>
              </w:rPr>
              <w:t>h</w:t>
            </w:r>
            <w:r>
              <w:rPr>
                <w:rFonts w:hint="eastAsia"/>
                <w:color w:val="000000" w:themeColor="text1"/>
                <w:sz w:val="24"/>
                <w14:textFill>
                  <w14:solidFill>
                    <w14:schemeClr w14:val="tx1"/>
                  </w14:solidFill>
                </w14:textFill>
              </w:rPr>
              <w:t>，则单井钻井工期耗油约2160L。单井施工期内污染物产生总量为：</w:t>
            </w:r>
            <w:r>
              <w:rPr>
                <w:rFonts w:hint="eastAsia"/>
                <w:color w:val="000000" w:themeColor="text1"/>
                <w:sz w:val="24"/>
                <w:szCs w:val="28"/>
                <w14:textFill>
                  <w14:solidFill>
                    <w14:schemeClr w14:val="tx1"/>
                  </w14:solidFill>
                </w14:textFill>
              </w:rPr>
              <w:t>单井施工期内污染物产生总量为：SO</w:t>
            </w:r>
            <w:r>
              <w:rPr>
                <w:rFonts w:hint="eastAsia"/>
                <w:color w:val="000000" w:themeColor="text1"/>
                <w:sz w:val="24"/>
                <w:szCs w:val="28"/>
                <w:vertAlign w:val="subscript"/>
                <w14:textFill>
                  <w14:solidFill>
                    <w14:schemeClr w14:val="tx1"/>
                  </w14:solidFill>
                </w14:textFill>
              </w:rPr>
              <w:t>2</w:t>
            </w:r>
            <w:r>
              <w:rPr>
                <w:rFonts w:hint="eastAsia"/>
                <w:color w:val="000000" w:themeColor="text1"/>
                <w:sz w:val="24"/>
                <w:szCs w:val="28"/>
                <w14:textFill>
                  <w14:solidFill>
                    <w14:schemeClr w14:val="tx1"/>
                  </w14:solidFill>
                </w14:textFill>
              </w:rPr>
              <w:t>排放量8.64kg/单井（即0.024kg/h），排放浓度为66.67mg/m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；NOx排放量5.53kg/单井（即0.015kg/h），排放浓度为41.67mg/m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14:textFill>
                  <w14:solidFill>
                    <w14:schemeClr w14:val="tx1"/>
                  </w14:solidFill>
                </w14:textFill>
              </w:rPr>
              <w:t>；颗粒物排放量1.54kg/单井（0.004kg/h），排放浓度为11.11mg/m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CO</w:t>
            </w:r>
            <w:r>
              <w:rPr>
                <w:rFonts w:hint="eastAsia"/>
                <w:color w:val="000000" w:themeColor="text1"/>
                <w:sz w:val="24"/>
                <w:szCs w:val="28"/>
                <w14:textFill>
                  <w14:solidFill>
                    <w14:schemeClr w14:val="tx1"/>
                  </w14:solidFill>
                </w14:textFill>
              </w:rPr>
              <w:t>排放量</w:t>
            </w:r>
            <w:r>
              <w:rPr>
                <w:rFonts w:hint="eastAsia"/>
                <w:color w:val="000000" w:themeColor="text1"/>
                <w:sz w:val="24"/>
                <w:szCs w:val="28"/>
                <w:lang w:val="en-US" w:eastAsia="zh-CN"/>
                <w14:textFill>
                  <w14:solidFill>
                    <w14:schemeClr w14:val="tx1"/>
                  </w14:solidFill>
                </w14:textFill>
              </w:rPr>
              <w:t>3.24</w:t>
            </w:r>
            <w:r>
              <w:rPr>
                <w:rFonts w:hint="eastAsia"/>
                <w:color w:val="000000" w:themeColor="text1"/>
                <w:sz w:val="24"/>
                <w:szCs w:val="28"/>
                <w14:textFill>
                  <w14:solidFill>
                    <w14:schemeClr w14:val="tx1"/>
                  </w14:solidFill>
                </w14:textFill>
              </w:rPr>
              <w:t>kg/单井（0.00</w:t>
            </w:r>
            <w:r>
              <w:rPr>
                <w:rFonts w:hint="eastAsia"/>
                <w:color w:val="000000" w:themeColor="text1"/>
                <w:sz w:val="24"/>
                <w:szCs w:val="28"/>
                <w:lang w:val="en-US" w:eastAsia="zh-CN"/>
                <w14:textFill>
                  <w14:solidFill>
                    <w14:schemeClr w14:val="tx1"/>
                  </w14:solidFill>
                </w14:textFill>
              </w:rPr>
              <w:t>9</w:t>
            </w:r>
            <w:r>
              <w:rPr>
                <w:rFonts w:hint="eastAsia"/>
                <w:color w:val="000000" w:themeColor="text1"/>
                <w:sz w:val="24"/>
                <w:szCs w:val="28"/>
                <w14:textFill>
                  <w14:solidFill>
                    <w14:schemeClr w14:val="tx1"/>
                  </w14:solidFill>
                </w14:textFill>
              </w:rPr>
              <w:t>kg/h），排放浓度为</w:t>
            </w:r>
            <w:r>
              <w:rPr>
                <w:rFonts w:hint="eastAsia"/>
                <w:color w:val="000000" w:themeColor="text1"/>
                <w:sz w:val="24"/>
                <w:szCs w:val="28"/>
                <w:lang w:val="en-US" w:eastAsia="zh-CN"/>
                <w14:textFill>
                  <w14:solidFill>
                    <w14:schemeClr w14:val="tx1"/>
                  </w14:solidFill>
                </w14:textFill>
              </w:rPr>
              <w:t>25</w:t>
            </w:r>
            <w:r>
              <w:rPr>
                <w:rFonts w:hint="eastAsia"/>
                <w:color w:val="000000" w:themeColor="text1"/>
                <w:sz w:val="24"/>
                <w:szCs w:val="28"/>
                <w14:textFill>
                  <w14:solidFill>
                    <w14:schemeClr w14:val="tx1"/>
                  </w14:solidFill>
                </w14:textFill>
              </w:rPr>
              <w:t>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总烃</w:t>
            </w:r>
            <w:r>
              <w:rPr>
                <w:rFonts w:hint="eastAsia"/>
                <w:color w:val="000000" w:themeColor="text1"/>
                <w:sz w:val="24"/>
                <w:szCs w:val="28"/>
                <w14:textFill>
                  <w14:solidFill>
                    <w14:schemeClr w14:val="tx1"/>
                  </w14:solidFill>
                </w14:textFill>
              </w:rPr>
              <w:t>排放量</w:t>
            </w:r>
            <w:r>
              <w:rPr>
                <w:rFonts w:hint="eastAsia"/>
                <w:color w:val="000000" w:themeColor="text1"/>
                <w:sz w:val="24"/>
                <w:szCs w:val="28"/>
                <w:lang w:val="en-US" w:eastAsia="zh-CN"/>
                <w14:textFill>
                  <w14:solidFill>
                    <w14:schemeClr w14:val="tx1"/>
                  </w14:solidFill>
                </w14:textFill>
              </w:rPr>
              <w:t>3.22</w:t>
            </w:r>
            <w:r>
              <w:rPr>
                <w:rFonts w:hint="eastAsia"/>
                <w:color w:val="000000" w:themeColor="text1"/>
                <w:sz w:val="24"/>
                <w:szCs w:val="28"/>
                <w14:textFill>
                  <w14:solidFill>
                    <w14:schemeClr w14:val="tx1"/>
                  </w14:solidFill>
                </w14:textFill>
              </w:rPr>
              <w:t>kg/单井（0.00</w:t>
            </w:r>
            <w:r>
              <w:rPr>
                <w:rFonts w:hint="eastAsia"/>
                <w:color w:val="000000" w:themeColor="text1"/>
                <w:sz w:val="24"/>
                <w:szCs w:val="28"/>
                <w:lang w:val="en-US" w:eastAsia="zh-CN"/>
                <w14:textFill>
                  <w14:solidFill>
                    <w14:schemeClr w14:val="tx1"/>
                  </w14:solidFill>
                </w14:textFill>
              </w:rPr>
              <w:t>9</w:t>
            </w:r>
            <w:r>
              <w:rPr>
                <w:rFonts w:hint="eastAsia"/>
                <w:color w:val="000000" w:themeColor="text1"/>
                <w:sz w:val="24"/>
                <w:szCs w:val="28"/>
                <w14:textFill>
                  <w14:solidFill>
                    <w14:schemeClr w14:val="tx1"/>
                  </w14:solidFill>
                </w14:textFill>
              </w:rPr>
              <w:t>kg/h），排放浓度为</w:t>
            </w:r>
            <w:r>
              <w:rPr>
                <w:rFonts w:hint="eastAsia"/>
                <w:color w:val="000000" w:themeColor="text1"/>
                <w:sz w:val="24"/>
                <w:szCs w:val="28"/>
                <w:lang w:val="en-US" w:eastAsia="zh-CN"/>
                <w14:textFill>
                  <w14:solidFill>
                    <w14:schemeClr w14:val="tx1"/>
                  </w14:solidFill>
                </w14:textFill>
              </w:rPr>
              <w:t>25</w:t>
            </w:r>
            <w:r>
              <w:rPr>
                <w:rFonts w:hint="eastAsia"/>
                <w:color w:val="000000" w:themeColor="text1"/>
                <w:sz w:val="24"/>
                <w:szCs w:val="28"/>
                <w14:textFill>
                  <w14:solidFill>
                    <w14:schemeClr w14:val="tx1"/>
                  </w14:solidFill>
                </w14:textFill>
              </w:rPr>
              <w:t>mg/m</w:t>
            </w:r>
            <w:r>
              <w:rPr>
                <w:rFonts w:hint="eastAsia"/>
                <w:color w:val="000000" w:themeColor="text1"/>
                <w:sz w:val="24"/>
                <w:szCs w:val="28"/>
                <w:vertAlign w:val="superscript"/>
                <w14:textFill>
                  <w14:solidFill>
                    <w14:schemeClr w14:val="tx1"/>
                  </w14:solidFill>
                </w14:textFill>
              </w:rPr>
              <w:t>3</w:t>
            </w:r>
            <w:r>
              <w:rPr>
                <w:rFonts w:hint="eastAsia"/>
                <w:color w:val="000000" w:themeColor="text1"/>
                <w:sz w:val="24"/>
                <w:szCs w:val="28"/>
                <w:vertAlign w:val="baseline"/>
                <w:lang w:eastAsia="zh-CN"/>
                <w14:textFill>
                  <w14:solidFill>
                    <w14:schemeClr w14:val="tx1"/>
                  </w14:solidFill>
                </w14:textFill>
              </w:rPr>
              <w:t>。</w:t>
            </w:r>
          </w:p>
          <w:p>
            <w:pPr>
              <w:adjustRightInd w:val="0"/>
              <w:spacing w:line="360" w:lineRule="auto"/>
              <w:ind w:firstLine="480" w:firstLineChars="200"/>
              <w:contextualSpacing/>
              <w:rPr>
                <w:color w:val="000000" w:themeColor="text1"/>
                <w:kern w:val="0"/>
                <w:sz w:val="24"/>
                <w14:textFill>
                  <w14:solidFill>
                    <w14:schemeClr w14:val="tx1"/>
                  </w14:solidFill>
                </w14:textFill>
              </w:rPr>
            </w:pPr>
            <w:r>
              <w:rPr>
                <w:rFonts w:hint="eastAsia"/>
                <w:color w:val="000000" w:themeColor="text1"/>
                <w:sz w:val="24"/>
                <w14:textFill>
                  <w14:solidFill>
                    <w14:schemeClr w14:val="tx1"/>
                  </w14:solidFill>
                </w14:textFill>
              </w:rPr>
              <w:t>本项目钻井柴油发电机功率为</w:t>
            </w:r>
            <w:r>
              <w:rPr>
                <w:rFonts w:hint="eastAsia"/>
                <w:color w:val="000000" w:themeColor="text1"/>
                <w:sz w:val="24"/>
                <w:lang w:val="en-US" w:eastAsia="zh-CN"/>
                <w14:textFill>
                  <w14:solidFill>
                    <w14:schemeClr w14:val="tx1"/>
                  </w14:solidFill>
                </w14:textFill>
              </w:rPr>
              <w:t>18</w:t>
            </w:r>
            <w:r>
              <w:rPr>
                <w:rFonts w:hint="eastAsia"/>
                <w:color w:val="000000" w:themeColor="text1"/>
                <w:sz w:val="24"/>
                <w14:textFill>
                  <w14:solidFill>
                    <w14:schemeClr w14:val="tx1"/>
                  </w14:solidFill>
                </w14:textFill>
              </w:rPr>
              <w:t>0</w:t>
            </w:r>
            <w:r>
              <w:rPr>
                <w:rFonts w:hint="eastAsia"/>
                <w:color w:val="000000" w:themeColor="text1"/>
                <w:sz w:val="24"/>
                <w:lang w:val="en-US" w:eastAsia="zh-CN"/>
                <w14:textFill>
                  <w14:solidFill>
                    <w14:schemeClr w14:val="tx1"/>
                  </w14:solidFill>
                </w14:textFill>
              </w:rPr>
              <w:t>k</w:t>
            </w:r>
            <w:r>
              <w:rPr>
                <w:rFonts w:hint="eastAsia"/>
                <w:color w:val="000000" w:themeColor="text1"/>
                <w:sz w:val="24"/>
                <w14:textFill>
                  <w14:solidFill>
                    <w14:schemeClr w14:val="tx1"/>
                  </w14:solidFill>
                </w14:textFill>
              </w:rPr>
              <w:t>W，其排放的污染物排放情况见下表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6-</w:t>
            </w:r>
            <w:r>
              <w:rPr>
                <w:rFonts w:hint="eastAsia"/>
                <w:b w:val="0"/>
                <w:bCs w:val="0"/>
                <w:color w:val="000000" w:themeColor="text1"/>
                <w:sz w:val="24"/>
                <w:lang w:val="en-US" w:eastAsia="zh-CN"/>
                <w14:textFill>
                  <w14:solidFill>
                    <w14:schemeClr w14:val="tx1"/>
                  </w14:solidFill>
                </w14:textFill>
              </w:rPr>
              <w:t>6</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 xml:space="preserve"> 燃油废气污染物排污系数</w:t>
            </w:r>
          </w:p>
          <w:tbl>
            <w:tblPr>
              <w:tblStyle w:val="14"/>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130"/>
              <w:gridCol w:w="1777"/>
              <w:gridCol w:w="1315"/>
              <w:gridCol w:w="1315"/>
              <w:gridCol w:w="1315"/>
              <w:gridCol w:w="1363"/>
              <w:gridCol w:w="132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12" w:space="0"/>
                    <w:left w:val="single" w:color="000000" w:sz="12" w:space="0"/>
                    <w:bottom w:val="single" w:color="000000" w:sz="4" w:space="0"/>
                    <w:right w:val="single" w:color="000000" w:sz="4"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阶段</w:t>
                  </w:r>
                </w:p>
              </w:tc>
              <w:tc>
                <w:tcPr>
                  <w:tcW w:w="931"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额定净</w:t>
                  </w:r>
                </w:p>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功率</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CO</w:t>
                  </w:r>
                </w:p>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HC</w:t>
                  </w:r>
                </w:p>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689"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position w:val="2"/>
                      <w:sz w:val="21"/>
                      <w:szCs w:val="21"/>
                      <w14:textFill>
                        <w14:solidFill>
                          <w14:schemeClr w14:val="tx1"/>
                        </w14:solidFill>
                      </w14:textFill>
                    </w:rPr>
                    <w:t>NO</w:t>
                  </w:r>
                  <w:r>
                    <w:rPr>
                      <w:bCs/>
                      <w:color w:val="000000" w:themeColor="text1"/>
                      <w:sz w:val="21"/>
                      <w:szCs w:val="21"/>
                      <w:vertAlign w:val="subscript"/>
                      <w14:textFill>
                        <w14:solidFill>
                          <w14:schemeClr w14:val="tx1"/>
                        </w14:solidFill>
                      </w14:textFill>
                    </w:rPr>
                    <w:t>X</w:t>
                  </w:r>
                </w:p>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c>
                <w:tcPr>
                  <w:tcW w:w="714" w:type="pct"/>
                  <w:tcBorders>
                    <w:top w:val="single" w:color="000000" w:sz="12" w:space="0"/>
                    <w:left w:val="single" w:color="000000" w:sz="4" w:space="0"/>
                    <w:bottom w:val="single" w:color="000000" w:sz="4" w:space="0"/>
                    <w:right w:val="single" w:color="000000" w:sz="4"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pacing w:val="2"/>
                      <w:position w:val="2"/>
                      <w:sz w:val="21"/>
                      <w:szCs w:val="21"/>
                      <w14:textFill>
                        <w14:solidFill>
                          <w14:schemeClr w14:val="tx1"/>
                        </w14:solidFill>
                      </w14:textFill>
                    </w:rPr>
                    <w:t>HC+</w:t>
                  </w:r>
                  <w:r>
                    <w:rPr>
                      <w:bCs/>
                      <w:color w:val="000000" w:themeColor="text1"/>
                      <w:spacing w:val="3"/>
                      <w:position w:val="2"/>
                      <w:sz w:val="21"/>
                      <w:szCs w:val="21"/>
                      <w14:textFill>
                        <w14:solidFill>
                          <w14:schemeClr w14:val="tx1"/>
                        </w14:solidFill>
                      </w14:textFill>
                    </w:rPr>
                    <w:t>NO</w:t>
                  </w:r>
                  <w:r>
                    <w:rPr>
                      <w:bCs/>
                      <w:color w:val="000000" w:themeColor="text1"/>
                      <w:spacing w:val="3"/>
                      <w:sz w:val="21"/>
                      <w:szCs w:val="21"/>
                      <w:vertAlign w:val="subscript"/>
                      <w14:textFill>
                        <w14:solidFill>
                          <w14:schemeClr w14:val="tx1"/>
                        </w14:solidFill>
                      </w14:textFill>
                    </w:rPr>
                    <w:t>X</w:t>
                  </w:r>
                </w:p>
                <w:p>
                  <w:pPr>
                    <w:pStyle w:val="27"/>
                    <w:adjustRightInd/>
                    <w:jc w:val="center"/>
                    <w:rPr>
                      <w:bCs/>
                      <w:color w:val="000000" w:themeColor="text1"/>
                      <w:sz w:val="21"/>
                      <w:szCs w:val="21"/>
                      <w14:textFill>
                        <w14:solidFill>
                          <w14:schemeClr w14:val="tx1"/>
                        </w14:solidFill>
                      </w14:textFill>
                    </w:rPr>
                  </w:pPr>
                  <w:r>
                    <w:rPr>
                      <w:bCs/>
                      <w:color w:val="000000" w:themeColor="text1"/>
                      <w:spacing w:val="4"/>
                      <w:sz w:val="21"/>
                      <w:szCs w:val="21"/>
                      <w14:textFill>
                        <w14:solidFill>
                          <w14:schemeClr w14:val="tx1"/>
                        </w14:solidFill>
                      </w14:textFill>
                    </w:rPr>
                    <w:t>（g/kWh）</w:t>
                  </w:r>
                </w:p>
              </w:tc>
              <w:tc>
                <w:tcPr>
                  <w:tcW w:w="696" w:type="pct"/>
                  <w:tcBorders>
                    <w:top w:val="single" w:color="000000" w:sz="12" w:space="0"/>
                    <w:left w:val="single" w:color="000000" w:sz="4" w:space="0"/>
                    <w:bottom w:val="single" w:color="000000" w:sz="4" w:space="0"/>
                    <w:right w:val="single" w:color="000000" w:sz="12" w:space="0"/>
                  </w:tcBorders>
                  <w:shd w:val="clear" w:color="auto" w:fill="FFFFFF"/>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PM</w:t>
                  </w:r>
                </w:p>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（g/kWh）</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本项目</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180kW</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0.08</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0.13</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第三阶段</w:t>
                  </w:r>
                </w:p>
              </w:tc>
              <w:tc>
                <w:tcPr>
                  <w:tcW w:w="931"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89"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714" w:type="pct"/>
                  <w:tcBorders>
                    <w:top w:val="single" w:color="000000" w:sz="4" w:space="0"/>
                    <w:left w:val="single" w:color="000000" w:sz="4" w:space="0"/>
                    <w:bottom w:val="single" w:color="000000" w:sz="4"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4.0</w:t>
                  </w:r>
                </w:p>
              </w:tc>
              <w:tc>
                <w:tcPr>
                  <w:tcW w:w="696" w:type="pct"/>
                  <w:tcBorders>
                    <w:top w:val="single" w:color="000000" w:sz="4" w:space="0"/>
                    <w:left w:val="single" w:color="000000" w:sz="4" w:space="0"/>
                    <w:bottom w:val="single" w:color="000000" w:sz="4" w:space="0"/>
                    <w:right w:val="single" w:color="000000" w:sz="12"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92" w:type="pct"/>
                  <w:tcBorders>
                    <w:top w:val="single" w:color="000000" w:sz="4" w:space="0"/>
                    <w:left w:val="single" w:color="000000" w:sz="12" w:space="0"/>
                    <w:bottom w:val="single" w:color="000000" w:sz="12"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第四阶段</w:t>
                  </w:r>
                </w:p>
              </w:tc>
              <w:tc>
                <w:tcPr>
                  <w:tcW w:w="931" w:type="pct"/>
                  <w:tcBorders>
                    <w:top w:val="single" w:color="000000" w:sz="4" w:space="0"/>
                    <w:left w:val="single" w:color="000000" w:sz="4" w:space="0"/>
                    <w:bottom w:val="single" w:color="000000" w:sz="12"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130≤Pmax&lt;560</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3.5</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0.19</w:t>
                  </w:r>
                </w:p>
              </w:tc>
              <w:tc>
                <w:tcPr>
                  <w:tcW w:w="689" w:type="pct"/>
                  <w:tcBorders>
                    <w:top w:val="single" w:color="000000" w:sz="4" w:space="0"/>
                    <w:left w:val="single" w:color="000000" w:sz="4" w:space="0"/>
                    <w:bottom w:val="single" w:color="000000" w:sz="12"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2.0</w:t>
                  </w:r>
                </w:p>
              </w:tc>
              <w:tc>
                <w:tcPr>
                  <w:tcW w:w="714" w:type="pct"/>
                  <w:tcBorders>
                    <w:top w:val="single" w:color="000000" w:sz="4" w:space="0"/>
                    <w:left w:val="single" w:color="000000" w:sz="4" w:space="0"/>
                    <w:bottom w:val="single" w:color="000000" w:sz="12" w:space="0"/>
                    <w:right w:val="single" w:color="000000" w:sz="4"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w:t>
                  </w:r>
                </w:p>
              </w:tc>
              <w:tc>
                <w:tcPr>
                  <w:tcW w:w="696" w:type="pct"/>
                  <w:tcBorders>
                    <w:top w:val="single" w:color="000000" w:sz="4" w:space="0"/>
                    <w:left w:val="single" w:color="000000" w:sz="4" w:space="0"/>
                    <w:bottom w:val="single" w:color="000000" w:sz="12" w:space="0"/>
                    <w:right w:val="single" w:color="000000" w:sz="12" w:space="0"/>
                  </w:tcBorders>
                  <w:vAlign w:val="center"/>
                </w:tcPr>
                <w:p>
                  <w:pPr>
                    <w:pStyle w:val="27"/>
                    <w:adjustRightInd/>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0.025</w:t>
                  </w:r>
                </w:p>
              </w:tc>
            </w:tr>
          </w:tbl>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根据分析，</w:t>
            </w:r>
            <w:r>
              <w:rPr>
                <w:rFonts w:hint="eastAsia"/>
                <w:color w:val="000000" w:themeColor="text1"/>
                <w:sz w:val="24"/>
                <w:lang w:val="en-US" w:eastAsia="zh-CN"/>
                <w14:textFill>
                  <w14:solidFill>
                    <w14:schemeClr w14:val="tx1"/>
                  </w14:solidFill>
                </w14:textFill>
              </w:rPr>
              <w:t>本项目柴油发电机</w:t>
            </w:r>
            <w:r>
              <w:rPr>
                <w:rFonts w:hint="eastAsia"/>
                <w:color w:val="000000" w:themeColor="text1"/>
                <w:sz w:val="24"/>
                <w14:textFill>
                  <w14:solidFill>
                    <w14:schemeClr w14:val="tx1"/>
                  </w14:solidFill>
                </w14:textFill>
              </w:rPr>
              <w:t>满足《非道路移动机械用柴油机排气污染物排放限值及测量方法</w:t>
            </w:r>
            <w:r>
              <w:rPr>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中国第三、四阶段）》（</w:t>
            </w:r>
            <w:r>
              <w:rPr>
                <w:color w:val="000000" w:themeColor="text1"/>
                <w:sz w:val="24"/>
                <w14:textFill>
                  <w14:solidFill>
                    <w14:schemeClr w14:val="tx1"/>
                  </w14:solidFill>
                </w14:textFill>
              </w:rPr>
              <w:t>GB20891-2014</w:t>
            </w:r>
            <w:r>
              <w:rPr>
                <w:rFonts w:hint="eastAsia"/>
                <w:color w:val="000000" w:themeColor="text1"/>
                <w:sz w:val="24"/>
                <w14:textFill>
                  <w14:solidFill>
                    <w14:schemeClr w14:val="tx1"/>
                  </w14:solidFill>
                </w14:textFill>
              </w:rPr>
              <w:t>）及其修改单中第三阶段及第四阶段的要求。评价要求建设单位生产过程中配备先进高效机械设备，并按时保养。</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color w:val="000000" w:themeColor="text1"/>
                <w:sz w:val="24"/>
                <w:szCs w:val="28"/>
                <w14:textFill>
                  <w14:solidFill>
                    <w14:schemeClr w14:val="tx1"/>
                  </w14:solidFill>
                </w14:textFill>
              </w:rPr>
              <w:t>（2）施工扬尘</w:t>
            </w:r>
          </w:p>
          <w:p>
            <w:pPr>
              <w:spacing w:line="360" w:lineRule="auto"/>
              <w:ind w:firstLine="432" w:firstLineChars="18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施工扬尘主要产生在钻前场地平整、开挖以及场地恢复时，将对施工场地附近的环境空气质量造成一定的影响，会使空气能见度有所降低，</w:t>
            </w:r>
            <w:r>
              <w:rPr>
                <w:color w:val="000000" w:themeColor="text1"/>
                <w:sz w:val="24"/>
                <w14:textFill>
                  <w14:solidFill>
                    <w14:schemeClr w14:val="tx1"/>
                  </w14:solidFill>
                </w14:textFill>
              </w:rPr>
              <w:t>会造成局部地段降尘量增多</w:t>
            </w:r>
            <w:r>
              <w:rPr>
                <w:rFonts w:hint="eastAsia"/>
                <w:color w:val="000000" w:themeColor="text1"/>
                <w:sz w:val="24"/>
                <w14:textFill>
                  <w14:solidFill>
                    <w14:schemeClr w14:val="tx1"/>
                  </w14:solidFill>
                </w14:textFill>
              </w:rPr>
              <w:t>，对施工场地附近的人群工作生活带来不便。若遇上刮风天气因施工挖动的土石方等更易造成扬尘而加重对施工地段环境空气的污染。</w:t>
            </w:r>
            <w:r>
              <w:rPr>
                <w:color w:val="000000" w:themeColor="text1"/>
                <w:sz w:val="24"/>
                <w14:textFill>
                  <w14:solidFill>
                    <w14:schemeClr w14:val="tx1"/>
                  </w14:solidFill>
                </w14:textFill>
              </w:rPr>
              <w:t>但这种</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是局部的、短期的，工程完成后这种影响</w:t>
            </w:r>
            <w:r>
              <w:rPr>
                <w:rFonts w:hint="eastAsia"/>
                <w:color w:val="000000" w:themeColor="text1"/>
                <w:sz w:val="24"/>
                <w14:textFill>
                  <w14:solidFill>
                    <w14:schemeClr w14:val="tx1"/>
                  </w14:solidFill>
                </w14:textFill>
              </w:rPr>
              <w:t>将</w:t>
            </w:r>
            <w:r>
              <w:rPr>
                <w:color w:val="000000" w:themeColor="text1"/>
                <w:sz w:val="24"/>
                <w14:textFill>
                  <w14:solidFill>
                    <w14:schemeClr w14:val="tx1"/>
                  </w14:solidFill>
                </w14:textFill>
              </w:rPr>
              <w:t>消失。</w:t>
            </w:r>
          </w:p>
          <w:p>
            <w:pPr>
              <w:pStyle w:val="28"/>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rFonts w:hint="eastAsia"/>
                <w:b/>
                <w:bCs/>
                <w:color w:val="000000" w:themeColor="text1"/>
                <w:sz w:val="24"/>
                <w14:textFill>
                  <w14:solidFill>
                    <w14:schemeClr w14:val="tx1"/>
                  </w14:solidFill>
                </w14:textFill>
              </w:rPr>
              <w:t>废</w:t>
            </w:r>
            <w:r>
              <w:rPr>
                <w:rFonts w:hint="eastAsia"/>
                <w:b/>
                <w:bCs/>
                <w:color w:val="000000" w:themeColor="text1"/>
                <w:sz w:val="24"/>
                <w:lang w:val="en-US" w:eastAsia="zh-CN"/>
                <w14:textFill>
                  <w14:solidFill>
                    <w14:schemeClr w14:val="tx1"/>
                  </w14:solidFill>
                </w14:textFill>
              </w:rPr>
              <w:t>水</w:t>
            </w:r>
          </w:p>
          <w:p>
            <w:pPr>
              <w:adjustRightInd w:val="0"/>
              <w:spacing w:line="360" w:lineRule="auto"/>
              <w:ind w:firstLine="480" w:firstLineChars="200"/>
              <w:contextualSpacing/>
              <w:rPr>
                <w:color w:val="000000" w:themeColor="text1"/>
                <w:sz w:val="24"/>
                <w:szCs w:val="28"/>
                <w14:textFill>
                  <w14:solidFill>
                    <w14:schemeClr w14:val="tx1"/>
                  </w14:solidFill>
                </w14:textFill>
              </w:rPr>
            </w:pPr>
            <w:r>
              <w:rPr>
                <w:rFonts w:hint="eastAsia"/>
                <w:color w:val="000000" w:themeColor="text1"/>
                <w:sz w:val="24"/>
                <w:szCs w:val="28"/>
                <w:lang w:eastAsia="zh-CN"/>
                <w14:textFill>
                  <w14:solidFill>
                    <w14:schemeClr w14:val="tx1"/>
                  </w14:solidFill>
                </w14:textFill>
              </w:rPr>
              <w:t>项目勘查期间的废水</w:t>
            </w:r>
            <w:r>
              <w:rPr>
                <w:rFonts w:ascii="Times New Roman" w:hAnsi="Times New Roman" w:cs="Times New Roman"/>
                <w:color w:val="000000" w:themeColor="text1"/>
                <w:sz w:val="24"/>
                <w:lang w:eastAsia="zh-CN"/>
                <w14:textFill>
                  <w14:solidFill>
                    <w14:schemeClr w14:val="tx1"/>
                  </w14:solidFill>
                </w14:textFill>
              </w:rPr>
              <w:t>主要为</w:t>
            </w:r>
            <w:r>
              <w:rPr>
                <w:rFonts w:hint="eastAsia" w:ascii="Times New Roman" w:hAnsi="Times New Roman" w:cs="Times New Roman"/>
                <w:color w:val="000000" w:themeColor="text1"/>
                <w:sz w:val="24"/>
                <w:lang w:eastAsia="zh-CN"/>
                <w14:textFill>
                  <w14:solidFill>
                    <w14:schemeClr w14:val="tx1"/>
                  </w14:solidFill>
                </w14:textFill>
              </w:rPr>
              <w:t>生产、</w:t>
            </w:r>
            <w:r>
              <w:rPr>
                <w:rFonts w:ascii="Times New Roman" w:hAnsi="Times New Roman" w:cs="Times New Roman"/>
                <w:color w:val="000000" w:themeColor="text1"/>
                <w:sz w:val="24"/>
                <w:lang w:eastAsia="zh-CN"/>
                <w14:textFill>
                  <w14:solidFill>
                    <w14:schemeClr w14:val="tx1"/>
                  </w14:solidFill>
                </w14:textFill>
              </w:rPr>
              <w:t>生活污水。</w:t>
            </w:r>
            <w:r>
              <w:rPr>
                <w:rFonts w:hint="eastAsia"/>
                <w:color w:val="000000" w:themeColor="text1"/>
                <w:sz w:val="24"/>
                <w14:textFill>
                  <w14:solidFill>
                    <w14:schemeClr w14:val="tx1"/>
                  </w14:solidFill>
                </w14:textFill>
              </w:rPr>
              <w:t>生活污水水质较为简单，未经处理的生活污水中COD浓度为250~500mg/L，BOD</w:t>
            </w:r>
            <w:r>
              <w:rPr>
                <w:rFonts w:hint="eastAsia"/>
                <w:color w:val="000000" w:themeColor="text1"/>
                <w:sz w:val="24"/>
                <w:vertAlign w:val="subscript"/>
                <w14:textFill>
                  <w14:solidFill>
                    <w14:schemeClr w14:val="tx1"/>
                  </w14:solidFill>
                </w14:textFill>
              </w:rPr>
              <w:t>5</w:t>
            </w:r>
            <w:r>
              <w:rPr>
                <w:rFonts w:hint="eastAsia"/>
                <w:color w:val="000000" w:themeColor="text1"/>
                <w:sz w:val="24"/>
                <w14:textFill>
                  <w14:solidFill>
                    <w14:schemeClr w14:val="tx1"/>
                  </w14:solidFill>
                </w14:textFill>
              </w:rPr>
              <w:t>浓度为200~300mg/L，氨氮浓度为25~40mg/L，SS浓度为100~200mg/L（引自《废水工程处理及回用（第四版）》）。根据类比调查，确定本项目生活污水水质情况为：COD浓度为350mg/L，BOD</w:t>
            </w:r>
            <w:r>
              <w:rPr>
                <w:rFonts w:hint="eastAsia"/>
                <w:color w:val="000000" w:themeColor="text1"/>
                <w:sz w:val="24"/>
                <w:vertAlign w:val="subscript"/>
                <w14:textFill>
                  <w14:solidFill>
                    <w14:schemeClr w14:val="tx1"/>
                  </w14:solidFill>
                </w14:textFill>
              </w:rPr>
              <w:t>5</w:t>
            </w:r>
            <w:r>
              <w:rPr>
                <w:rFonts w:hint="eastAsia"/>
                <w:color w:val="000000" w:themeColor="text1"/>
                <w:sz w:val="24"/>
                <w14:textFill>
                  <w14:solidFill>
                    <w14:schemeClr w14:val="tx1"/>
                  </w14:solidFill>
                </w14:textFill>
              </w:rPr>
              <w:t>浓度为250mg/L，氨氮浓度为30mg/L，SS浓度为150mg/L。</w:t>
            </w:r>
            <w:r>
              <w:rPr>
                <w:color w:val="000000" w:themeColor="text1"/>
                <w:sz w:val="24"/>
                <w:szCs w:val="28"/>
                <w14:textFill>
                  <w14:solidFill>
                    <w14:schemeClr w14:val="tx1"/>
                  </w14:solidFill>
                </w14:textFill>
              </w:rPr>
              <w:t>项目部依托村庄现有旱厕收集生活粪便，生活洗漱</w:t>
            </w:r>
            <w:r>
              <w:rPr>
                <w:rFonts w:hint="eastAsia"/>
                <w:color w:val="000000" w:themeColor="text1"/>
                <w:sz w:val="24"/>
                <w:szCs w:val="28"/>
                <w14:textFill>
                  <w14:solidFill>
                    <w14:schemeClr w14:val="tx1"/>
                  </w14:solidFill>
                </w14:textFill>
              </w:rPr>
              <w:t>废</w:t>
            </w:r>
            <w:r>
              <w:rPr>
                <w:color w:val="000000" w:themeColor="text1"/>
                <w:sz w:val="24"/>
                <w:szCs w:val="28"/>
                <w14:textFill>
                  <w14:solidFill>
                    <w14:schemeClr w14:val="tx1"/>
                  </w14:solidFill>
                </w14:textFill>
              </w:rPr>
              <w:t>水用于抑尘；钻探施工区生活区设</w:t>
            </w:r>
            <w:r>
              <w:rPr>
                <w:rFonts w:hint="eastAsia"/>
                <w:color w:val="000000" w:themeColor="text1"/>
                <w:sz w:val="24"/>
                <w:szCs w:val="28"/>
                <w14:textFill>
                  <w14:solidFill>
                    <w14:schemeClr w14:val="tx1"/>
                  </w14:solidFill>
                </w14:textFill>
              </w:rPr>
              <w:t>旱厕</w:t>
            </w:r>
            <w:r>
              <w:rPr>
                <w:color w:val="000000" w:themeColor="text1"/>
                <w:sz w:val="24"/>
                <w:szCs w:val="28"/>
                <w14:textFill>
                  <w14:solidFill>
                    <w14:schemeClr w14:val="tx1"/>
                  </w14:solidFill>
                </w14:textFill>
              </w:rPr>
              <w:t>，生活洗漱污水用于抑尘。</w:t>
            </w:r>
            <w:r>
              <w:rPr>
                <w:rFonts w:hint="eastAsia"/>
                <w:color w:val="000000" w:themeColor="text1"/>
                <w:kern w:val="2"/>
                <w:sz w:val="24"/>
                <w:szCs w:val="28"/>
                <w:lang w:eastAsia="zh-CN" w:bidi="ar-SA"/>
                <w14:textFill>
                  <w14:solidFill>
                    <w14:schemeClr w14:val="tx1"/>
                  </w14:solidFill>
                </w14:textFill>
              </w:rPr>
              <w:t>全部利用，不外排。</w:t>
            </w:r>
          </w:p>
          <w:p>
            <w:pPr>
              <w:adjustRightInd w:val="0"/>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生产废水主要为</w:t>
            </w:r>
            <w:r>
              <w:rPr>
                <w:rFonts w:hint="eastAsia" w:cs="Times New Roman"/>
                <w:color w:val="000000" w:themeColor="text1"/>
                <w:sz w:val="24"/>
                <w:szCs w:val="24"/>
                <w:lang w:eastAsia="zh-CN"/>
                <w14:textFill>
                  <w14:solidFill>
                    <w14:schemeClr w14:val="tx1"/>
                  </w14:solidFill>
                </w14:textFill>
              </w:rPr>
              <w:t>钻井泥浆废水、设备冲洗废水，</w:t>
            </w:r>
            <w:r>
              <w:rPr>
                <w:rFonts w:hint="eastAsia" w:cs="Times New Roman"/>
                <w:color w:val="000000" w:themeColor="text1"/>
                <w:sz w:val="24"/>
                <w:lang w:eastAsia="zh-CN"/>
                <w14:textFill>
                  <w14:solidFill>
                    <w14:schemeClr w14:val="tx1"/>
                  </w14:solidFill>
                </w14:textFill>
              </w:rPr>
              <w:t>钻井</w:t>
            </w:r>
            <w:r>
              <w:rPr>
                <w:color w:val="000000" w:themeColor="text1"/>
                <w:sz w:val="24"/>
                <w:lang w:eastAsia="zh-CN"/>
                <w14:textFill>
                  <w14:solidFill>
                    <w14:schemeClr w14:val="tx1"/>
                  </w14:solidFill>
                </w14:textFill>
              </w:rPr>
              <w:t>泥浆池中的上清液循环使用，</w:t>
            </w:r>
            <w:r>
              <w:rPr>
                <w:rFonts w:hint="eastAsia"/>
                <w:color w:val="000000" w:themeColor="text1"/>
                <w:sz w:val="24"/>
                <w:lang w:eastAsia="zh-CN"/>
                <w14:textFill>
                  <w14:solidFill>
                    <w14:schemeClr w14:val="tx1"/>
                  </w14:solidFill>
                </w14:textFill>
              </w:rPr>
              <w:t>过程需补充一定消耗水量，</w:t>
            </w:r>
            <w:r>
              <w:rPr>
                <w:color w:val="000000" w:themeColor="text1"/>
                <w:sz w:val="24"/>
                <w:lang w:eastAsia="zh-CN"/>
                <w14:textFill>
                  <w14:solidFill>
                    <w14:schemeClr w14:val="tx1"/>
                  </w14:solidFill>
                </w14:textFill>
              </w:rPr>
              <w:t>废水全部循环</w:t>
            </w:r>
            <w:r>
              <w:rPr>
                <w:rFonts w:hint="eastAsia"/>
                <w:color w:val="000000" w:themeColor="text1"/>
                <w:sz w:val="24"/>
                <w:lang w:eastAsia="zh-CN"/>
                <w14:textFill>
                  <w14:solidFill>
                    <w14:schemeClr w14:val="tx1"/>
                  </w14:solidFill>
                </w14:textFill>
              </w:rPr>
              <w:t>，不外排。</w:t>
            </w:r>
            <w:r>
              <w:rPr>
                <w:rFonts w:hint="eastAsia" w:cs="Times New Roman"/>
                <w:color w:val="000000" w:themeColor="text1"/>
                <w:sz w:val="24"/>
                <w:szCs w:val="24"/>
                <w:lang w:eastAsia="zh-CN"/>
                <w14:textFill>
                  <w14:solidFill>
                    <w14:schemeClr w14:val="tx1"/>
                  </w14:solidFill>
                </w14:textFill>
              </w:rPr>
              <w:t>设备冲洗废水</w:t>
            </w:r>
            <w:r>
              <w:rPr>
                <w:color w:val="000000" w:themeColor="text1"/>
                <w:sz w:val="24"/>
                <w:lang w:eastAsia="zh-CN"/>
                <w14:textFill>
                  <w14:solidFill>
                    <w14:schemeClr w14:val="tx1"/>
                  </w14:solidFill>
                </w14:textFill>
              </w:rPr>
              <w:t>进入泥浆池沉淀自然干化，不外排。</w:t>
            </w:r>
          </w:p>
          <w:p>
            <w:pPr>
              <w:pStyle w:val="28"/>
              <w:numPr>
                <w:ilvl w:val="0"/>
                <w:numId w:val="0"/>
              </w:numPr>
              <w:spacing w:line="360" w:lineRule="auto"/>
              <w:ind w:leftChars="0"/>
              <w:rPr>
                <w:rFonts w:hint="eastAsia"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3、噪声</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勘查过程中，机械噪声会对周边环境产生影响，固定性声源主要有钻探机组、柴油发电机、泥浆泵、除砂器及泥浆搅拌机，噪声级一般65～9</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dB（A）；流动性声源主要指运输车辆，噪声级一般65～75dB（A）。</w:t>
            </w:r>
          </w:p>
          <w:p>
            <w:pPr>
              <w:widowControl/>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主要噪声源声级及噪声控制措施列于表</w:t>
            </w:r>
            <w:r>
              <w:rPr>
                <w:color w:val="000000" w:themeColor="text1"/>
                <w:sz w:val="24"/>
                <w14:textFill>
                  <w14:solidFill>
                    <w14:schemeClr w14:val="tx1"/>
                  </w14:solidFill>
                </w14:textFill>
              </w:rPr>
              <w:t>6-</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表6</w:t>
            </w:r>
            <w:r>
              <w:rPr>
                <w:b w:val="0"/>
                <w:bCs w:val="0"/>
                <w:color w:val="000000" w:themeColor="text1"/>
                <w:sz w:val="24"/>
                <w14:textFill>
                  <w14:solidFill>
                    <w14:schemeClr w14:val="tx1"/>
                  </w14:solidFill>
                </w14:textFill>
              </w:rPr>
              <w:t>-</w:t>
            </w:r>
            <w:r>
              <w:rPr>
                <w:rFonts w:hint="eastAsia"/>
                <w:b w:val="0"/>
                <w:bCs w:val="0"/>
                <w:color w:val="000000" w:themeColor="text1"/>
                <w:sz w:val="24"/>
                <w:lang w:val="en-US" w:eastAsia="zh-CN"/>
                <w14:textFill>
                  <w14:solidFill>
                    <w14:schemeClr w14:val="tx1"/>
                  </w14:solidFill>
                </w14:textFill>
              </w:rPr>
              <w:t>7</w:t>
            </w:r>
            <w:r>
              <w:rPr>
                <w:rFonts w:hint="eastAsia"/>
                <w:b w:val="0"/>
                <w:bCs w:val="0"/>
                <w:color w:val="000000" w:themeColor="text1"/>
                <w:sz w:val="24"/>
                <w14:textFill>
                  <w14:solidFill>
                    <w14:schemeClr w14:val="tx1"/>
                  </w14:solidFill>
                </w14:textFill>
              </w:rPr>
              <w:t xml:space="preserve">  </w:t>
            </w:r>
            <w:r>
              <w:rPr>
                <w:rFonts w:hint="eastAsia"/>
                <w:color w:val="000000" w:themeColor="text1"/>
                <w:sz w:val="24"/>
                <w:lang w:val="en-GB" w:eastAsia="zh-CN"/>
                <w14:textFill>
                  <w14:solidFill>
                    <w14:schemeClr w14:val="tx1"/>
                  </w14:solidFill>
                </w14:textFill>
              </w:rPr>
              <w:t>主要噪声源声级及噪声控制措施表</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82"/>
              <w:gridCol w:w="2383"/>
              <w:gridCol w:w="2387"/>
              <w:gridCol w:w="2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分类</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噪声源</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控制措施</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噪声级</w:t>
                  </w:r>
                  <w:r>
                    <w:rPr>
                      <w:rFonts w:hint="default" w:ascii="Times New Roman" w:hAnsi="Times New Roman" w:cs="Times New Roman"/>
                      <w:color w:val="000000" w:themeColor="text1"/>
                      <w:kern w:val="2"/>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restar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固定声源</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钻探机组</w:t>
                  </w:r>
                </w:p>
              </w:tc>
              <w:tc>
                <w:tcPr>
                  <w:tcW w:w="1251" w:type="pct"/>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kern w:val="2"/>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柴油发电机</w:t>
                  </w:r>
                </w:p>
              </w:tc>
              <w:tc>
                <w:tcPr>
                  <w:tcW w:w="1251" w:type="pct"/>
                </w:tcPr>
                <w:p>
                  <w:pPr>
                    <w:pStyle w:val="26"/>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自带消音装置、减振</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泥浆泵</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除砂器</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基础减振</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Merge w:val="continue"/>
                  <w:vAlign w:val="center"/>
                </w:tcPr>
                <w:p>
                  <w:pPr>
                    <w:jc w:val="center"/>
                    <w:rPr>
                      <w:rFonts w:hint="default" w:ascii="Times New Roman" w:hAnsi="Times New Roman" w:cs="Times New Roman"/>
                      <w:color w:val="000000" w:themeColor="text1"/>
                      <w:szCs w:val="21"/>
                      <w14:textFill>
                        <w14:solidFill>
                          <w14:schemeClr w14:val="tx1"/>
                        </w14:solidFill>
                      </w14:textFill>
                    </w:rPr>
                  </w:pP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泥浆搅拌机</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w:t>
                  </w:r>
                </w:p>
              </w:tc>
              <w:tc>
                <w:tcPr>
                  <w:tcW w:w="1251" w:type="pct"/>
                  <w:vAlign w:val="center"/>
                </w:tcPr>
                <w:p>
                  <w:pPr>
                    <w:pStyle w:val="31"/>
                    <w:widowControl w:val="0"/>
                    <w:pBdr>
                      <w:bottom w:val="none" w:color="auto" w:sz="0" w:space="0"/>
                      <w:right w:val="none" w:color="auto" w:sz="0" w:space="0"/>
                    </w:pBdr>
                    <w:spacing w:before="0" w:beforeAutospacing="0" w:after="0" w:afterAutospacing="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kern w:val="2"/>
                      <w14:textFill>
                        <w14:solidFill>
                          <w14:schemeClr w14:val="tx1"/>
                        </w14:solidFill>
                      </w14:textFill>
                    </w:rPr>
                    <w:t>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流动声源</w:t>
                  </w:r>
                </w:p>
              </w:tc>
              <w:tc>
                <w:tcPr>
                  <w:tcW w:w="1249"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运输车辆</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减速慢行</w:t>
                  </w:r>
                </w:p>
              </w:tc>
              <w:tc>
                <w:tcPr>
                  <w:tcW w:w="1251" w:type="pct"/>
                  <w:vAlign w:val="center"/>
                </w:tcPr>
                <w:p>
                  <w:pPr>
                    <w:jc w:val="center"/>
                    <w:rPr>
                      <w:rFonts w:hint="default" w:ascii="Times New Roman" w:hAnsi="Times New Roman" w:cs="Times New Roman"/>
                      <w:color w:val="000000" w:themeColor="text1"/>
                      <w:szCs w:val="21"/>
                      <w14:textFill>
                        <w14:solidFill>
                          <w14:schemeClr w14:val="tx1"/>
                        </w14:solidFill>
                      </w14:textFill>
                    </w:rPr>
                  </w:pPr>
                  <w:r>
                    <w:rPr>
                      <w:rFonts w:hint="default" w:ascii="Times New Roman" w:hAnsi="Times New Roman" w:cs="Times New Roman"/>
                      <w:color w:val="000000" w:themeColor="text1"/>
                      <w:szCs w:val="21"/>
                      <w14:textFill>
                        <w14:solidFill>
                          <w14:schemeClr w14:val="tx1"/>
                        </w14:solidFill>
                      </w14:textFill>
                    </w:rPr>
                    <w:t>65～75</w:t>
                  </w:r>
                </w:p>
              </w:tc>
            </w:tr>
          </w:tbl>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4、</w:t>
            </w:r>
            <w:r>
              <w:rPr>
                <w:rFonts w:hint="eastAsia"/>
                <w:b/>
                <w:bCs/>
                <w:color w:val="000000" w:themeColor="text1"/>
                <w:sz w:val="24"/>
                <w14:textFill>
                  <w14:solidFill>
                    <w14:schemeClr w14:val="tx1"/>
                  </w14:solidFill>
                </w14:textFill>
              </w:rPr>
              <w:t>固体废物</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（1）钻井泥浆</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废弃泥浆一般指钻井结束后无法再利用的泥浆，是钻井过程中产生的一种液态细腻胶状物，包含钻井液、钻孔内取芯后带出来的细小岩屑，失水后会变成固态物。</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本项目整个勘查过程中的钻井泥浆是循环使用的，在钻井机台设置沉淀池、泥浆循环池及泥浆坑，各池体及坑体均做</w:t>
            </w:r>
            <w:r>
              <w:rPr>
                <w:rFonts w:ascii="Times New Roman" w:hAnsi="Times New Roman" w:cs="Times New Roman"/>
                <w:b w:val="0"/>
                <w:bCs/>
                <w:color w:val="000000" w:themeColor="text1"/>
                <w:sz w:val="24"/>
                <w:szCs w:val="24"/>
                <w:lang w:eastAsia="zh-CN" w:bidi="ar"/>
                <w14:textFill>
                  <w14:solidFill>
                    <w14:schemeClr w14:val="tx1"/>
                  </w14:solidFill>
                </w14:textFill>
              </w:rPr>
              <w:t>HDPE</w:t>
            </w:r>
            <w:r>
              <w:rPr>
                <w:rFonts w:hint="eastAsia"/>
                <w:color w:val="000000" w:themeColor="text1"/>
                <w:sz w:val="24"/>
                <w:szCs w:val="24"/>
                <w:lang w:eastAsia="zh-CN" w:bidi="ar"/>
                <w14:textFill>
                  <w14:solidFill>
                    <w14:schemeClr w14:val="tx1"/>
                  </w14:solidFill>
                </w14:textFill>
              </w:rPr>
              <w:t>膜防渗、防溢处理，并在施工区机台至个泥浆设施之间设置泥浆导流槽，流道平整，保障泥浆不外溢。钻探过程中的泥浆及封孔泥浆从钻孔涌出排入泥浆循环池回用于钻探，单个钻孔的泥浆坑尺寸为</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4</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b w:val="0"/>
                <w:bCs w:val="0"/>
                <w:color w:val="000000" w:themeColor="text1"/>
                <w:sz w:val="24"/>
                <w:szCs w:val="24"/>
                <w:lang w:eastAsia="zh-CN" w:bidi="ar"/>
                <w14:textFill>
                  <w14:solidFill>
                    <w14:schemeClr w14:val="tx1"/>
                  </w14:solidFill>
                </w14:textFill>
              </w:rPr>
              <w:t>×</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2</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b w:val="0"/>
                <w:bCs w:val="0"/>
                <w:color w:val="000000" w:themeColor="text1"/>
                <w:sz w:val="24"/>
                <w:szCs w:val="24"/>
                <w:lang w:eastAsia="zh-CN" w:bidi="ar"/>
                <w14:textFill>
                  <w14:solidFill>
                    <w14:schemeClr w14:val="tx1"/>
                  </w14:solidFill>
                </w14:textFill>
              </w:rPr>
              <w:t>×</w:t>
            </w:r>
            <w:r>
              <w:rPr>
                <w:rFonts w:ascii="Times New Roman" w:hAnsi="Times New Roman" w:cs="Times New Roman"/>
                <w:b w:val="0"/>
                <w:bCs w:val="0"/>
                <w:color w:val="000000" w:themeColor="text1"/>
                <w:sz w:val="24"/>
                <w:szCs w:val="24"/>
                <w:lang w:eastAsia="zh-CN" w:bidi="ar"/>
                <w14:textFill>
                  <w14:solidFill>
                    <w14:schemeClr w14:val="tx1"/>
                  </w14:solidFill>
                </w14:textFill>
              </w:rPr>
              <w:t>1.</w:t>
            </w:r>
            <w:r>
              <w:rPr>
                <w:rFonts w:hint="eastAsia" w:ascii="Times New Roman" w:hAnsi="Times New Roman" w:cs="Times New Roman"/>
                <w:b w:val="0"/>
                <w:bCs w:val="0"/>
                <w:color w:val="000000" w:themeColor="text1"/>
                <w:sz w:val="24"/>
                <w:szCs w:val="24"/>
                <w:lang w:eastAsia="zh-CN" w:bidi="ar"/>
                <w14:textFill>
                  <w14:solidFill>
                    <w14:schemeClr w14:val="tx1"/>
                  </w14:solidFill>
                </w14:textFill>
              </w:rPr>
              <w:t>4</w:t>
            </w:r>
            <w:r>
              <w:rPr>
                <w:rFonts w:ascii="Times New Roman" w:hAnsi="Times New Roman" w:cs="Times New Roman"/>
                <w:b w:val="0"/>
                <w:bCs w:val="0"/>
                <w:color w:val="000000" w:themeColor="text1"/>
                <w:sz w:val="24"/>
                <w:szCs w:val="24"/>
                <w:lang w:eastAsia="zh-CN" w:bidi="ar"/>
                <w14:textFill>
                  <w14:solidFill>
                    <w14:schemeClr w14:val="tx1"/>
                  </w14:solidFill>
                </w14:textFill>
              </w:rPr>
              <w:t>m</w:t>
            </w:r>
            <w:r>
              <w:rPr>
                <w:rFonts w:hint="eastAsia"/>
                <w:color w:val="000000" w:themeColor="text1"/>
                <w:sz w:val="24"/>
                <w:szCs w:val="24"/>
                <w:lang w:eastAsia="zh-CN" w:bidi="ar"/>
                <w14:textFill>
                  <w14:solidFill>
                    <w14:schemeClr w14:val="tx1"/>
                  </w14:solidFill>
                </w14:textFill>
              </w:rPr>
              <w:t>，待施工结束后，将集中泥浆坑的泥浆蒸发脱水，最终覆土掩埋，恢复植被。</w:t>
            </w:r>
          </w:p>
          <w:p>
            <w:pPr>
              <w:spacing w:line="360" w:lineRule="auto"/>
              <w:ind w:firstLine="480" w:firstLineChars="200"/>
              <w:jc w:val="both"/>
              <w:rPr>
                <w:rFonts w:hint="eastAsia"/>
                <w:color w:val="000000" w:themeColor="text1"/>
                <w:sz w:val="24"/>
                <w14:textFill>
                  <w14:solidFill>
                    <w14:schemeClr w14:val="tx1"/>
                  </w14:solidFill>
                </w14:textFill>
              </w:rPr>
            </w:pPr>
            <w:r>
              <w:rPr>
                <w:color w:val="000000" w:themeColor="text1"/>
                <w:sz w:val="24"/>
                <w:lang w:eastAsia="zh-CN"/>
                <w14:textFill>
                  <w14:solidFill>
                    <w14:schemeClr w14:val="tx1"/>
                  </w14:solidFill>
                </w14:textFill>
              </w:rPr>
              <w:t>本项目钻孔平均孔径约</w:t>
            </w:r>
            <w:r>
              <w:rPr>
                <w:rFonts w:hint="eastAsia"/>
                <w:color w:val="000000" w:themeColor="text1"/>
                <w:sz w:val="24"/>
                <w:lang w:eastAsia="zh-CN"/>
                <w14:textFill>
                  <w14:solidFill>
                    <w14:schemeClr w14:val="tx1"/>
                  </w14:solidFill>
                </w14:textFill>
              </w:rPr>
              <w:t>108</w:t>
            </w:r>
            <w:r>
              <w:rPr>
                <w:color w:val="000000" w:themeColor="text1"/>
                <w:sz w:val="24"/>
                <w:lang w:eastAsia="zh-CN"/>
                <w14:textFill>
                  <w14:solidFill>
                    <w14:schemeClr w14:val="tx1"/>
                  </w14:solidFill>
                </w14:textFill>
              </w:rPr>
              <w:t>mm，</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年项目钻井工作量为</w:t>
            </w:r>
            <w:r>
              <w:rPr>
                <w:rFonts w:hint="eastAsia"/>
                <w:color w:val="000000" w:themeColor="text1"/>
                <w:sz w:val="24"/>
                <w:lang w:val="en-US" w:eastAsia="zh-CN"/>
                <w14:textFill>
                  <w14:solidFill>
                    <w14:schemeClr w14:val="tx1"/>
                  </w14:solidFill>
                </w14:textFill>
              </w:rPr>
              <w:t>35</w:t>
            </w:r>
            <w:r>
              <w:rPr>
                <w:rFonts w:hint="eastAsia"/>
                <w:color w:val="000000" w:themeColor="text1"/>
                <w:sz w:val="24"/>
                <w:lang w:eastAsia="zh-CN"/>
                <w14:textFill>
                  <w14:solidFill>
                    <w14:schemeClr w14:val="tx1"/>
                  </w14:solidFill>
                </w14:textFill>
              </w:rPr>
              <w:t>000m，202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年项目钻井工作量均为</w:t>
            </w:r>
            <w:r>
              <w:rPr>
                <w:rFonts w:hint="eastAsia"/>
                <w:color w:val="000000" w:themeColor="text1"/>
                <w:sz w:val="24"/>
                <w:lang w:val="en-US" w:eastAsia="zh-CN"/>
                <w14:textFill>
                  <w14:solidFill>
                    <w14:schemeClr w14:val="tx1"/>
                  </w14:solidFill>
                </w14:textFill>
              </w:rPr>
              <w:t>140</w:t>
            </w:r>
            <w:r>
              <w:rPr>
                <w:rFonts w:hint="eastAsia"/>
                <w:color w:val="000000" w:themeColor="text1"/>
                <w:sz w:val="24"/>
                <w:lang w:eastAsia="zh-CN"/>
                <w14:textFill>
                  <w14:solidFill>
                    <w14:schemeClr w14:val="tx1"/>
                  </w14:solidFill>
                </w14:textFill>
              </w:rPr>
              <w:t>000m，</w:t>
            </w:r>
            <w:r>
              <w:rPr>
                <w:color w:val="000000" w:themeColor="text1"/>
                <w:sz w:val="24"/>
                <w:lang w:eastAsia="zh-CN"/>
                <w14:textFill>
                  <w14:solidFill>
                    <w14:schemeClr w14:val="tx1"/>
                  </w14:solidFill>
                </w14:textFill>
              </w:rPr>
              <w:t>则</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320.63</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钻孔需取土石的总体积</w:t>
            </w:r>
            <w:r>
              <w:rPr>
                <w:rFonts w:hint="eastAsia"/>
                <w:color w:val="000000" w:themeColor="text1"/>
                <w:sz w:val="24"/>
                <w:lang w:eastAsia="zh-CN"/>
                <w14:textFill>
                  <w14:solidFill>
                    <w14:schemeClr w14:val="tx1"/>
                  </w14:solidFill>
                </w14:textFill>
              </w:rPr>
              <w:t>均</w:t>
            </w:r>
            <w:r>
              <w:rPr>
                <w:color w:val="000000" w:themeColor="text1"/>
                <w:sz w:val="24"/>
                <w:lang w:eastAsia="zh-CN"/>
                <w14:textFill>
                  <w14:solidFill>
                    <w14:schemeClr w14:val="tx1"/>
                  </w14:solidFill>
                </w14:textFill>
              </w:rPr>
              <w:t>为</w:t>
            </w:r>
            <w:r>
              <w:rPr>
                <w:rFonts w:hint="eastAsia"/>
                <w:color w:val="000000" w:themeColor="text1"/>
                <w:sz w:val="24"/>
                <w:lang w:val="en-US" w:eastAsia="zh-CN"/>
                <w14:textFill>
                  <w14:solidFill>
                    <w14:schemeClr w14:val="tx1"/>
                  </w14:solidFill>
                </w14:textFill>
              </w:rPr>
              <w:t>1282.52</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p>
          <w:p>
            <w:pPr>
              <w:spacing w:line="360" w:lineRule="auto"/>
              <w:ind w:firstLine="480" w:firstLineChars="200"/>
              <w:jc w:val="both"/>
              <w:rPr>
                <w:rFonts w:hint="eastAsia" w:ascii="Times New Roman" w:hAnsi="Times New Roman" w:eastAsia="宋体"/>
                <w:b w:val="0"/>
                <w:bCs w:val="0"/>
                <w:color w:val="000000" w:themeColor="text1"/>
                <w:sz w:val="24"/>
                <w:szCs w:val="24"/>
                <w14:textFill>
                  <w14:solidFill>
                    <w14:schemeClr w14:val="tx1"/>
                  </w14:solidFill>
                </w14:textFill>
              </w:rPr>
            </w:pPr>
            <w:r>
              <w:rPr>
                <w:rFonts w:hint="eastAsia"/>
                <w:color w:val="000000" w:themeColor="text1"/>
                <w:sz w:val="24"/>
                <w:lang w:eastAsia="zh-CN"/>
                <w14:textFill>
                  <w14:solidFill>
                    <w14:schemeClr w14:val="tx1"/>
                  </w14:solidFill>
                </w14:textFill>
              </w:rPr>
              <w:t>根据调查估算</w:t>
            </w:r>
            <w:r>
              <w:rPr>
                <w:color w:val="000000" w:themeColor="text1"/>
                <w:sz w:val="24"/>
                <w:lang w:eastAsia="zh-CN"/>
                <w14:textFill>
                  <w14:solidFill>
                    <w14:schemeClr w14:val="tx1"/>
                  </w14:solidFill>
                </w14:textFill>
              </w:rPr>
              <w:t>，泥浆产生量约占所取土石的总体积</w:t>
            </w:r>
            <w:r>
              <w:rPr>
                <w:rFonts w:hint="eastAsia"/>
                <w:color w:val="000000" w:themeColor="text1"/>
                <w:sz w:val="24"/>
                <w:lang w:eastAsia="zh-CN"/>
                <w14:textFill>
                  <w14:solidFill>
                    <w14:schemeClr w14:val="tx1"/>
                  </w14:solidFill>
                </w14:textFill>
              </w:rPr>
              <w:t>5</w:t>
            </w:r>
            <w:r>
              <w:rPr>
                <w:color w:val="000000" w:themeColor="text1"/>
                <w:sz w:val="24"/>
                <w:lang w:eastAsia="zh-CN"/>
                <w14:textFill>
                  <w14:solidFill>
                    <w14:schemeClr w14:val="tx1"/>
                  </w14:solidFill>
                </w14:textFill>
              </w:rPr>
              <w:t>0%，故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160.32</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184.36</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color w:val="000000" w:themeColor="text1"/>
                <w:sz w:val="24"/>
                <w:lang w:eastAsia="zh-CN"/>
                <w14:textFill>
                  <w14:solidFill>
                    <w14:schemeClr w14:val="tx1"/>
                  </w14:solidFill>
                </w14:textFill>
              </w:rPr>
              <w:t>故</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项目泥浆产生量</w:t>
            </w:r>
            <w:r>
              <w:rPr>
                <w:rFonts w:hint="eastAsia"/>
                <w:color w:val="000000" w:themeColor="text1"/>
                <w:sz w:val="24"/>
                <w:lang w:eastAsia="zh-CN"/>
                <w14:textFill>
                  <w14:solidFill>
                    <w14:schemeClr w14:val="tx1"/>
                  </w14:solidFill>
                </w14:textFill>
              </w:rPr>
              <w:t>均为</w:t>
            </w:r>
            <w:r>
              <w:rPr>
                <w:rFonts w:hint="eastAsia"/>
                <w:color w:val="000000" w:themeColor="text1"/>
                <w:sz w:val="24"/>
                <w:lang w:val="en-US" w:eastAsia="zh-CN"/>
                <w14:textFill>
                  <w14:solidFill>
                    <w14:schemeClr w14:val="tx1"/>
                  </w14:solidFill>
                </w14:textFill>
              </w:rPr>
              <w:t>641.26</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w:t>
            </w:r>
            <w:r>
              <w:rPr>
                <w:rFonts w:hint="eastAsia"/>
                <w:color w:val="000000" w:themeColor="text1"/>
                <w:kern w:val="2"/>
                <w:sz w:val="24"/>
                <w:szCs w:val="24"/>
                <w:lang w:eastAsia="zh-CN" w:bidi="ar-SA"/>
                <w14:textFill>
                  <w14:solidFill>
                    <w14:schemeClr w14:val="tx1"/>
                  </w14:solidFill>
                </w14:textFill>
              </w:rPr>
              <w:t>密度为1.15t/m³，即</w:t>
            </w:r>
            <w:r>
              <w:rPr>
                <w:rFonts w:hint="eastAsia"/>
                <w:color w:val="000000" w:themeColor="text1"/>
                <w:kern w:val="2"/>
                <w:sz w:val="24"/>
                <w:szCs w:val="24"/>
                <w:lang w:val="en-US" w:eastAsia="zh-CN" w:bidi="ar-SA"/>
                <w14:textFill>
                  <w14:solidFill>
                    <w14:schemeClr w14:val="tx1"/>
                  </w14:solidFill>
                </w14:textFill>
              </w:rPr>
              <w:t>737.45</w:t>
            </w:r>
            <w:r>
              <w:rPr>
                <w:rFonts w:hint="eastAsia"/>
                <w:color w:val="000000" w:themeColor="text1"/>
                <w:kern w:val="2"/>
                <w:sz w:val="24"/>
                <w:szCs w:val="24"/>
                <w:lang w:eastAsia="zh-CN" w:bidi="ar-SA"/>
                <w14:textFill>
                  <w14:solidFill>
                    <w14:schemeClr w14:val="tx1"/>
                  </w14:solidFill>
                </w14:textFill>
              </w:rPr>
              <w:t>t</w:t>
            </w:r>
            <w:r>
              <w:rPr>
                <w:rFonts w:hint="eastAsia"/>
                <w:color w:val="000000" w:themeColor="text1"/>
                <w:sz w:val="24"/>
                <w:lang w:eastAsia="zh-CN"/>
                <w14:textFill>
                  <w14:solidFill>
                    <w14:schemeClr w14:val="tx1"/>
                  </w14:solidFill>
                </w14:textFill>
              </w:rPr>
              <w:t>）。</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（2）岩芯</w:t>
            </w:r>
          </w:p>
          <w:p>
            <w:pPr>
              <w:widowControl/>
              <w:autoSpaceDE/>
              <w:autoSpaceDN/>
              <w:spacing w:line="360" w:lineRule="auto"/>
              <w:ind w:firstLine="480" w:firstLineChars="200"/>
              <w:jc w:val="both"/>
              <w:rPr>
                <w:rFonts w:hint="eastAsia"/>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根据调查估算，单井每百米进尺平均产生的岩芯约390kg，其中0</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5%为矿段岩芯（本次取中间值即3%），95%</w:t>
            </w:r>
            <w:r>
              <w:rPr>
                <w:rFonts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100%为矿段岩芯（本次取中间值即97%）。</w:t>
            </w:r>
          </w:p>
          <w:p>
            <w:pPr>
              <w:widowControl/>
              <w:autoSpaceDE/>
              <w:autoSpaceDN/>
              <w:spacing w:line="360" w:lineRule="auto"/>
              <w:ind w:firstLine="480" w:firstLineChars="200"/>
              <w:jc w:val="both"/>
              <w:rPr>
                <w:rFonts w:hint="eastAsia" w:ascii="Times New Roman" w:hAnsi="Times New Roman" w:eastAsia="宋体" w:cs="Times New Roman"/>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项目产生矿段岩芯放置在岩芯箱内，堆存于岩芯库内。岩芯库租用项目部无人居住的民房，防火、防雨、防盗，专人看管，登记台账备查。待钻孔完毕后，采集矿段岩芯样品主要</w:t>
            </w:r>
            <w:r>
              <w:rPr>
                <w:rFonts w:hint="eastAsia" w:ascii="Times New Roman" w:hAnsi="Times New Roman" w:eastAsia="宋体" w:cs="Times New Roman"/>
                <w:color w:val="000000" w:themeColor="text1"/>
                <w:sz w:val="24"/>
                <w:szCs w:val="24"/>
                <w:lang w:eastAsia="zh-CN" w:bidi="ar"/>
                <w14:textFill>
                  <w14:solidFill>
                    <w14:schemeClr w14:val="tx1"/>
                  </w14:solidFill>
                </w14:textFill>
              </w:rPr>
              <w:t>有铀镭样、钍钾样、密度样、湿度样、岩矿鉴定样、粒度样、岩石地球化学环境指标样和硅酸盐全分析等样品，送我所分析测试中心进行检验，我所具备</w:t>
            </w:r>
            <w:r>
              <w:rPr>
                <w:rFonts w:hint="eastAsia" w:ascii="Times New Roman" w:hAnsi="Times New Roman" w:eastAsia="宋体" w:cs="Times New Roman"/>
                <w:color w:val="000000" w:themeColor="text1"/>
                <w:sz w:val="24"/>
                <w:szCs w:val="24"/>
                <w:lang w:val="en-US" w:eastAsia="zh-CN" w:bidi="ar"/>
                <w14:textFill>
                  <w14:solidFill>
                    <w14:schemeClr w14:val="tx1"/>
                  </w14:solidFill>
                </w14:textFill>
              </w:rPr>
              <w:t>相关检验资格</w:t>
            </w:r>
            <w:r>
              <w:rPr>
                <w:rFonts w:hint="eastAsia" w:ascii="Times New Roman" w:hAnsi="Times New Roman" w:eastAsia="宋体" w:cs="Times New Roman"/>
                <w:color w:val="000000" w:themeColor="text1"/>
                <w:sz w:val="24"/>
                <w:szCs w:val="24"/>
                <w:lang w:eastAsia="zh-CN" w:bidi="ar"/>
                <w14:textFill>
                  <w14:solidFill>
                    <w14:schemeClr w14:val="tx1"/>
                  </w14:solidFill>
                </w14:textFill>
              </w:rPr>
              <w:t>。</w:t>
            </w:r>
          </w:p>
          <w:p>
            <w:pPr>
              <w:widowControl/>
              <w:autoSpaceDE/>
              <w:autoSpaceDN/>
              <w:spacing w:line="360" w:lineRule="auto"/>
              <w:ind w:firstLine="480" w:firstLineChars="200"/>
              <w:jc w:val="both"/>
              <w:rPr>
                <w:rFonts w:hint="eastAsia" w:ascii="Times New Roman" w:hAnsi="Times New Roman" w:eastAsia="宋体" w:cs="Times New Roman"/>
                <w:color w:val="000000" w:themeColor="text1"/>
                <w:sz w:val="24"/>
                <w:szCs w:val="24"/>
                <w:lang w:eastAsia="zh-CN" w:bidi="ar"/>
                <w14:textFill>
                  <w14:solidFill>
                    <w14:schemeClr w14:val="tx1"/>
                  </w14:solidFill>
                </w14:textFill>
              </w:rPr>
            </w:pPr>
            <w:r>
              <w:rPr>
                <w:rFonts w:hint="eastAsia" w:ascii="Times New Roman" w:hAnsi="Times New Roman" w:eastAsia="宋体" w:cs="Times New Roman"/>
                <w:color w:val="000000" w:themeColor="text1"/>
                <w:sz w:val="24"/>
                <w:szCs w:val="24"/>
                <w:lang w:eastAsia="zh-CN" w:bidi="ar"/>
                <w14:textFill>
                  <w14:solidFill>
                    <w14:schemeClr w14:val="tx1"/>
                  </w14:solidFill>
                </w14:textFill>
              </w:rPr>
              <w:t>非矿段岩芯放置在岩芯池内，该岩芯池采用HDPE膜防渗，单个钻孔的岩芯池尺寸为 4.8m×0.8m×1m，待施工结束后，最终覆土掩埋，恢复植被。</w:t>
            </w:r>
          </w:p>
          <w:p>
            <w:pPr>
              <w:pStyle w:val="4"/>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136.5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4.095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132.405</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年度项目钻井工作量为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140</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000m，因此，202</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3-2026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年度项目产生的岩芯均为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546</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t（其中矿段岩芯为</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16.38</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t，非矿段岩芯</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529.62</w:t>
            </w:r>
            <w:r>
              <w:rPr>
                <w:rFonts w:hint="eastAsia" w:ascii="Times New Roman" w:hAnsi="Times New Roman" w:eastAsia="宋体" w:cs="Times New Roman"/>
                <w:b w:val="0"/>
                <w:bCs w:val="0"/>
                <w:color w:val="000000" w:themeColor="text1"/>
                <w:kern w:val="2"/>
                <w:sz w:val="24"/>
                <w:szCs w:val="24"/>
                <w:lang w:eastAsia="zh-CN" w:bidi="ar-SA"/>
                <w14:textFill>
                  <w14:solidFill>
                    <w14:schemeClr w14:val="tx1"/>
                  </w14:solidFill>
                </w14:textFill>
              </w:rPr>
              <w:t>t）。</w:t>
            </w:r>
          </w:p>
          <w:p>
            <w:pPr>
              <w:pStyle w:val="4"/>
              <w:spacing w:before="0" w:after="0" w:line="360" w:lineRule="auto"/>
              <w:ind w:firstLine="480" w:firstLineChars="200"/>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（3）剥离表土</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color w:val="000000" w:themeColor="text1"/>
                <w:sz w:val="24"/>
                <w:lang w:eastAsia="zh-CN"/>
                <w14:textFill>
                  <w14:solidFill>
                    <w14:schemeClr w14:val="tx1"/>
                  </w14:solidFill>
                </w14:textFill>
              </w:rPr>
              <w:t>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平整剥离表土，</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w:t>
            </w:r>
            <w:r>
              <w:rPr>
                <w:rFonts w:hint="eastAsia"/>
                <w:color w:val="000000" w:themeColor="text1"/>
                <w:sz w:val="24"/>
                <w:lang w:val="en-US" w:eastAsia="zh-CN"/>
                <w14:textFill>
                  <w14:solidFill>
                    <w14:schemeClr w14:val="tx1"/>
                  </w14:solidFill>
                </w14:textFill>
              </w:rPr>
              <w:t>布设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58</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870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240</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产生剥离表土共计约</w:t>
            </w:r>
            <w:r>
              <w:rPr>
                <w:rFonts w:hint="eastAsia"/>
                <w:color w:val="000000" w:themeColor="text1"/>
                <w:sz w:val="24"/>
                <w:lang w:val="en-US" w:eastAsia="zh-CN"/>
                <w14:textFill>
                  <w14:solidFill>
                    <w14:schemeClr w14:val="tx1"/>
                  </w14:solidFill>
                </w14:textFill>
              </w:rPr>
              <w:t>3600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3</w:t>
            </w:r>
            <w:r>
              <w:rPr>
                <w:rFonts w:hint="eastAsia"/>
                <w:color w:val="000000" w:themeColor="text1"/>
                <w:sz w:val="24"/>
                <w:lang w:eastAsia="zh-CN"/>
                <w14:textFill>
                  <w14:solidFill>
                    <w14:schemeClr w14:val="tx1"/>
                  </w14:solidFill>
                </w14:textFill>
              </w:rPr>
              <w:t>（剥离平均厚度约</w:t>
            </w:r>
            <w:r>
              <w:rPr>
                <w:color w:val="000000" w:themeColor="text1"/>
                <w:sz w:val="24"/>
                <w:lang w:eastAsia="zh-CN"/>
                <w14:textFill>
                  <w14:solidFill>
                    <w14:schemeClr w14:val="tx1"/>
                  </w14:solidFill>
                </w14:textFill>
              </w:rPr>
              <w:t>10cm</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。表土就近堆放于钻孔平台附近，待封孔后用于植被恢复。</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（4）生活垃圾</w:t>
            </w:r>
          </w:p>
          <w:p>
            <w:pPr>
              <w:pStyle w:val="4"/>
              <w:keepNext/>
              <w:keepLines/>
              <w:pageBreakBefore w:val="0"/>
              <w:widowControl w:val="0"/>
              <w:kinsoku/>
              <w:wordWrap/>
              <w:overflowPunct/>
              <w:topLinePunct w:val="0"/>
              <w:autoSpaceDE/>
              <w:autoSpaceDN/>
              <w:bidi w:val="0"/>
              <w:adjustRightInd/>
              <w:snapToGrid/>
              <w:spacing w:before="0" w:after="0" w:line="360" w:lineRule="auto"/>
              <w:ind w:left="0" w:firstLine="480" w:firstLineChars="200"/>
              <w:jc w:val="both"/>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2022-2026年度勘探所需人员均为30人，生活垃圾产生量按每人0.5kg/d计，年工作200天，则2022-2026年生活垃圾产生量约40t（8t/a）。</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钻探</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生活垃圾用垃圾袋带回项目部，</w:t>
            </w:r>
            <w:r>
              <w:rPr>
                <w:rFonts w:hint="eastAsia" w:ascii="宋体" w:hAnsi="宋体" w:cs="宋体"/>
                <w:color w:val="000000" w:themeColor="text1"/>
                <w:sz w:val="24"/>
                <w:szCs w:val="28"/>
                <w14:textFill>
                  <w14:solidFill>
                    <w14:schemeClr w14:val="tx1"/>
                  </w14:solidFill>
                </w14:textFill>
              </w:rPr>
              <w:t>项目部设垃圾桶进行收集，</w:t>
            </w:r>
            <w:r>
              <w:rPr>
                <w:color w:val="000000" w:themeColor="text1"/>
                <w:sz w:val="24"/>
                <w14:textFill>
                  <w14:solidFill>
                    <w14:schemeClr w14:val="tx1"/>
                  </w14:solidFill>
                </w14:textFill>
              </w:rPr>
              <w:t>定期</w:t>
            </w:r>
            <w:r>
              <w:rPr>
                <w:rFonts w:hint="eastAsia"/>
                <w:color w:val="000000" w:themeColor="text1"/>
                <w:sz w:val="24"/>
                <w14:textFill>
                  <w14:solidFill>
                    <w14:schemeClr w14:val="tx1"/>
                  </w14:solidFill>
                </w14:textFill>
              </w:rPr>
              <w:t>送往乡镇垃圾堆放点，</w:t>
            </w:r>
            <w:r>
              <w:rPr>
                <w:color w:val="000000" w:themeColor="text1"/>
                <w:sz w:val="24"/>
                <w14:textFill>
                  <w14:solidFill>
                    <w14:schemeClr w14:val="tx1"/>
                  </w14:solidFill>
                </w14:textFill>
              </w:rPr>
              <w:t>由当地环卫部门清理处置。</w:t>
            </w:r>
          </w:p>
          <w:p>
            <w:pPr>
              <w:pStyle w:val="4"/>
              <w:spacing w:before="0" w:after="0" w:line="360" w:lineRule="auto"/>
              <w:ind w:firstLine="480" w:firstLineChars="200"/>
              <w:rPr>
                <w:rFonts w:ascii="Times New Roman" w:hAnsi="Times New Roman" w:eastAsia="宋体"/>
                <w:b w:val="0"/>
                <w:bCs w:val="0"/>
                <w:color w:val="000000" w:themeColor="text1"/>
                <w:sz w:val="24"/>
                <w:szCs w:val="24"/>
                <w14:textFill>
                  <w14:solidFill>
                    <w14:schemeClr w14:val="tx1"/>
                  </w14:solidFill>
                </w14:textFill>
              </w:rPr>
            </w:pPr>
            <w:r>
              <w:rPr>
                <w:rFonts w:hint="eastAsia" w:ascii="Times New Roman" w:hAnsi="Times New Roman" w:eastAsia="宋体"/>
                <w:b w:val="0"/>
                <w:bCs w:val="0"/>
                <w:color w:val="000000" w:themeColor="text1"/>
                <w:sz w:val="24"/>
                <w:szCs w:val="24"/>
                <w14:textFill>
                  <w14:solidFill>
                    <w14:schemeClr w14:val="tx1"/>
                  </w14:solidFill>
                </w14:textFill>
              </w:rPr>
              <w:t>（5）废机油</w:t>
            </w:r>
          </w:p>
          <w:p>
            <w:pPr>
              <w:adjustRightInd w:val="0"/>
              <w:spacing w:line="360" w:lineRule="auto"/>
              <w:ind w:firstLine="480" w:firstLineChars="200"/>
              <w:contextualSpacing/>
              <w:rPr>
                <w:color w:val="000000" w:themeColor="text1"/>
                <w:sz w:val="24"/>
                <w14:textFill>
                  <w14:solidFill>
                    <w14:schemeClr w14:val="tx1"/>
                  </w14:solidFill>
                </w14:textFill>
              </w:rPr>
            </w:pPr>
            <w:r>
              <w:rPr>
                <w:color w:val="000000" w:themeColor="text1"/>
                <w:sz w:val="24"/>
                <w14:textFill>
                  <w14:solidFill>
                    <w14:schemeClr w14:val="tx1"/>
                  </w14:solidFill>
                </w14:textFill>
              </w:rPr>
              <w:t>工程钻机、柴油发电机等施工机械运转过程中，将产生少量的废机油</w:t>
            </w:r>
            <w:r>
              <w:rPr>
                <w:rFonts w:hint="eastAsia"/>
                <w:color w:val="000000" w:themeColor="text1"/>
                <w:sz w:val="24"/>
                <w:szCs w:val="28"/>
                <w:lang w:eastAsia="zh-CN"/>
                <w14:textFill>
                  <w14:solidFill>
                    <w14:schemeClr w14:val="tx1"/>
                  </w14:solidFill>
                </w14:textFill>
              </w:rPr>
              <w:t>；</w:t>
            </w:r>
            <w:r>
              <w:rPr>
                <w:color w:val="000000" w:themeColor="text1"/>
                <w:sz w:val="24"/>
                <w14:textFill>
                  <w14:solidFill>
                    <w14:schemeClr w14:val="tx1"/>
                  </w14:solidFill>
                </w14:textFill>
              </w:rPr>
              <w:t>根据类比估算，单个钻孔施工期间产生约4kg废机油，</w:t>
            </w:r>
            <w:r>
              <w:rPr>
                <w:rFonts w:hint="eastAsia"/>
                <w:color w:val="000000" w:themeColor="text1"/>
                <w:sz w:val="24"/>
                <w:szCs w:val="28"/>
                <w:lang w:eastAsia="zh-CN"/>
                <w14:textFill>
                  <w14:solidFill>
                    <w14:schemeClr w14:val="tx1"/>
                  </w14:solidFill>
                </w14:textFill>
              </w:rPr>
              <w:t>则202</w:t>
            </w:r>
            <w:r>
              <w:rPr>
                <w:rFonts w:hint="eastAsia"/>
                <w:color w:val="000000" w:themeColor="text1"/>
                <w:sz w:val="24"/>
                <w:szCs w:val="28"/>
                <w:lang w:val="en-US" w:eastAsia="zh-CN"/>
                <w14:textFill>
                  <w14:solidFill>
                    <w14:schemeClr w14:val="tx1"/>
                  </w14:solidFill>
                </w14:textFill>
              </w:rPr>
              <w:t>2</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0.232t</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2023-2026</w:t>
            </w:r>
            <w:r>
              <w:rPr>
                <w:rFonts w:hint="eastAsia"/>
                <w:color w:val="000000" w:themeColor="text1"/>
                <w:sz w:val="24"/>
                <w:szCs w:val="28"/>
                <w:lang w:eastAsia="zh-CN"/>
                <w14:textFill>
                  <w14:solidFill>
                    <w14:schemeClr w14:val="tx1"/>
                  </w14:solidFill>
                </w14:textFill>
              </w:rPr>
              <w:t>年废机油产生量约</w:t>
            </w:r>
            <w:r>
              <w:rPr>
                <w:rFonts w:hint="eastAsia"/>
                <w:color w:val="000000" w:themeColor="text1"/>
                <w:sz w:val="24"/>
                <w:szCs w:val="28"/>
                <w:lang w:val="en-US" w:eastAsia="zh-CN"/>
                <w14:textFill>
                  <w14:solidFill>
                    <w14:schemeClr w14:val="tx1"/>
                  </w14:solidFill>
                </w14:textFill>
              </w:rPr>
              <w:t>0.96t</w:t>
            </w:r>
            <w:r>
              <w:rPr>
                <w:rFonts w:hint="eastAsia"/>
                <w:color w:val="000000" w:themeColor="text1"/>
                <w:sz w:val="24"/>
                <w:szCs w:val="28"/>
                <w:lang w:eastAsia="zh-CN"/>
                <w14:textFill>
                  <w14:solidFill>
                    <w14:schemeClr w14:val="tx1"/>
                  </w14:solidFill>
                </w14:textFill>
              </w:rPr>
              <w:t>。</w:t>
            </w:r>
          </w:p>
          <w:p>
            <w:pPr>
              <w:spacing w:line="360" w:lineRule="auto"/>
              <w:ind w:firstLine="480" w:firstLineChars="200"/>
              <w:rPr>
                <w:color w:val="000000" w:themeColor="text1"/>
                <w:sz w:val="24"/>
                <w:szCs w:val="28"/>
                <w14:textFill>
                  <w14:solidFill>
                    <w14:schemeClr w14:val="tx1"/>
                  </w14:solidFill>
                </w14:textFill>
              </w:rPr>
            </w:pPr>
            <w:r>
              <w:rPr>
                <w:rFonts w:hint="eastAsia"/>
                <w:color w:val="000000" w:themeColor="text1"/>
                <w:sz w:val="24"/>
                <w:szCs w:val="28"/>
                <w14:textFill>
                  <w14:solidFill>
                    <w14:schemeClr w14:val="tx1"/>
                  </w14:solidFill>
                </w14:textFill>
              </w:rPr>
              <w:t>根据《国家危险废物名录</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lang w:val="en-US" w:eastAsia="zh-CN"/>
                <w14:textFill>
                  <w14:solidFill>
                    <w14:schemeClr w14:val="tx1"/>
                  </w14:solidFill>
                </w14:textFill>
              </w:rPr>
              <w:t>2021版</w:t>
            </w:r>
            <w:r>
              <w:rPr>
                <w:rFonts w:hint="eastAsia"/>
                <w:color w:val="000000" w:themeColor="text1"/>
                <w:sz w:val="24"/>
                <w:szCs w:val="28"/>
                <w:lang w:eastAsia="zh-CN"/>
                <w14:textFill>
                  <w14:solidFill>
                    <w14:schemeClr w14:val="tx1"/>
                  </w14:solidFill>
                </w14:textFill>
              </w:rPr>
              <w:t>）</w:t>
            </w:r>
            <w:r>
              <w:rPr>
                <w:rFonts w:hint="eastAsia"/>
                <w:color w:val="000000" w:themeColor="text1"/>
                <w:sz w:val="24"/>
                <w:szCs w:val="28"/>
                <w14:textFill>
                  <w14:solidFill>
                    <w14:schemeClr w14:val="tx1"/>
                  </w14:solidFill>
                </w14:textFill>
              </w:rPr>
              <w:t>》，废机油属于危险废物类别中的废矿物油（HW08），机械保养更换产生的废</w:t>
            </w:r>
            <w:r>
              <w:rPr>
                <w:rFonts w:hint="eastAsia"/>
                <w:color w:val="000000" w:themeColor="text1"/>
                <w:sz w:val="24"/>
                <w:szCs w:val="28"/>
                <w:lang w:val="en-US" w:eastAsia="zh-CN"/>
                <w14:textFill>
                  <w14:solidFill>
                    <w14:schemeClr w14:val="tx1"/>
                  </w14:solidFill>
                </w14:textFill>
              </w:rPr>
              <w:t>机</w:t>
            </w:r>
            <w:r>
              <w:rPr>
                <w:rFonts w:hint="eastAsia"/>
                <w:color w:val="000000" w:themeColor="text1"/>
                <w:sz w:val="24"/>
                <w:szCs w:val="28"/>
                <w14:textFill>
                  <w14:solidFill>
                    <w14:schemeClr w14:val="tx1"/>
                  </w14:solidFill>
                </w14:textFill>
              </w:rPr>
              <w:t>油废物代码为900-2</w:t>
            </w:r>
            <w:r>
              <w:rPr>
                <w:color w:val="000000" w:themeColor="text1"/>
                <w:sz w:val="24"/>
                <w:szCs w:val="28"/>
                <w14:textFill>
                  <w14:solidFill>
                    <w14:schemeClr w14:val="tx1"/>
                  </w14:solidFill>
                </w14:textFill>
              </w:rPr>
              <w:t>49</w:t>
            </w:r>
            <w:r>
              <w:rPr>
                <w:rFonts w:hint="eastAsia"/>
                <w:color w:val="000000" w:themeColor="text1"/>
                <w:sz w:val="24"/>
                <w:szCs w:val="28"/>
                <w14:textFill>
                  <w14:solidFill>
                    <w14:schemeClr w14:val="tx1"/>
                  </w14:solidFill>
                </w14:textFill>
              </w:rPr>
              <w:t>-08，废机油由专用桶收集，</w:t>
            </w:r>
            <w:bookmarkStart w:id="13" w:name="OLE_LINK22"/>
            <w:r>
              <w:rPr>
                <w:rFonts w:hint="eastAsia"/>
                <w:color w:val="000000" w:themeColor="text1"/>
                <w:sz w:val="24"/>
                <w:szCs w:val="28"/>
                <w14:textFill>
                  <w14:solidFill>
                    <w14:schemeClr w14:val="tx1"/>
                  </w14:solidFill>
                </w14:textFill>
              </w:rPr>
              <w:t>地面铺设防渗布，</w:t>
            </w:r>
            <w:bookmarkEnd w:id="13"/>
            <w:r>
              <w:rPr>
                <w:rFonts w:hint="eastAsia"/>
                <w:color w:val="000000" w:themeColor="text1"/>
                <w:sz w:val="24"/>
                <w:szCs w:val="28"/>
                <w14:textFill>
                  <w14:solidFill>
                    <w14:schemeClr w14:val="tx1"/>
                  </w14:solidFill>
                </w14:textFill>
              </w:rPr>
              <w:t>统一收集后交由有危废处理资质的单位处置。</w:t>
            </w:r>
          </w:p>
          <w:p>
            <w:pPr>
              <w:pStyle w:val="28"/>
              <w:numPr>
                <w:ilvl w:val="0"/>
                <w:numId w:val="0"/>
              </w:numPr>
              <w:spacing w:line="360" w:lineRule="auto"/>
              <w:ind w:leftChars="0"/>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5、</w:t>
            </w:r>
            <w:r>
              <w:rPr>
                <w:rFonts w:hint="eastAsia"/>
                <w:b/>
                <w:bCs/>
                <w:color w:val="000000" w:themeColor="text1"/>
                <w:sz w:val="24"/>
                <w14:textFill>
                  <w14:solidFill>
                    <w14:schemeClr w14:val="tx1"/>
                  </w14:solidFill>
                </w14:textFill>
              </w:rPr>
              <w:t>生态影响</w:t>
            </w:r>
          </w:p>
          <w:p>
            <w:pPr>
              <w:pStyle w:val="4"/>
              <w:spacing w:before="0" w:after="0" w:line="360" w:lineRule="auto"/>
              <w:ind w:firstLine="480" w:firstLineChars="200"/>
              <w:rPr>
                <w:rFonts w:ascii="Times New Roman" w:hAnsi="Times New Roman" w:eastAsia="宋体" w:cs="Times New Roman"/>
                <w:b w:val="0"/>
                <w:bCs w:val="0"/>
                <w:color w:val="000000" w:themeColor="text1"/>
                <w:sz w:val="24"/>
                <w:szCs w:val="24"/>
                <w14:textFill>
                  <w14:solidFill>
                    <w14:schemeClr w14:val="tx1"/>
                  </w14:solidFill>
                </w14:textFill>
              </w:rPr>
            </w:pPr>
            <w:r>
              <w:rPr>
                <w:rFonts w:ascii="Times New Roman" w:hAnsi="Times New Roman" w:eastAsia="宋体" w:cs="Times New Roman"/>
                <w:b w:val="0"/>
                <w:bCs w:val="0"/>
                <w:color w:val="000000" w:themeColor="text1"/>
                <w:sz w:val="24"/>
                <w:szCs w:val="24"/>
                <w14:textFill>
                  <w14:solidFill>
                    <w14:schemeClr w14:val="tx1"/>
                  </w14:solidFill>
                </w14:textFill>
              </w:rPr>
              <w:t>（1）占用土地、损坏植被</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color w:val="000000" w:themeColor="text1"/>
                <w:sz w:val="24"/>
                <w14:textFill>
                  <w14:solidFill>
                    <w14:schemeClr w14:val="tx1"/>
                  </w14:solidFill>
                </w14:textFill>
              </w:rPr>
            </w:pPr>
            <w:r>
              <w:rPr>
                <w:color w:val="000000" w:themeColor="text1"/>
                <w:sz w:val="24"/>
                <w:lang w:eastAsia="zh-CN"/>
                <w14:textFill>
                  <w14:solidFill>
                    <w14:schemeClr w14:val="tx1"/>
                  </w14:solidFill>
                </w14:textFill>
              </w:rPr>
              <w:t>平整钻孔场地占用土地和开挖将会对原地貌造成扰动，并破坏占地范围内的地表植被</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58</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则202</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8700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年预计设</w:t>
            </w:r>
            <w:r>
              <w:rPr>
                <w:color w:val="000000" w:themeColor="text1"/>
                <w:sz w:val="24"/>
                <w:lang w:eastAsia="zh-CN"/>
                <w14:textFill>
                  <w14:solidFill>
                    <w14:schemeClr w14:val="tx1"/>
                  </w14:solidFill>
                </w14:textFill>
              </w:rPr>
              <w:t>钻孔</w:t>
            </w:r>
            <w:r>
              <w:rPr>
                <w:rFonts w:hint="eastAsia"/>
                <w:color w:val="000000" w:themeColor="text1"/>
                <w:sz w:val="24"/>
                <w:lang w:val="en-US" w:eastAsia="zh-CN"/>
                <w14:textFill>
                  <w14:solidFill>
                    <w14:schemeClr w14:val="tx1"/>
                  </w14:solidFill>
                </w14:textFill>
              </w:rPr>
              <w:t>240</w:t>
            </w:r>
            <w:r>
              <w:rPr>
                <w:rFonts w:hint="eastAsia"/>
                <w:color w:val="000000" w:themeColor="text1"/>
                <w:sz w:val="24"/>
                <w:lang w:eastAsia="zh-CN"/>
                <w14:textFill>
                  <w14:solidFill>
                    <w14:schemeClr w14:val="tx1"/>
                  </w14:solidFill>
                </w14:textFill>
              </w:rPr>
              <w:t>个，</w:t>
            </w:r>
            <w:r>
              <w:rPr>
                <w:color w:val="000000" w:themeColor="text1"/>
                <w:sz w:val="24"/>
                <w:lang w:eastAsia="zh-CN"/>
                <w14:textFill>
                  <w14:solidFill>
                    <w14:schemeClr w14:val="tx1"/>
                  </w14:solidFill>
                </w14:textFill>
              </w:rPr>
              <w:t>平均每个钻孔</w:t>
            </w:r>
            <w:r>
              <w:rPr>
                <w:rFonts w:hint="eastAsia"/>
                <w:color w:val="000000" w:themeColor="text1"/>
                <w:sz w:val="24"/>
                <w:lang w:eastAsia="zh-CN"/>
                <w14:textFill>
                  <w14:solidFill>
                    <w14:schemeClr w14:val="tx1"/>
                  </w14:solidFill>
                </w14:textFill>
              </w:rPr>
              <w:t>场地</w:t>
            </w:r>
            <w:r>
              <w:rPr>
                <w:color w:val="000000" w:themeColor="text1"/>
                <w:sz w:val="24"/>
                <w:lang w:eastAsia="zh-CN"/>
                <w14:textFill>
                  <w14:solidFill>
                    <w14:schemeClr w14:val="tx1"/>
                  </w14:solidFill>
                </w14:textFill>
              </w:rPr>
              <w:t>占地</w:t>
            </w:r>
            <w:r>
              <w:rPr>
                <w:rFonts w:hint="eastAsia"/>
                <w:color w:val="000000" w:themeColor="text1"/>
                <w:sz w:val="24"/>
                <w:lang w:val="en-US" w:eastAsia="zh-CN"/>
                <w14:textFill>
                  <w14:solidFill>
                    <w14:schemeClr w14:val="tx1"/>
                  </w14:solidFill>
                </w14:textFill>
              </w:rPr>
              <w:t>15</w:t>
            </w:r>
            <w:r>
              <w:rPr>
                <w:rFonts w:hint="eastAsia"/>
                <w:color w:val="000000" w:themeColor="text1"/>
                <w:sz w:val="24"/>
                <w:lang w:eastAsia="zh-CN"/>
                <w14:textFill>
                  <w14:solidFill>
                    <w14:schemeClr w14:val="tx1"/>
                  </w14:solidFill>
                </w14:textFill>
              </w:rPr>
              <w:t>0</w:t>
            </w:r>
            <w:r>
              <w:rPr>
                <w:color w:val="000000" w:themeColor="text1"/>
                <w:sz w:val="24"/>
                <w:lang w:eastAsia="zh-CN"/>
                <w14:textFill>
                  <w14:solidFill>
                    <w14:schemeClr w14:val="tx1"/>
                  </w14:solidFill>
                </w14:textFill>
              </w:rPr>
              <w:t>m</w:t>
            </w:r>
            <w:r>
              <w:rPr>
                <w:color w:val="000000" w:themeColor="text1"/>
                <w:sz w:val="24"/>
                <w:vertAlign w:val="superscript"/>
                <w:lang w:eastAsia="zh-CN"/>
                <w14:textFill>
                  <w14:solidFill>
                    <w14:schemeClr w14:val="tx1"/>
                  </w14:solidFill>
                </w14:textFill>
              </w:rPr>
              <w:t>2</w:t>
            </w:r>
            <w:r>
              <w:rPr>
                <w:color w:val="000000" w:themeColor="text1"/>
                <w:sz w:val="24"/>
                <w:lang w:eastAsia="zh-CN"/>
                <w14:textFill>
                  <w14:solidFill>
                    <w14:schemeClr w14:val="tx1"/>
                  </w14:solidFill>
                </w14:textFill>
              </w:rPr>
              <w:t>，</w:t>
            </w:r>
            <w:r>
              <w:rPr>
                <w:rFonts w:hint="eastAsia"/>
                <w:color w:val="000000" w:themeColor="text1"/>
                <w:sz w:val="24"/>
                <w:lang w:eastAsia="zh-CN"/>
                <w14:textFill>
                  <w14:solidFill>
                    <w14:schemeClr w14:val="tx1"/>
                  </w14:solidFill>
                </w14:textFill>
              </w:rPr>
              <w:t>202</w:t>
            </w:r>
            <w:r>
              <w:rPr>
                <w:rFonts w:hint="eastAsia"/>
                <w:color w:val="000000" w:themeColor="text1"/>
                <w:sz w:val="24"/>
                <w:lang w:val="en-US" w:eastAsia="zh-CN"/>
                <w14:textFill>
                  <w14:solidFill>
                    <w14:schemeClr w14:val="tx1"/>
                  </w14:solidFill>
                </w14:textFill>
              </w:rPr>
              <w:t>3-2026</w:t>
            </w:r>
            <w:r>
              <w:rPr>
                <w:rFonts w:hint="eastAsia"/>
                <w:color w:val="000000" w:themeColor="text1"/>
                <w:sz w:val="24"/>
                <w:lang w:eastAsia="zh-CN"/>
                <w14:textFill>
                  <w14:solidFill>
                    <w14:schemeClr w14:val="tx1"/>
                  </w14:solidFill>
                </w14:textFill>
              </w:rPr>
              <w:t>年</w:t>
            </w:r>
            <w:r>
              <w:rPr>
                <w:color w:val="000000" w:themeColor="text1"/>
                <w:sz w:val="24"/>
                <w:lang w:eastAsia="zh-CN"/>
                <w14:textFill>
                  <w14:solidFill>
                    <w14:schemeClr w14:val="tx1"/>
                  </w14:solidFill>
                </w14:textFill>
              </w:rPr>
              <w:t>共计占地约</w:t>
            </w:r>
            <w:r>
              <w:rPr>
                <w:rFonts w:hint="eastAsia"/>
                <w:color w:val="000000" w:themeColor="text1"/>
                <w:sz w:val="24"/>
                <w:lang w:val="en-US" w:eastAsia="zh-CN"/>
                <w14:textFill>
                  <w14:solidFill>
                    <w14:schemeClr w14:val="tx1"/>
                  </w14:solidFill>
                </w14:textFill>
              </w:rPr>
              <w:t>36000</w:t>
            </w:r>
            <w:r>
              <w:rPr>
                <w:color w:val="000000" w:themeColor="text1"/>
                <w:sz w:val="24"/>
                <w:lang w:eastAsia="zh-CN"/>
                <w14:textFill>
                  <w14:solidFill>
                    <w14:schemeClr w14:val="tx1"/>
                  </w14:solidFill>
                </w14:textFill>
              </w:rPr>
              <w:t>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上述占地</w:t>
            </w:r>
            <w:r>
              <w:rPr>
                <w:color w:val="000000" w:themeColor="text1"/>
                <w:sz w:val="24"/>
                <w:lang w:eastAsia="zh-CN"/>
                <w14:textFill>
                  <w14:solidFill>
                    <w14:schemeClr w14:val="tx1"/>
                  </w14:solidFill>
                </w14:textFill>
              </w:rPr>
              <w:t>均为临时占地，待封孔后进行植被恢复。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（2）野生动物的影响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机械设备噪声、人员的活动等将会对周围局部范围内野生动物的活动和栖息产生一定影响。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（3）景观影响</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地面设施、弃渣堆放等会改变占地范围内形成新的人工堆积地貌，对局部自然景观会造成影响。</w:t>
            </w:r>
          </w:p>
          <w:p>
            <w:pPr>
              <w:pStyle w:val="28"/>
              <w:numPr>
                <w:ilvl w:val="0"/>
                <w:numId w:val="0"/>
              </w:numPr>
              <w:spacing w:line="360" w:lineRule="auto"/>
              <w:ind w:leftChars="0"/>
              <w:rPr>
                <w:rFonts w:hint="eastAsia" w:eastAsia="宋体"/>
                <w:b/>
                <w:bCs/>
                <w:color w:val="000000" w:themeColor="text1"/>
                <w:sz w:val="24"/>
                <w:lang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6、放射性废物</w:t>
            </w:r>
          </w:p>
          <w:p>
            <w:pPr>
              <w:pStyle w:val="28"/>
              <w:numPr>
                <w:ilvl w:val="0"/>
                <w:numId w:val="0"/>
              </w:numPr>
              <w:spacing w:line="360" w:lineRule="auto"/>
              <w:ind w:leftChars="0" w:firstLine="480" w:firstLineChars="200"/>
              <w:rPr>
                <w:color w:val="000000" w:themeColor="text1"/>
                <w:sz w:val="24"/>
                <w14:textFill>
                  <w14:solidFill>
                    <w14:schemeClr w14:val="tx1"/>
                  </w14:solidFill>
                </w14:textFill>
              </w:rPr>
            </w:pPr>
            <w:r>
              <w:rPr>
                <w:color w:val="000000" w:themeColor="text1"/>
                <w:sz w:val="24"/>
                <w:lang w:eastAsia="zh-CN"/>
                <w14:textFill>
                  <w14:solidFill>
                    <w14:schemeClr w14:val="tx1"/>
                  </w14:solidFill>
                </w14:textFill>
              </w:rPr>
              <w:t>项目勘查过程辐射影响主要为岩芯、泥浆中γ放射性射线污染，主要影响为污染源项附近公众因γ辐射造成的外照射剂量、施工过程人体吸入扬尘产生的内照射剂量。因矿中天然铀含量很低，施工过程通过加强施工工作人员卫生防护措施，施工期合理处置泥浆、岩芯等污染，施工期产生的放射性辐射影响较小。</w:t>
            </w:r>
          </w:p>
          <w:p>
            <w:pPr>
              <w:pStyle w:val="28"/>
              <w:spacing w:line="360" w:lineRule="auto"/>
              <w:ind w:firstLine="578" w:firstLineChars="241"/>
              <w:rPr>
                <w:b w:val="0"/>
                <w:bCs w:val="0"/>
                <w:color w:val="000000" w:themeColor="text1"/>
                <w:sz w:val="24"/>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本项目钻井液主要成分为膨润土、腐殖酸钾、纤维素，在钻探过程中，钻井液不与钻孔中含矿层发生化学反应，含矿层中放射性核素不会转移至钻井泥浆中，钻井泥浆中放射性核素U</w:t>
            </w:r>
            <w:r>
              <w:rPr>
                <w:rFonts w:ascii="Times New Roman" w:hAnsi="Times New Roman" w:cs="Times New Roman"/>
                <w:color w:val="000000" w:themeColor="text1"/>
                <w:sz w:val="24"/>
                <w:vertAlign w:val="subscript"/>
                <w:lang w:eastAsia="zh-CN"/>
                <w14:textFill>
                  <w14:solidFill>
                    <w14:schemeClr w14:val="tx1"/>
                  </w14:solidFill>
                </w14:textFill>
              </w:rPr>
              <w:t>天然</w:t>
            </w:r>
            <w:r>
              <w:rPr>
                <w:rFonts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Ra为环境本底水平。为了验证钻井泥浆放射性水平，本次选择内蒙、甘肃、青海、宁夏、新疆、陕西6个省份现有</w:t>
            </w:r>
            <w:r>
              <w:rPr>
                <w:rFonts w:hint="eastAsia" w:cs="Times New Roman"/>
                <w:color w:val="000000" w:themeColor="text1"/>
                <w:sz w:val="24"/>
                <w:lang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内的泥浆样品进行分析类比，其勘查区铀矿品位与本项目相差不大，同为砂岩性铀矿，钻井液成分类似，具有较好的可行性。2022年1月，核工业二〇三研究所分析测试中心对上述6省现有</w:t>
            </w:r>
            <w:r>
              <w:rPr>
                <w:rFonts w:hint="eastAsia" w:cs="Times New Roman"/>
                <w:color w:val="000000" w:themeColor="text1"/>
                <w:sz w:val="24"/>
                <w:lang w:val="en-US" w:eastAsia="zh-CN"/>
                <w14:textFill>
                  <w14:solidFill>
                    <w14:schemeClr w14:val="tx1"/>
                  </w14:solidFill>
                </w14:textFill>
              </w:rPr>
              <w:t>勘查区</w:t>
            </w:r>
            <w:r>
              <w:rPr>
                <w:rFonts w:ascii="Times New Roman" w:hAnsi="Times New Roman" w:cs="Times New Roman"/>
                <w:color w:val="000000" w:themeColor="text1"/>
                <w:sz w:val="24"/>
                <w:lang w:eastAsia="zh-CN"/>
                <w14:textFill>
                  <w14:solidFill>
                    <w14:schemeClr w14:val="tx1"/>
                  </w14:solidFill>
                </w14:textFill>
              </w:rPr>
              <w:t>产生的钻井泥浆进行了取样分析，分析检测结果为：泥浆中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U含量为35.6~97.7Bq/kg，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Ra含量为37.6~62.2Bq/kg。各铀矿地质勘查区钻井泥浆中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Ra含量检测结果均处于其所在省份土壤环境本底值（内蒙：</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U：4.50~87.26Bq/kg、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Ra：7.00~88.32Bq/kg；甘肃：</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U：17.8~200Bq/kg、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Ra：14.4~65.3Bq/kg；青海：</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U：11.9~135.9Bq/kg、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Ra：14.4~107.8Bq/kg；宁夏：</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U：10.2~49.9Bq/kg、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Ra：6.4~72.3Bq/kg；新疆：</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U：5.17~153.7Bq/kg、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Ra：10.93~203.4Bq/kg；陕西：</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U：6.0~163.7Bq/kg、</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Ra：5.0~187.7Bq/kg；）范围内。由此可以类比，本项目钻井泥浆中放射性核素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Ra含量与项目所在地土壤天然环境本底水平调查值处于同一水平。由类比监测结果可知：本项目钻探期间产生钻井泥浆中</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Ra为当地环境本底水平，其放射性核素</w:t>
            </w:r>
            <w:r>
              <w:rPr>
                <w:rFonts w:ascii="Times New Roman" w:hAnsi="Times New Roman" w:cs="Times New Roman"/>
                <w:color w:val="000000" w:themeColor="text1"/>
                <w:sz w:val="24"/>
                <w:vertAlign w:val="superscript"/>
                <w:lang w:eastAsia="zh-CN"/>
                <w14:textFill>
                  <w14:solidFill>
                    <w14:schemeClr w14:val="tx1"/>
                  </w14:solidFill>
                </w14:textFill>
              </w:rPr>
              <w:t>238</w:t>
            </w:r>
            <w:r>
              <w:rPr>
                <w:rFonts w:ascii="Times New Roman" w:hAnsi="Times New Roman" w:cs="Times New Roman"/>
                <w:color w:val="000000" w:themeColor="text1"/>
                <w:sz w:val="24"/>
                <w:lang w:eastAsia="zh-CN"/>
                <w14:textFill>
                  <w14:solidFill>
                    <w14:schemeClr w14:val="tx1"/>
                  </w14:solidFill>
                </w14:textFill>
              </w:rPr>
              <w:t>U、</w:t>
            </w:r>
            <w:r>
              <w:rPr>
                <w:rFonts w:ascii="Times New Roman" w:hAnsi="Times New Roman" w:cs="Times New Roman"/>
                <w:color w:val="000000" w:themeColor="text1"/>
                <w:sz w:val="24"/>
                <w:vertAlign w:val="superscript"/>
                <w:lang w:eastAsia="zh-CN"/>
                <w14:textFill>
                  <w14:solidFill>
                    <w14:schemeClr w14:val="tx1"/>
                  </w14:solidFill>
                </w14:textFill>
              </w:rPr>
              <w:t>226</w:t>
            </w:r>
            <w:r>
              <w:rPr>
                <w:rFonts w:ascii="Times New Roman" w:hAnsi="Times New Roman" w:cs="Times New Roman"/>
                <w:color w:val="000000" w:themeColor="text1"/>
                <w:sz w:val="24"/>
                <w:lang w:eastAsia="zh-CN"/>
                <w14:textFill>
                  <w14:solidFill>
                    <w14:schemeClr w14:val="tx1"/>
                  </w14:solidFill>
                </w14:textFill>
              </w:rPr>
              <w:t>Ra含量小于《可免于辐射防护监管的物料中放射性核素活度浓度》（GB27742-2011）规定免管浓度1Bq/g，可作一般固体废物处理。</w:t>
            </w:r>
          </w:p>
          <w:p>
            <w:pPr>
              <w:pStyle w:val="28"/>
              <w:numPr>
                <w:ilvl w:val="0"/>
                <w:numId w:val="0"/>
              </w:numPr>
              <w:spacing w:line="360" w:lineRule="auto"/>
              <w:ind w:leftChars="0" w:firstLine="482" w:firstLineChars="200"/>
              <w:rPr>
                <w:rFonts w:hint="eastAsia"/>
                <w:b/>
                <w:bCs/>
                <w:color w:val="000000" w:themeColor="text1"/>
                <w:sz w:val="24"/>
                <w:lang w:val="en-US" w:eastAsia="zh-CN"/>
                <w14:textFill>
                  <w14:solidFill>
                    <w14:schemeClr w14:val="tx1"/>
                  </w14:solidFill>
                </w14:textFill>
              </w:rPr>
            </w:pPr>
          </w:p>
          <w:p>
            <w:pPr>
              <w:pStyle w:val="4"/>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rPr>
                <w:color w:val="000000" w:themeColor="text1"/>
                <w:sz w:val="24"/>
                <w14:textFill>
                  <w14:solidFill>
                    <w14:schemeClr w14:val="tx1"/>
                  </w14:solidFill>
                </w14:textFill>
              </w:rPr>
            </w:pPr>
          </w:p>
          <w:p>
            <w:pPr>
              <w:pStyle w:val="4"/>
              <w:rPr>
                <w:color w:val="000000" w:themeColor="text1"/>
                <w14:textFill>
                  <w14:solidFill>
                    <w14:schemeClr w14:val="tx1"/>
                  </w14:solidFill>
                </w14:textFill>
              </w:rPr>
            </w:pPr>
          </w:p>
          <w:p>
            <w:pPr>
              <w:spacing w:line="360" w:lineRule="auto"/>
              <w:rPr>
                <w:rFonts w:eastAsia="黑体"/>
                <w:color w:val="000000" w:themeColor="text1"/>
                <w:sz w:val="28"/>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4" w:name="_Toc3795902"/>
      <w:r>
        <w:rPr>
          <w:rFonts w:hint="eastAsia" w:eastAsia="黑体"/>
          <w:color w:val="000000" w:themeColor="text1"/>
          <w:sz w:val="32"/>
          <w:lang w:val="en-US" w:eastAsia="zh-CN"/>
          <w14:textFill>
            <w14:solidFill>
              <w14:schemeClr w14:val="tx1"/>
            </w14:solidFill>
          </w14:textFill>
        </w:rPr>
        <w:t>七、</w:t>
      </w:r>
      <w:r>
        <w:rPr>
          <w:rFonts w:eastAsia="黑体"/>
          <w:color w:val="000000" w:themeColor="text1"/>
          <w:sz w:val="32"/>
          <w14:textFill>
            <w14:solidFill>
              <w14:schemeClr w14:val="tx1"/>
            </w14:solidFill>
          </w14:textFill>
        </w:rPr>
        <w:t>项目主</w:t>
      </w:r>
      <w:bookmarkEnd w:id="14"/>
      <w:r>
        <w:rPr>
          <w:rFonts w:eastAsia="黑体"/>
          <w:color w:val="000000" w:themeColor="text1"/>
          <w:sz w:val="32"/>
          <w14:textFill>
            <w14:solidFill>
              <w14:schemeClr w14:val="tx1"/>
            </w14:solidFill>
          </w14:textFill>
        </w:rPr>
        <w:t>要污染物产生及预计排放情况</w:t>
      </w:r>
    </w:p>
    <w:tbl>
      <w:tblPr>
        <w:tblStyle w:val="14"/>
        <w:tblW w:w="490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76"/>
        <w:gridCol w:w="1582"/>
        <w:gridCol w:w="1334"/>
        <w:gridCol w:w="2681"/>
        <w:gridCol w:w="340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right"/>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内容</w:t>
            </w:r>
          </w:p>
          <w:p>
            <w:pPr>
              <w:ind w:left="-210" w:leftChars="-100"/>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类型</w:t>
            </w:r>
          </w:p>
        </w:tc>
        <w:tc>
          <w:tcPr>
            <w:tcW w:w="809"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排放源</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(编号)</w:t>
            </w:r>
          </w:p>
        </w:tc>
        <w:tc>
          <w:tcPr>
            <w:tcW w:w="682"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污染物</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名称</w:t>
            </w:r>
          </w:p>
        </w:tc>
        <w:tc>
          <w:tcPr>
            <w:tcW w:w="1371"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处理前产生浓度及产生量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c>
          <w:tcPr>
            <w:tcW w:w="1738" w:type="pct"/>
            <w:tcBorders>
              <w:tl2br w:val="nil"/>
              <w:tr2bl w:val="nil"/>
            </w:tcBorders>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排放浓度及排放量</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（单位）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施工</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w:t>
            </w:r>
          </w:p>
        </w:tc>
        <w:tc>
          <w:tcPr>
            <w:tcW w:w="2681"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0.45</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6.67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0.45</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X</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1.613t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41.67</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rFonts w:hint="eastAsia"/>
                <w:color w:val="000000" w:themeColor="text1"/>
                <w:szCs w:val="21"/>
                <w:vertAlign w:val="superscript"/>
                <w:lang w:val="en-US" w:eastAsia="zh-CN"/>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1.613t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9"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2.52</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11.11</w:t>
            </w:r>
            <w:r>
              <w:rPr>
                <w:rFonts w:hint="eastAsia"/>
                <w:color w:val="000000" w:themeColor="text1"/>
                <w:szCs w:val="21"/>
                <w14:textFill>
                  <w14:solidFill>
                    <w14:schemeClr w14:val="tx1"/>
                  </w14:solidFill>
                </w14:textFill>
              </w:rPr>
              <w:t>mg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2.52</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CO</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0.945</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0.945</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总烃</w:t>
            </w:r>
          </w:p>
        </w:tc>
        <w:tc>
          <w:tcPr>
            <w:tcW w:w="2681"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0.938</w:t>
            </w:r>
            <w:r>
              <w:rPr>
                <w:rFonts w:hint="eastAsia"/>
                <w:color w:val="000000" w:themeColor="text1"/>
                <w:szCs w:val="21"/>
                <w14:textFill>
                  <w14:solidFill>
                    <w14:schemeClr w14:val="tx1"/>
                  </w14:solidFill>
                </w14:textFill>
              </w:rPr>
              <w:t>t</w:t>
            </w:r>
          </w:p>
        </w:tc>
        <w:tc>
          <w:tcPr>
            <w:tcW w:w="3406" w:type="dxa"/>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25mg/m</w:t>
            </w:r>
            <w:r>
              <w:rPr>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0.938</w:t>
            </w:r>
            <w:r>
              <w:rPr>
                <w:rFonts w:hint="eastAsia"/>
                <w:color w:val="000000" w:themeColor="text1"/>
                <w:szCs w:val="21"/>
                <w14:textFill>
                  <w14:solidFill>
                    <w14:schemeClr w14:val="tx1"/>
                  </w14:solidFill>
                </w14:textFill>
              </w:rPr>
              <w:t>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钻探平整场地</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扬尘</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无组织排放，</w:t>
            </w:r>
            <w:r>
              <w:rPr>
                <w:color w:val="000000" w:themeColor="text1"/>
                <w:szCs w:val="21"/>
                <w14:textFill>
                  <w14:solidFill>
                    <w14:schemeClr w14:val="tx1"/>
                  </w14:solidFill>
                </w14:textFill>
              </w:rPr>
              <w:t>少量</w:t>
            </w:r>
          </w:p>
        </w:tc>
        <w:tc>
          <w:tcPr>
            <w:tcW w:w="1738" w:type="pc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洒水抑尘，达标排放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水</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物</w:t>
            </w:r>
          </w:p>
        </w:tc>
        <w:tc>
          <w:tcPr>
            <w:tcW w:w="809"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生活污水</w:t>
            </w: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COD</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350mg/L，</w:t>
            </w:r>
            <w:r>
              <w:rPr>
                <w:rFonts w:hint="eastAsia"/>
                <w:color w:val="000000" w:themeColor="text1"/>
                <w:szCs w:val="21"/>
                <w:lang w:val="en-US" w:eastAsia="zh-CN"/>
                <w14:textFill>
                  <w14:solidFill>
                    <w14:schemeClr w14:val="tx1"/>
                  </w14:solidFill>
                </w14:textFill>
              </w:rPr>
              <w:t>1.792</w:t>
            </w:r>
            <w:r>
              <w:rPr>
                <w:rFonts w:hint="eastAsia"/>
                <w:color w:val="000000" w:themeColor="text1"/>
                <w:szCs w:val="21"/>
                <w14:textFill>
                  <w14:solidFill>
                    <w14:schemeClr w14:val="tx1"/>
                  </w14:solidFill>
                </w14:textFill>
              </w:rPr>
              <w:t>t</w:t>
            </w:r>
          </w:p>
        </w:tc>
        <w:tc>
          <w:tcPr>
            <w:tcW w:w="3406" w:type="dxa"/>
            <w:vMerge w:val="restart"/>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生活污水主要为盥洗水，沉淀处理后用于</w:t>
            </w:r>
            <w:r>
              <w:rPr>
                <w:rFonts w:hint="eastAsia" w:ascii="Times New Roman" w:cs="Times New Roman"/>
                <w:color w:val="000000" w:themeColor="text1"/>
                <w:sz w:val="21"/>
                <w:szCs w:val="21"/>
                <w:lang w:eastAsia="zh-CN"/>
                <w14:textFill>
                  <w14:solidFill>
                    <w14:schemeClr w14:val="tx1"/>
                  </w14:solidFill>
                </w14:textFill>
              </w:rPr>
              <w:t>防尘洒水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BOD</w:t>
            </w:r>
            <w:r>
              <w:rPr>
                <w:color w:val="000000" w:themeColor="text1"/>
                <w:szCs w:val="21"/>
                <w:vertAlign w:val="subscript"/>
                <w14:textFill>
                  <w14:solidFill>
                    <w14:schemeClr w14:val="tx1"/>
                  </w14:solidFill>
                </w14:textFill>
              </w:rPr>
              <w:t>5</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250mg/L，</w:t>
            </w:r>
            <w:r>
              <w:rPr>
                <w:rFonts w:hint="eastAsia"/>
                <w:color w:val="000000" w:themeColor="text1"/>
                <w:szCs w:val="21"/>
                <w:lang w:val="en-US" w:eastAsia="zh-CN"/>
                <w14:textFill>
                  <w14:solidFill>
                    <w14:schemeClr w14:val="tx1"/>
                  </w14:solidFill>
                </w14:textFill>
              </w:rPr>
              <w:t>1.28</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jc w:val="left"/>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氨氮</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30mg/L，</w:t>
            </w:r>
            <w:r>
              <w:rPr>
                <w:rFonts w:hint="eastAsia"/>
                <w:color w:val="000000" w:themeColor="text1"/>
                <w:szCs w:val="21"/>
                <w:lang w:val="en-US" w:eastAsia="zh-CN"/>
                <w14:textFill>
                  <w14:solidFill>
                    <w14:schemeClr w14:val="tx1"/>
                  </w14:solidFill>
                </w14:textFill>
              </w:rPr>
              <w:t>0.154</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jc w:val="left"/>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682"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SS</w:t>
            </w:r>
          </w:p>
        </w:tc>
        <w:tc>
          <w:tcPr>
            <w:tcW w:w="1371"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150mg/L，</w:t>
            </w:r>
            <w:r>
              <w:rPr>
                <w:rFonts w:hint="eastAsia"/>
                <w:color w:val="000000" w:themeColor="text1"/>
                <w:szCs w:val="21"/>
                <w:lang w:val="en-US" w:eastAsia="zh-CN"/>
                <w14:textFill>
                  <w14:solidFill>
                    <w14:schemeClr w14:val="tx1"/>
                  </w14:solidFill>
                </w14:textFill>
              </w:rPr>
              <w:t>0.768</w:t>
            </w:r>
            <w:r>
              <w:rPr>
                <w:rFonts w:hint="eastAsia"/>
                <w:color w:val="000000" w:themeColor="text1"/>
                <w:szCs w:val="21"/>
                <w14:textFill>
                  <w14:solidFill>
                    <w14:schemeClr w14:val="tx1"/>
                  </w14:solidFill>
                </w14:textFill>
              </w:rPr>
              <w:t>t</w:t>
            </w:r>
          </w:p>
        </w:tc>
        <w:tc>
          <w:tcPr>
            <w:tcW w:w="1738" w:type="pct"/>
            <w:vMerge w:val="continue"/>
            <w:tcBorders>
              <w:tl2br w:val="nil"/>
              <w:tr2bl w:val="nil"/>
            </w:tcBorders>
            <w:vAlign w:val="center"/>
          </w:tcPr>
          <w:p>
            <w:pPr>
              <w:jc w:val="left"/>
              <w:rPr>
                <w:color w:val="000000" w:themeColor="text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生产废水</w:t>
            </w:r>
          </w:p>
        </w:tc>
        <w:tc>
          <w:tcPr>
            <w:tcW w:w="682" w:type="pct"/>
            <w:tcBorders>
              <w:tl2br w:val="nil"/>
              <w:tr2bl w:val="nil"/>
            </w:tcBorders>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SS</w:t>
            </w:r>
          </w:p>
        </w:tc>
        <w:tc>
          <w:tcPr>
            <w:tcW w:w="1371" w:type="pct"/>
            <w:tcBorders>
              <w:tl2br w:val="nil"/>
              <w:tr2bl w:val="nil"/>
            </w:tcBorders>
            <w:vAlign w:val="center"/>
          </w:tcPr>
          <w:p>
            <w:pPr>
              <w:widowControl/>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1500mg/L</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3.296</w:t>
            </w:r>
            <w:r>
              <w:rPr>
                <w:color w:val="000000" w:themeColor="text1"/>
                <w:szCs w:val="21"/>
                <w14:textFill>
                  <w14:solidFill>
                    <w14:schemeClr w14:val="tx1"/>
                  </w14:solidFill>
                </w14:textFill>
              </w:rPr>
              <w:t>t</w:t>
            </w:r>
          </w:p>
        </w:tc>
        <w:tc>
          <w:tcPr>
            <w:tcW w:w="3406"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hint="eastAsia" w:ascii="Times New Roman" w:cs="Times New Roman"/>
                <w:color w:val="000000" w:themeColor="text1"/>
                <w:sz w:val="21"/>
                <w:szCs w:val="21"/>
                <w:lang w:eastAsia="zh-CN"/>
                <w14:textFill>
                  <w14:solidFill>
                    <w14:schemeClr w14:val="tx1"/>
                  </w14:solidFill>
                </w14:textFill>
              </w:rPr>
              <w:t>钻井</w:t>
            </w:r>
            <w:r>
              <w:rPr>
                <w:rFonts w:ascii="Times New Roman" w:cs="Times New Roman"/>
                <w:color w:val="000000" w:themeColor="text1"/>
                <w:sz w:val="21"/>
                <w:szCs w:val="21"/>
                <w:lang w:eastAsia="zh-CN"/>
                <w14:textFill>
                  <w14:solidFill>
                    <w14:schemeClr w14:val="tx1"/>
                  </w14:solidFill>
                </w14:textFill>
              </w:rPr>
              <w:t>泥浆池中的上清液循环使用，</w:t>
            </w:r>
            <w:r>
              <w:rPr>
                <w:rFonts w:hint="eastAsia" w:ascii="Times New Roman" w:cs="Times New Roman"/>
                <w:color w:val="000000" w:themeColor="text1"/>
                <w:sz w:val="21"/>
                <w:szCs w:val="21"/>
                <w:lang w:eastAsia="zh-CN"/>
                <w14:textFill>
                  <w14:solidFill>
                    <w14:schemeClr w14:val="tx1"/>
                  </w14:solidFill>
                </w14:textFill>
              </w:rPr>
              <w:t>过程需补充一定消耗水量，</w:t>
            </w:r>
            <w:r>
              <w:rPr>
                <w:rFonts w:ascii="Times New Roman" w:cs="Times New Roman"/>
                <w:color w:val="000000" w:themeColor="text1"/>
                <w:sz w:val="21"/>
                <w:szCs w:val="21"/>
                <w:lang w:eastAsia="zh-CN"/>
                <w14:textFill>
                  <w14:solidFill>
                    <w14:schemeClr w14:val="tx1"/>
                  </w14:solidFill>
                </w14:textFill>
              </w:rPr>
              <w:t>废水全部循环</w:t>
            </w:r>
            <w:r>
              <w:rPr>
                <w:rFonts w:hint="eastAsia" w:ascii="Times New Roman" w:cs="Times New Roman"/>
                <w:color w:val="000000" w:themeColor="text1"/>
                <w:sz w:val="21"/>
                <w:szCs w:val="21"/>
                <w:lang w:eastAsia="zh-CN"/>
                <w14:textFill>
                  <w14:solidFill>
                    <w14:schemeClr w14:val="tx1"/>
                  </w14:solidFill>
                </w14:textFill>
              </w:rPr>
              <w:t>，不外排。设备冲洗废水</w:t>
            </w:r>
            <w:r>
              <w:rPr>
                <w:rFonts w:ascii="Times New Roman" w:cs="Times New Roman"/>
                <w:color w:val="000000" w:themeColor="text1"/>
                <w:sz w:val="21"/>
                <w:szCs w:val="21"/>
                <w:lang w:eastAsia="zh-CN"/>
                <w14:textFill>
                  <w14:solidFill>
                    <w14:schemeClr w14:val="tx1"/>
                  </w14:solidFill>
                </w14:textFill>
              </w:rPr>
              <w:t>进入泥浆池沉淀自然干化，不外排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restar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固体</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废物</w:t>
            </w:r>
          </w:p>
        </w:tc>
        <w:tc>
          <w:tcPr>
            <w:tcW w:w="1584" w:type="dxa"/>
            <w:vMerge w:val="restart"/>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w:t>
            </w: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921.81t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进入防渗泥浆池，钻孔完毕干化处理后填埋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岩芯</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682.5t</w:t>
            </w:r>
          </w:p>
        </w:tc>
        <w:tc>
          <w:tcPr>
            <w:tcW w:w="3400" w:type="dxa"/>
            <w:tcBorders>
              <w:tl2br w:val="nil"/>
              <w:tr2bl w:val="nil"/>
            </w:tcBorders>
            <w:vAlign w:val="center"/>
          </w:tcPr>
          <w:p>
            <w:pPr>
              <w:autoSpaceDE/>
              <w:autoSpaceDN/>
              <w:spacing w:line="280" w:lineRule="exact"/>
              <w:jc w:val="left"/>
              <w:rPr>
                <w:rFonts w:hint="eastAsia"/>
                <w:color w:val="000000" w:themeColor="text1"/>
                <w:szCs w:val="21"/>
                <w:lang w:eastAsia="zh-CN"/>
                <w14:textFill>
                  <w14:solidFill>
                    <w14:schemeClr w14:val="tx1"/>
                  </w14:solidFill>
                </w14:textFill>
              </w:rPr>
            </w:pPr>
            <w:r>
              <w:rPr>
                <w:rFonts w:hint="eastAsia"/>
                <w:color w:val="000000" w:themeColor="text1"/>
                <w:szCs w:val="21"/>
                <w:lang w:eastAsia="zh-CN"/>
                <w14:textFill>
                  <w14:solidFill>
                    <w14:schemeClr w14:val="tx1"/>
                  </w14:solidFill>
                </w14:textFill>
              </w:rPr>
              <w:t>矿段岩芯放置在岩芯库内，后期带回分析、化验；非矿段岩芯放置在</w:t>
            </w:r>
          </w:p>
          <w:p>
            <w:pPr>
              <w:adjustRightInd w:val="0"/>
              <w:snapToGrid w:val="0"/>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岩芯池内，就地填埋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widowControl/>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剥离表土</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4470m</w:t>
            </w:r>
            <w:r>
              <w:rPr>
                <w:rFonts w:hint="eastAsia"/>
                <w:color w:val="000000" w:themeColor="text1"/>
                <w:szCs w:val="21"/>
                <w:vertAlign w:val="superscript"/>
                <w:lang w:val="en-US" w:eastAsia="zh-CN"/>
                <w14:textFill>
                  <w14:solidFill>
                    <w14:schemeClr w14:val="tx1"/>
                  </w14:solidFill>
                </w14:textFill>
              </w:rPr>
              <w:t>3</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表土就近堆放于钻孔平台附近，待封孔后用于植被恢复，平整场地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809"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334" w:type="dxa"/>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废</w:t>
            </w:r>
            <w:r>
              <w:rPr>
                <w:rFonts w:hint="eastAsia"/>
                <w:color w:val="000000" w:themeColor="text1"/>
                <w:szCs w:val="21"/>
                <w:lang w:val="en-US" w:eastAsia="zh-CN"/>
                <w14:textFill>
                  <w14:solidFill>
                    <w14:schemeClr w14:val="tx1"/>
                  </w14:solidFill>
                </w14:textFill>
              </w:rPr>
              <w:t>机</w:t>
            </w:r>
            <w:r>
              <w:rPr>
                <w:rFonts w:hint="eastAsia"/>
                <w:color w:val="000000" w:themeColor="text1"/>
                <w:szCs w:val="21"/>
                <w14:textFill>
                  <w14:solidFill>
                    <w14:schemeClr w14:val="tx1"/>
                  </w14:solidFill>
                </w14:textFill>
              </w:rPr>
              <w:t>油</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1.192t</w:t>
            </w:r>
          </w:p>
        </w:tc>
        <w:tc>
          <w:tcPr>
            <w:tcW w:w="3400" w:type="dxa"/>
            <w:tcBorders>
              <w:tl2br w:val="nil"/>
              <w:tr2bl w:val="nil"/>
            </w:tcBorders>
            <w:vAlign w:val="center"/>
          </w:tcPr>
          <w:p>
            <w:pPr>
              <w:autoSpaceDE/>
              <w:autoSpaceDN/>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建设单位收集后交有资质单位处置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vMerge w:val="continue"/>
            <w:tcBorders>
              <w:tl2br w:val="nil"/>
              <w:tr2bl w:val="nil"/>
            </w:tcBorders>
            <w:vAlign w:val="center"/>
          </w:tcPr>
          <w:p>
            <w:pPr>
              <w:jc w:val="center"/>
              <w:rPr>
                <w:color w:val="000000" w:themeColor="text1"/>
                <w:szCs w:val="21"/>
                <w14:textFill>
                  <w14:solidFill>
                    <w14:schemeClr w14:val="tx1"/>
                  </w14:solidFill>
                </w14:textFill>
              </w:rPr>
            </w:pPr>
          </w:p>
        </w:tc>
        <w:tc>
          <w:tcPr>
            <w:tcW w:w="1584" w:type="dxa"/>
            <w:tcBorders>
              <w:tl2br w:val="nil"/>
              <w:tr2bl w:val="nil"/>
            </w:tcBorders>
            <w:vAlign w:val="center"/>
          </w:tcPr>
          <w:p>
            <w:pPr>
              <w:widowControl/>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w:t>
            </w:r>
            <w:r>
              <w:rPr>
                <w:rFonts w:hint="eastAsia" w:cs="宋体"/>
                <w:color w:val="000000" w:themeColor="text1"/>
                <w:szCs w:val="21"/>
                <w14:textFill>
                  <w14:solidFill>
                    <w14:schemeClr w14:val="tx1"/>
                  </w14:solidFill>
                </w14:textFill>
              </w:rPr>
              <w:t>人员</w:t>
            </w:r>
          </w:p>
        </w:tc>
        <w:tc>
          <w:tcPr>
            <w:tcW w:w="68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生活垃圾</w:t>
            </w:r>
          </w:p>
        </w:tc>
        <w:tc>
          <w:tcPr>
            <w:tcW w:w="1371" w:type="pct"/>
            <w:tcBorders>
              <w:tl2br w:val="nil"/>
              <w:tr2bl w:val="nil"/>
            </w:tcBorders>
            <w:vAlign w:val="center"/>
          </w:tcPr>
          <w:p>
            <w:pPr>
              <w:widowControl/>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40t</w:t>
            </w:r>
          </w:p>
        </w:tc>
        <w:tc>
          <w:tcPr>
            <w:tcW w:w="3400" w:type="dxa"/>
            <w:tcBorders>
              <w:tl2br w:val="nil"/>
              <w:tr2bl w:val="nil"/>
            </w:tcBorders>
            <w:vAlign w:val="center"/>
          </w:tcPr>
          <w:p>
            <w:pPr>
              <w:adjustRightInd w:val="0"/>
              <w:snapToGrid w:val="0"/>
              <w:jc w:val="left"/>
              <w:rPr>
                <w:color w:val="000000" w:themeColor="text1"/>
                <w:szCs w:val="21"/>
                <w14:textFill>
                  <w14:solidFill>
                    <w14:schemeClr w14:val="tx1"/>
                  </w14:solidFill>
                </w14:textFill>
              </w:rPr>
            </w:pPr>
            <w:r>
              <w:rPr>
                <w:rFonts w:ascii="Times New Roman" w:cs="Times New Roman"/>
                <w:color w:val="000000" w:themeColor="text1"/>
                <w:sz w:val="21"/>
                <w:szCs w:val="21"/>
                <w:lang w:eastAsia="zh-CN"/>
                <w14:textFill>
                  <w14:solidFill>
                    <w14:schemeClr w14:val="tx1"/>
                  </w14:solidFill>
                </w14:textFill>
              </w:rPr>
              <w:t>钻探</w:t>
            </w:r>
            <w:r>
              <w:rPr>
                <w:rFonts w:hint="eastAsia" w:ascii="Times New Roman" w:cs="Times New Roman"/>
                <w:color w:val="000000" w:themeColor="text1"/>
                <w:sz w:val="21"/>
                <w:szCs w:val="21"/>
                <w:lang w:eastAsia="zh-CN"/>
                <w14:textFill>
                  <w14:solidFill>
                    <w14:schemeClr w14:val="tx1"/>
                  </w14:solidFill>
                </w14:textFill>
              </w:rPr>
              <w:t>勘查区</w:t>
            </w:r>
            <w:r>
              <w:rPr>
                <w:rFonts w:ascii="Times New Roman" w:cs="Times New Roman"/>
                <w:color w:val="000000" w:themeColor="text1"/>
                <w:sz w:val="21"/>
                <w:szCs w:val="21"/>
                <w:lang w:eastAsia="zh-CN"/>
                <w14:textFill>
                  <w14:solidFill>
                    <w14:schemeClr w14:val="tx1"/>
                  </w14:solidFill>
                </w14:textFill>
              </w:rPr>
              <w:t>生活垃圾用垃圾袋带回</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w:t>
            </w:r>
            <w:r>
              <w:rPr>
                <w:rFonts w:hint="eastAsia" w:ascii="Times New Roman" w:cs="Times New Roman"/>
                <w:color w:val="000000" w:themeColor="text1"/>
                <w:sz w:val="21"/>
                <w:szCs w:val="21"/>
                <w:lang w:eastAsia="zh-CN"/>
                <w14:textFill>
                  <w14:solidFill>
                    <w14:schemeClr w14:val="tx1"/>
                  </w14:solidFill>
                </w14:textFill>
              </w:rPr>
              <w:t>项目部</w:t>
            </w:r>
            <w:r>
              <w:rPr>
                <w:rFonts w:ascii="Times New Roman" w:cs="Times New Roman"/>
                <w:color w:val="000000" w:themeColor="text1"/>
                <w:sz w:val="21"/>
                <w:szCs w:val="21"/>
                <w:lang w:eastAsia="zh-CN"/>
                <w14:textFill>
                  <w14:solidFill>
                    <w14:schemeClr w14:val="tx1"/>
                  </w14:solidFill>
                </w14:textFill>
              </w:rPr>
              <w:t>设垃圾桶进行收集，定期送往乡镇垃圾堆放点，由当地环卫部门清理处置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4602" w:type="pct"/>
            <w:gridSpan w:val="4"/>
            <w:tcBorders>
              <w:tl2br w:val="nil"/>
              <w:tr2bl w:val="nil"/>
            </w:tcBorders>
            <w:vAlign w:val="center"/>
          </w:tcPr>
          <w:p>
            <w:pPr>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固定性声源主要有钻探机组、柴油发电机、泥浆泵、渣浆泵及泥浆搅拌机，噪声级一般65～95dB（A），须采取有效噪声控制措施使敏感目标处满足《声环境质量标准》</w:t>
            </w:r>
            <w:r>
              <w:rPr>
                <w:rFonts w:hint="eastAsia"/>
                <w:color w:val="000000" w:themeColor="text1"/>
                <w:szCs w:val="21"/>
                <w:lang w:eastAsia="zh-CN"/>
                <w14:textFill>
                  <w14:solidFill>
                    <w14:schemeClr w14:val="tx1"/>
                  </w14:solidFill>
                </w14:textFill>
              </w:rPr>
              <w:t>（</w:t>
            </w:r>
            <w:r>
              <w:rPr>
                <w:rFonts w:hint="eastAsia"/>
                <w:color w:val="000000" w:themeColor="text1"/>
                <w:szCs w:val="21"/>
                <w14:textFill>
                  <w14:solidFill>
                    <w14:schemeClr w14:val="tx1"/>
                  </w14:solidFill>
                </w14:textFill>
              </w:rPr>
              <w:t>GB12348-2008</w:t>
            </w:r>
            <w:r>
              <w:rPr>
                <w:rFonts w:hint="eastAsia"/>
                <w:color w:val="000000" w:themeColor="text1"/>
                <w:szCs w:val="21"/>
                <w:lang w:eastAsia="zh-CN"/>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5"/>
            <w:tcBorders>
              <w:tl2br w:val="nil"/>
              <w:tr2bl w:val="nil"/>
            </w:tcBorders>
          </w:tcPr>
          <w:p>
            <w:pPr>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主要生态影响（不够时可附另页）：</w:t>
            </w:r>
          </w:p>
          <w:p>
            <w:pPr>
              <w:pStyle w:val="27"/>
              <w:keepNext w:val="0"/>
              <w:keepLines w:val="0"/>
              <w:pageBreakBefore w:val="0"/>
              <w:widowControl w:val="0"/>
              <w:kinsoku/>
              <w:wordWrap/>
              <w:overflowPunct/>
              <w:topLinePunct w:val="0"/>
              <w:bidi w:val="0"/>
              <w:snapToGrid/>
              <w:spacing w:line="360" w:lineRule="auto"/>
              <w:ind w:left="105" w:right="66" w:firstLine="480"/>
              <w:textAlignment w:val="auto"/>
              <w:rPr>
                <w:color w:val="000000" w:themeColor="text1"/>
                <w:szCs w:val="21"/>
                <w14:textFill>
                  <w14:solidFill>
                    <w14:schemeClr w14:val="tx1"/>
                  </w14:solidFill>
                </w14:textFill>
              </w:rPr>
            </w:pPr>
            <w:r>
              <w:rPr>
                <w:color w:val="000000" w:themeColor="text1"/>
                <w:lang w:eastAsia="zh-CN"/>
                <w14:textFill>
                  <w14:solidFill>
                    <w14:schemeClr w14:val="tx1"/>
                  </w14:solidFill>
                </w14:textFill>
              </w:rPr>
              <w:t>在</w:t>
            </w:r>
            <w:r>
              <w:rPr>
                <w:rFonts w:hint="eastAsia"/>
                <w:color w:val="000000" w:themeColor="text1"/>
                <w:lang w:eastAsia="zh-CN"/>
                <w14:textFill>
                  <w14:solidFill>
                    <w14:schemeClr w14:val="tx1"/>
                  </w14:solidFill>
                </w14:textFill>
              </w:rPr>
              <w:t>勘查</w:t>
            </w:r>
            <w:r>
              <w:rPr>
                <w:color w:val="000000" w:themeColor="text1"/>
                <w:lang w:eastAsia="zh-CN"/>
                <w14:textFill>
                  <w14:solidFill>
                    <w14:schemeClr w14:val="tx1"/>
                  </w14:solidFill>
                </w14:textFill>
              </w:rPr>
              <w:t>间，平整钻孔场地，钻井施工会对生态环境产生一定的影响，主要影响为占用土地，破坏地表植被及原有土层等。</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15" w:name="_Toc3795903"/>
      <w:r>
        <w:rPr>
          <w:rFonts w:hint="eastAsia" w:eastAsia="黑体"/>
          <w:color w:val="000000" w:themeColor="text1"/>
          <w:sz w:val="32"/>
          <w:lang w:val="en-US" w:eastAsia="zh-CN"/>
          <w14:textFill>
            <w14:solidFill>
              <w14:schemeClr w14:val="tx1"/>
            </w14:solidFill>
          </w14:textFill>
        </w:rPr>
        <w:t>八、</w:t>
      </w:r>
      <w:r>
        <w:rPr>
          <w:rFonts w:eastAsia="黑体"/>
          <w:color w:val="000000" w:themeColor="text1"/>
          <w:sz w:val="32"/>
          <w14:textFill>
            <w14:solidFill>
              <w14:schemeClr w14:val="tx1"/>
            </w14:solidFill>
          </w14:textFill>
        </w:rPr>
        <w:t>环境影响分析</w:t>
      </w:r>
      <w:bookmarkEnd w:id="15"/>
    </w:p>
    <w:tbl>
      <w:tblPr>
        <w:tblStyle w:val="14"/>
        <w:tblW w:w="491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153" w:hRule="atLeast"/>
          <w:jc w:val="center"/>
        </w:trPr>
        <w:tc>
          <w:tcPr>
            <w:tcW w:w="5000" w:type="pct"/>
          </w:tcPr>
          <w:p>
            <w:pPr>
              <w:spacing w:line="360" w:lineRule="auto"/>
              <w:rPr>
                <w:color w:val="000000" w:themeColor="text1"/>
                <w:sz w:val="28"/>
                <w14:textFill>
                  <w14:solidFill>
                    <w14:schemeClr w14:val="tx1"/>
                  </w14:solidFill>
                </w14:textFill>
              </w:rPr>
            </w:pPr>
            <w:r>
              <w:rPr>
                <w:b/>
                <w:color w:val="000000" w:themeColor="text1"/>
                <w:sz w:val="28"/>
                <w14:textFill>
                  <w14:solidFill>
                    <w14:schemeClr w14:val="tx1"/>
                  </w14:solidFill>
                </w14:textFill>
              </w:rPr>
              <w:t>施工期环境影响分析</w:t>
            </w:r>
            <w:r>
              <w:rPr>
                <w:color w:val="000000" w:themeColor="text1"/>
                <w:sz w:val="28"/>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期环境影响因素主要包括钻探施工、施工营地布置等占用土地、破坏地表植被等造成的生态环境影响，施工扬尘、柴油废气等对环境空气的影响，施工污、废水等对地表水环境的影响，钻机、柴油发电机等施工设备对声环境的影响，钻井泥浆等非正常状况下对土壤环境、地下水环境的影响。</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伴随施工期结束和临时占地的植被恢复，上述影响将会逐步消失。</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1、</w:t>
            </w:r>
            <w:r>
              <w:rPr>
                <w:rFonts w:hint="eastAsia"/>
                <w:b/>
                <w:color w:val="000000" w:themeColor="text1"/>
                <w:sz w:val="24"/>
                <w14:textFill>
                  <w14:solidFill>
                    <w14:schemeClr w14:val="tx1"/>
                  </w14:solidFill>
                </w14:textFill>
              </w:rPr>
              <w:t>环境空气影响分析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1.1评价等级判定</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估算模型参数</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项目钻井期间考虑主要为单钻孔施工，</w:t>
            </w:r>
            <w:r>
              <w:rPr>
                <w:rFonts w:hint="eastAsia"/>
                <w:color w:val="000000" w:themeColor="text1"/>
                <w:sz w:val="24"/>
                <w:lang w:val="en-US" w:eastAsia="zh-CN"/>
                <w14:textFill>
                  <w14:solidFill>
                    <w14:schemeClr w14:val="tx1"/>
                  </w14:solidFill>
                </w14:textFill>
              </w:rPr>
              <w:t>本项目勘查区涉及5个省，同时根据2022年钻孔的设置情况，本次评价选取陕西省（宝鸡市）、甘肃省（庆阳市）、宁夏（吴忠市）、内蒙古自治区（鄂尔多斯市）及山西省（临汾市）</w:t>
            </w:r>
            <w:r>
              <w:rPr>
                <w:rFonts w:hint="eastAsia"/>
                <w:color w:val="000000" w:themeColor="text1"/>
                <w:sz w:val="24"/>
                <w14:textFill>
                  <w14:solidFill>
                    <w14:schemeClr w14:val="tx1"/>
                  </w14:solidFill>
                </w14:textFill>
              </w:rPr>
              <w:t>的钻孔</w:t>
            </w:r>
            <w:r>
              <w:rPr>
                <w:rFonts w:hint="eastAsia"/>
                <w:color w:val="000000" w:themeColor="text1"/>
                <w:sz w:val="24"/>
                <w:lang w:val="en-US" w:eastAsia="zh-CN"/>
                <w14:textFill>
                  <w14:solidFill>
                    <w14:schemeClr w14:val="tx1"/>
                  </w14:solidFill>
                </w14:textFill>
              </w:rPr>
              <w:t>施工</w:t>
            </w:r>
            <w:r>
              <w:rPr>
                <w:rFonts w:hint="eastAsia"/>
                <w:color w:val="000000" w:themeColor="text1"/>
                <w:sz w:val="24"/>
                <w14:textFill>
                  <w14:solidFill>
                    <w14:schemeClr w14:val="tx1"/>
                  </w14:solidFill>
                </w14:textFill>
              </w:rPr>
              <w:t>，说明本项目</w:t>
            </w:r>
            <w:r>
              <w:rPr>
                <w:rFonts w:hint="eastAsia"/>
                <w:color w:val="000000" w:themeColor="text1"/>
                <w:sz w:val="24"/>
                <w:lang w:val="en-US" w:eastAsia="zh-CN"/>
                <w14:textFill>
                  <w14:solidFill>
                    <w14:schemeClr w14:val="tx1"/>
                  </w14:solidFill>
                </w14:textFill>
              </w:rPr>
              <w:t>柴油发电机</w:t>
            </w:r>
            <w:r>
              <w:rPr>
                <w:rFonts w:hint="eastAsia"/>
                <w:color w:val="000000" w:themeColor="text1"/>
                <w:sz w:val="24"/>
                <w14:textFill>
                  <w14:solidFill>
                    <w14:schemeClr w14:val="tx1"/>
                  </w14:solidFill>
                </w14:textFill>
              </w:rPr>
              <w:t>废气</w:t>
            </w:r>
            <w:r>
              <w:rPr>
                <w:rFonts w:hint="eastAsia"/>
                <w:color w:val="000000" w:themeColor="text1"/>
                <w:sz w:val="24"/>
                <w:lang w:val="en-US" w:eastAsia="zh-CN"/>
                <w14:textFill>
                  <w14:solidFill>
                    <w14:schemeClr w14:val="tx1"/>
                  </w14:solidFill>
                </w14:textFill>
              </w:rPr>
              <w:t>的</w:t>
            </w:r>
            <w:r>
              <w:rPr>
                <w:rFonts w:hint="eastAsia"/>
                <w:color w:val="000000" w:themeColor="text1"/>
                <w:sz w:val="24"/>
                <w14:textFill>
                  <w14:solidFill>
                    <w14:schemeClr w14:val="tx1"/>
                  </w14:solidFill>
                </w14:textFill>
              </w:rPr>
              <w:t>影响。</w:t>
            </w:r>
            <w:r>
              <w:rPr>
                <w:color w:val="000000" w:themeColor="text1"/>
                <w:sz w:val="24"/>
                <w14:textFill>
                  <w14:solidFill>
                    <w14:schemeClr w14:val="tx1"/>
                  </w14:solidFill>
                </w14:textFill>
              </w:rPr>
              <w:t>估算模型参数表见下表8-1。</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w:t>
            </w:r>
            <w:r>
              <w:rPr>
                <w:rFonts w:hint="eastAsia"/>
                <w:b w:val="0"/>
                <w:bCs w:val="0"/>
                <w:color w:val="000000" w:themeColor="text1"/>
                <w:sz w:val="24"/>
                <w:lang w:val="en-US" w:eastAsia="zh-CN"/>
                <w14:textFill>
                  <w14:solidFill>
                    <w14:schemeClr w14:val="tx1"/>
                  </w14:solidFill>
                </w14:textFill>
              </w:rPr>
              <w:t>8</w:t>
            </w:r>
            <w:r>
              <w:rPr>
                <w:b w:val="0"/>
                <w:bCs w:val="0"/>
                <w:color w:val="000000" w:themeColor="text1"/>
                <w:sz w:val="24"/>
                <w14:textFill>
                  <w14:solidFill>
                    <w14:schemeClr w14:val="tx1"/>
                  </w14:solidFill>
                </w14:textFill>
              </w:rPr>
              <w:t>-1  估算模型参数</w:t>
            </w:r>
          </w:p>
          <w:tbl>
            <w:tblPr>
              <w:tblStyle w:val="14"/>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69"/>
              <w:gridCol w:w="1874"/>
              <w:gridCol w:w="1702"/>
              <w:gridCol w:w="1326"/>
              <w:gridCol w:w="1320"/>
              <w:gridCol w:w="1414"/>
              <w:gridCol w:w="122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34" w:type="pct"/>
                  <w:gridSpan w:val="2"/>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参数</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c>
                <w:tcPr>
                  <w:tcW w:w="695"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c>
                <w:tcPr>
                  <w:tcW w:w="692"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c>
                <w:tcPr>
                  <w:tcW w:w="741"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c>
                <w:tcPr>
                  <w:tcW w:w="643"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取值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restar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城市/农村选项</w:t>
                  </w: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城市/农村</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农村</w:t>
                  </w:r>
                </w:p>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陕西-宝鸡市</w:t>
                  </w:r>
                  <w:r>
                    <w:rPr>
                      <w:rFonts w:hint="eastAsia" w:ascii="Times New Roman" w:hAnsi="Times New Roman" w:cs="Times New Roman"/>
                      <w:color w:val="000000" w:themeColor="text1"/>
                      <w:szCs w:val="21"/>
                      <w:lang w:eastAsia="zh-CN"/>
                      <w14:textFill>
                        <w14:solidFill>
                          <w14:schemeClr w14:val="tx1"/>
                        </w14:solidFill>
                      </w14:textFill>
                    </w:rPr>
                    <w:t>）</w:t>
                  </w:r>
                </w:p>
              </w:tc>
              <w:tc>
                <w:tcPr>
                  <w:tcW w:w="695"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农村（甘肃-庆阳市）</w:t>
                  </w:r>
                </w:p>
              </w:tc>
              <w:tc>
                <w:tcPr>
                  <w:tcW w:w="6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农村（宁夏-吴忠市）</w:t>
                  </w:r>
                </w:p>
              </w:tc>
              <w:tc>
                <w:tcPr>
                  <w:tcW w:w="741"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农村（内蒙-鄂尔多斯市）</w:t>
                  </w:r>
                </w:p>
              </w:tc>
              <w:tc>
                <w:tcPr>
                  <w:tcW w:w="64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农村（山西-临汾市）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continue"/>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人口数</w:t>
                  </w:r>
                </w:p>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（城市选项时）</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p>
              </w:tc>
              <w:tc>
                <w:tcPr>
                  <w:tcW w:w="695"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p>
              </w:tc>
              <w:tc>
                <w:tcPr>
                  <w:tcW w:w="692"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p>
              </w:tc>
              <w:tc>
                <w:tcPr>
                  <w:tcW w:w="741"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p>
              </w:tc>
              <w:tc>
                <w:tcPr>
                  <w:tcW w:w="643" w:type="pct"/>
                  <w:vAlign w:val="center"/>
                </w:tcPr>
                <w:p>
                  <w:pPr>
                    <w:snapToGrid/>
                    <w:jc w:val="center"/>
                    <w:rPr>
                      <w:rFonts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34" w:type="pct"/>
                  <w:gridSpan w:val="2"/>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最高环境温度/℃</w:t>
                  </w:r>
                </w:p>
              </w:tc>
              <w:tc>
                <w:tcPr>
                  <w:tcW w:w="892"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40.3</w:t>
                  </w:r>
                </w:p>
              </w:tc>
              <w:tc>
                <w:tcPr>
                  <w:tcW w:w="695"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36.4</w:t>
                  </w:r>
                </w:p>
              </w:tc>
              <w:tc>
                <w:tcPr>
                  <w:tcW w:w="692"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38.7</w:t>
                  </w:r>
                </w:p>
              </w:tc>
              <w:tc>
                <w:tcPr>
                  <w:tcW w:w="741"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38.5</w:t>
                  </w:r>
                </w:p>
              </w:tc>
              <w:tc>
                <w:tcPr>
                  <w:tcW w:w="643"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38.5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34" w:type="pct"/>
                  <w:gridSpan w:val="2"/>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最低环境温度/℃</w:t>
                  </w:r>
                </w:p>
              </w:tc>
              <w:tc>
                <w:tcPr>
                  <w:tcW w:w="892"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eastAsia="zh-CN"/>
                      <w14:textFill>
                        <w14:solidFill>
                          <w14:schemeClr w14:val="tx1"/>
                        </w14:solidFill>
                      </w14:textFill>
                    </w:rPr>
                    <w:t>-</w:t>
                  </w:r>
                  <w:r>
                    <w:rPr>
                      <w:rFonts w:hint="eastAsia" w:ascii="Times New Roman" w:hAnsi="Times New Roman" w:cs="Times New Roman"/>
                      <w:color w:val="000000" w:themeColor="text1"/>
                      <w:szCs w:val="21"/>
                      <w:lang w:val="en-US" w:eastAsia="zh-CN"/>
                      <w14:textFill>
                        <w14:solidFill>
                          <w14:schemeClr w14:val="tx1"/>
                        </w14:solidFill>
                      </w14:textFill>
                    </w:rPr>
                    <w:t>20.4</w:t>
                  </w:r>
                </w:p>
              </w:tc>
              <w:tc>
                <w:tcPr>
                  <w:tcW w:w="695" w:type="pct"/>
                  <w:vAlign w:val="center"/>
                </w:tcPr>
                <w:p>
                  <w:pPr>
                    <w:pStyle w:val="32"/>
                    <w:snapToGrid/>
                    <w:rPr>
                      <w:rFonts w:hint="eastAsia" w:ascii="Times New Roman" w:hAnsi="Times New Roman" w:cs="Times New Roman"/>
                      <w:color w:val="000000" w:themeColor="text1"/>
                      <w:szCs w:val="21"/>
                      <w:lang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-22.6</w:t>
                  </w:r>
                </w:p>
              </w:tc>
              <w:tc>
                <w:tcPr>
                  <w:tcW w:w="692"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-29.6</w:t>
                  </w:r>
                </w:p>
              </w:tc>
              <w:tc>
                <w:tcPr>
                  <w:tcW w:w="741"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-28.5</w:t>
                  </w:r>
                </w:p>
              </w:tc>
              <w:tc>
                <w:tcPr>
                  <w:tcW w:w="643"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-24.2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34" w:type="pct"/>
                  <w:gridSpan w:val="2"/>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土地利用类型</w:t>
                  </w:r>
                </w:p>
              </w:tc>
              <w:tc>
                <w:tcPr>
                  <w:tcW w:w="892"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农田</w:t>
                  </w:r>
                </w:p>
              </w:tc>
              <w:tc>
                <w:tcPr>
                  <w:tcW w:w="695" w:type="pct"/>
                  <w:vAlign w:val="center"/>
                </w:tcPr>
                <w:p>
                  <w:pPr>
                    <w:pStyle w:val="32"/>
                    <w:snapToGrid/>
                    <w:rPr>
                      <w:rFonts w:hint="default" w:cs="Times New Roman"/>
                      <w:color w:val="000000" w:themeColor="text1"/>
                      <w:lang w:val="en-US" w:eastAsia="zh-CN"/>
                      <w14:textFill>
                        <w14:solidFill>
                          <w14:schemeClr w14:val="tx1"/>
                        </w14:solidFill>
                      </w14:textFill>
                    </w:rPr>
                  </w:pPr>
                  <w:r>
                    <w:rPr>
                      <w:rFonts w:hint="eastAsia" w:cs="Times New Roman"/>
                      <w:color w:val="000000" w:themeColor="text1"/>
                      <w:lang w:val="en-US" w:eastAsia="zh-CN"/>
                      <w14:textFill>
                        <w14:solidFill>
                          <w14:schemeClr w14:val="tx1"/>
                        </w14:solidFill>
                      </w14:textFill>
                    </w:rPr>
                    <w:t>草地</w:t>
                  </w:r>
                </w:p>
              </w:tc>
              <w:tc>
                <w:tcPr>
                  <w:tcW w:w="692" w:type="pct"/>
                  <w:vAlign w:val="center"/>
                </w:tcPr>
                <w:p>
                  <w:pPr>
                    <w:pStyle w:val="32"/>
                    <w:snapToGrid/>
                    <w:rPr>
                      <w:rFonts w:hint="eastAsia" w:ascii="宋体" w:hAnsi="宋体" w:eastAsia="宋体" w:cs="Times New Roman"/>
                      <w:color w:val="000000" w:themeColor="text1"/>
                      <w:kern w:val="0"/>
                      <w:sz w:val="21"/>
                      <w:szCs w:val="22"/>
                      <w:lang w:val="en-US" w:eastAsia="zh-CN" w:bidi="en-US"/>
                      <w14:textFill>
                        <w14:solidFill>
                          <w14:schemeClr w14:val="tx1"/>
                        </w14:solidFill>
                      </w14:textFill>
                    </w:rPr>
                  </w:pPr>
                  <w:r>
                    <w:rPr>
                      <w:rFonts w:hint="eastAsia" w:cs="Times New Roman"/>
                      <w:color w:val="000000" w:themeColor="text1"/>
                      <w:lang w:val="en-US" w:eastAsia="zh-CN"/>
                      <w14:textFill>
                        <w14:solidFill>
                          <w14:schemeClr w14:val="tx1"/>
                        </w14:solidFill>
                      </w14:textFill>
                    </w:rPr>
                    <w:t>草地</w:t>
                  </w:r>
                </w:p>
              </w:tc>
              <w:tc>
                <w:tcPr>
                  <w:tcW w:w="741" w:type="pct"/>
                  <w:vAlign w:val="center"/>
                </w:tcPr>
                <w:p>
                  <w:pPr>
                    <w:pStyle w:val="32"/>
                    <w:snapToGrid/>
                    <w:rPr>
                      <w:rFonts w:hint="eastAsia" w:ascii="宋体" w:hAnsi="宋体" w:eastAsia="宋体" w:cs="Times New Roman"/>
                      <w:color w:val="000000" w:themeColor="text1"/>
                      <w:kern w:val="0"/>
                      <w:sz w:val="21"/>
                      <w:szCs w:val="22"/>
                      <w:lang w:val="en-US" w:eastAsia="zh-CN" w:bidi="en-US"/>
                      <w14:textFill>
                        <w14:solidFill>
                          <w14:schemeClr w14:val="tx1"/>
                        </w14:solidFill>
                      </w14:textFill>
                    </w:rPr>
                  </w:pPr>
                  <w:r>
                    <w:rPr>
                      <w:rFonts w:hint="eastAsia" w:cs="Times New Roman"/>
                      <w:color w:val="000000" w:themeColor="text1"/>
                      <w:lang w:val="en-US" w:eastAsia="zh-CN"/>
                      <w14:textFill>
                        <w14:solidFill>
                          <w14:schemeClr w14:val="tx1"/>
                        </w14:solidFill>
                      </w14:textFill>
                    </w:rPr>
                    <w:t>草地</w:t>
                  </w:r>
                </w:p>
              </w:tc>
              <w:tc>
                <w:tcPr>
                  <w:tcW w:w="643" w:type="pct"/>
                  <w:vAlign w:val="center"/>
                </w:tcPr>
                <w:p>
                  <w:pPr>
                    <w:pStyle w:val="32"/>
                    <w:snapToGrid/>
                    <w:rPr>
                      <w:rFonts w:hint="eastAsia" w:ascii="宋体" w:hAnsi="宋体" w:eastAsia="宋体" w:cs="Times New Roman"/>
                      <w:color w:val="000000" w:themeColor="text1"/>
                      <w:kern w:val="0"/>
                      <w:sz w:val="21"/>
                      <w:szCs w:val="22"/>
                      <w:lang w:val="en-US" w:eastAsia="zh-CN" w:bidi="en-US"/>
                      <w14:textFill>
                        <w14:solidFill>
                          <w14:schemeClr w14:val="tx1"/>
                        </w14:solidFill>
                      </w14:textFill>
                    </w:rPr>
                  </w:pPr>
                  <w:r>
                    <w:rPr>
                      <w:rFonts w:hint="eastAsia" w:cs="Times New Roman"/>
                      <w:color w:val="000000" w:themeColor="text1"/>
                      <w:lang w:val="en-US" w:eastAsia="zh-CN"/>
                      <w14:textFill>
                        <w14:solidFill>
                          <w14:schemeClr w14:val="tx1"/>
                        </w14:solidFill>
                      </w14:textFill>
                    </w:rPr>
                    <w:t>草地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34" w:type="pct"/>
                  <w:gridSpan w:val="2"/>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区域湿度条件</w:t>
                  </w:r>
                </w:p>
              </w:tc>
              <w:tc>
                <w:tcPr>
                  <w:tcW w:w="892" w:type="pct"/>
                  <w:vAlign w:val="center"/>
                </w:tcPr>
                <w:p>
                  <w:pPr>
                    <w:pStyle w:val="32"/>
                    <w:snapToGrid/>
                    <w:rPr>
                      <w:rFonts w:hint="default" w:ascii="Times New Roman" w:hAnsi="Times New Roman" w:cs="Times New Roman"/>
                      <w:color w:val="000000" w:themeColor="text1"/>
                      <w:szCs w:val="21"/>
                      <w:lang w:val="en-US"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中等湿度</w:t>
                  </w:r>
                </w:p>
              </w:tc>
              <w:tc>
                <w:tcPr>
                  <w:tcW w:w="695" w:type="pct"/>
                  <w:vAlign w:val="center"/>
                </w:tcPr>
                <w:p>
                  <w:pPr>
                    <w:pStyle w:val="32"/>
                    <w:snapToGrid/>
                    <w:rPr>
                      <w:rFonts w:hint="eastAsia" w:cs="Times New Roman"/>
                      <w:color w:val="000000" w:themeColor="text1"/>
                      <w:lang w:eastAsia="zh-CN"/>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中等湿度</w:t>
                  </w:r>
                </w:p>
              </w:tc>
              <w:tc>
                <w:tcPr>
                  <w:tcW w:w="692" w:type="pct"/>
                  <w:vAlign w:val="center"/>
                </w:tcPr>
                <w:p>
                  <w:pPr>
                    <w:pStyle w:val="32"/>
                    <w:snapToGrid/>
                    <w:rPr>
                      <w:rFonts w:hint="eastAsia" w:ascii="宋体" w:hAnsi="宋体" w:eastAsia="宋体" w:cs="Times New Roman"/>
                      <w:color w:val="000000" w:themeColor="text1"/>
                      <w:kern w:val="0"/>
                      <w:sz w:val="21"/>
                      <w:szCs w:val="22"/>
                      <w:lang w:val="en-US" w:eastAsia="zh-CN" w:bidi="en-US"/>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中等湿度</w:t>
                  </w:r>
                </w:p>
              </w:tc>
              <w:tc>
                <w:tcPr>
                  <w:tcW w:w="741" w:type="pct"/>
                  <w:vAlign w:val="center"/>
                </w:tcPr>
                <w:p>
                  <w:pPr>
                    <w:pStyle w:val="32"/>
                    <w:snapToGrid/>
                    <w:rPr>
                      <w:rFonts w:hint="eastAsia" w:ascii="宋体" w:hAnsi="宋体" w:eastAsia="宋体" w:cs="Times New Roman"/>
                      <w:color w:val="000000" w:themeColor="text1"/>
                      <w:kern w:val="0"/>
                      <w:sz w:val="21"/>
                      <w:szCs w:val="22"/>
                      <w:lang w:val="en-US" w:eastAsia="zh-CN" w:bidi="en-US"/>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中等湿度</w:t>
                  </w:r>
                </w:p>
              </w:tc>
              <w:tc>
                <w:tcPr>
                  <w:tcW w:w="643" w:type="pct"/>
                  <w:vAlign w:val="center"/>
                </w:tcPr>
                <w:p>
                  <w:pPr>
                    <w:pStyle w:val="32"/>
                    <w:snapToGrid/>
                    <w:rPr>
                      <w:rFonts w:hint="eastAsia" w:ascii="宋体" w:hAnsi="宋体" w:eastAsia="宋体" w:cs="Times New Roman"/>
                      <w:color w:val="000000" w:themeColor="text1"/>
                      <w:kern w:val="0"/>
                      <w:sz w:val="21"/>
                      <w:szCs w:val="22"/>
                      <w:lang w:val="en-US" w:eastAsia="zh-CN" w:bidi="en-US"/>
                      <w14:textFill>
                        <w14:solidFill>
                          <w14:schemeClr w14:val="tx1"/>
                        </w14:solidFill>
                      </w14:textFill>
                    </w:rPr>
                  </w:pPr>
                  <w:r>
                    <w:rPr>
                      <w:rFonts w:hint="eastAsia" w:ascii="Times New Roman" w:hAnsi="Times New Roman" w:cs="Times New Roman"/>
                      <w:color w:val="000000" w:themeColor="text1"/>
                      <w:szCs w:val="21"/>
                      <w:lang w:val="en-US" w:eastAsia="zh-CN"/>
                      <w14:textFill>
                        <w14:solidFill>
                          <w14:schemeClr w14:val="tx1"/>
                        </w14:solidFill>
                      </w14:textFill>
                    </w:rPr>
                    <w:t>中等湿度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restar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是否考虑地形</w:t>
                  </w: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考虑地形</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695"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692"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741"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643"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continue"/>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地形数据分表率/m</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95"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92"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741"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43"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restar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是否考虑岸线熏烟</w:t>
                  </w: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考虑岸线熏烟</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695"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692"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741"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c>
                <w:tcPr>
                  <w:tcW w:w="643"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sym w:font="Wingdings 2" w:char="00A3"/>
                  </w:r>
                  <w:r>
                    <w:rPr>
                      <w:rFonts w:ascii="Times New Roman" w:hAnsi="Times New Roman" w:cs="Times New Roman"/>
                      <w:color w:val="000000" w:themeColor="text1"/>
                      <w:szCs w:val="21"/>
                      <w:lang w:eastAsia="zh-CN"/>
                      <w14:textFill>
                        <w14:solidFill>
                          <w14:schemeClr w14:val="tx1"/>
                        </w14:solidFill>
                      </w14:textFill>
                    </w:rPr>
                    <w:t xml:space="preserve">是 </w:t>
                  </w:r>
                  <w:r>
                    <w:rPr>
                      <w:rFonts w:ascii="Times New Roman" w:hAnsi="Times New Roman" w:cs="Times New Roman"/>
                      <w:color w:val="000000" w:themeColor="text1"/>
                      <w:szCs w:val="21"/>
                      <w14:textFill>
                        <w14:solidFill>
                          <w14:schemeClr w14:val="tx1"/>
                        </w14:solidFill>
                      </w14:textFill>
                    </w:rPr>
                    <w:sym w:font="Wingdings 2" w:char="0052"/>
                  </w:r>
                  <w:r>
                    <w:rPr>
                      <w:rFonts w:ascii="Times New Roman" w:hAnsi="Times New Roman" w:cs="Times New Roman"/>
                      <w:color w:val="000000" w:themeColor="text1"/>
                      <w:szCs w:val="21"/>
                      <w:lang w:eastAsia="zh-CN"/>
                      <w14:textFill>
                        <w14:solidFill>
                          <w14:schemeClr w14:val="tx1"/>
                        </w14:solidFill>
                      </w14:textFill>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continue"/>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岸线距离/km</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95"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92"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741"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43"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 w:type="pct"/>
                  <w:vMerge w:val="continue"/>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p>
              </w:tc>
              <w:tc>
                <w:tcPr>
                  <w:tcW w:w="983"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岸线方向/°</w:t>
                  </w:r>
                </w:p>
              </w:tc>
              <w:tc>
                <w:tcPr>
                  <w:tcW w:w="892" w:type="pct"/>
                  <w:vAlign w:val="center"/>
                </w:tcPr>
                <w:p>
                  <w:pPr>
                    <w:pStyle w:val="32"/>
                    <w:snapToGrid/>
                    <w:rPr>
                      <w:rFonts w:ascii="Times New Roman" w:hAnsi="Times New Roman" w:cs="Times New Roman"/>
                      <w:color w:val="000000" w:themeColor="text1"/>
                      <w:szCs w:val="21"/>
                      <w:lang w:eastAsia="zh-CN"/>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95"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92"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741"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c>
                <w:tcPr>
                  <w:tcW w:w="643" w:type="pct"/>
                  <w:vAlign w:val="center"/>
                </w:tcPr>
                <w:p>
                  <w:pPr>
                    <w:pStyle w:val="32"/>
                    <w:snapToGrid/>
                    <w:rPr>
                      <w:rFonts w:ascii="Times New Roman" w:hAnsi="Times New Roman" w:eastAsia="宋体" w:cs="Times New Roman"/>
                      <w:color w:val="000000" w:themeColor="text1"/>
                      <w:kern w:val="0"/>
                      <w:sz w:val="21"/>
                      <w:szCs w:val="21"/>
                      <w:lang w:val="en-US" w:eastAsia="zh-CN" w:bidi="en-US"/>
                      <w14:textFill>
                        <w14:solidFill>
                          <w14:schemeClr w14:val="tx1"/>
                        </w14:solidFill>
                      </w14:textFill>
                    </w:rPr>
                  </w:pPr>
                  <w:r>
                    <w:rPr>
                      <w:rFonts w:ascii="Times New Roman" w:hAnsi="Times New Roman" w:cs="Times New Roman"/>
                      <w:color w:val="000000" w:themeColor="text1"/>
                      <w:szCs w:val="21"/>
                      <w:lang w:eastAsia="zh-CN"/>
                      <w14:textFill>
                        <w14:solidFill>
                          <w14:schemeClr w14:val="tx1"/>
                        </w14:solidFill>
                      </w14:textFill>
                    </w:rPr>
                    <w:t>/</w:t>
                  </w:r>
                </w:p>
              </w:tc>
            </w:tr>
          </w:tbl>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污染源排放参数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本项目建成后污染物排放</w:t>
            </w:r>
            <w:r>
              <w:rPr>
                <w:rFonts w:hint="eastAsia"/>
                <w:color w:val="000000" w:themeColor="text1"/>
                <w:sz w:val="24"/>
                <w:lang w:val="en-US" w:eastAsia="zh-CN"/>
                <w14:textFill>
                  <w14:solidFill>
                    <w14:schemeClr w14:val="tx1"/>
                  </w14:solidFill>
                </w14:textFill>
              </w:rPr>
              <w:t>情况</w:t>
            </w:r>
            <w:r>
              <w:rPr>
                <w:color w:val="000000" w:themeColor="text1"/>
                <w:sz w:val="24"/>
                <w14:textFill>
                  <w14:solidFill>
                    <w14:schemeClr w14:val="tx1"/>
                  </w14:solidFill>
                </w14:textFill>
              </w:rPr>
              <w:t>见表8-2。</w:t>
            </w:r>
          </w:p>
          <w:p>
            <w:pPr>
              <w:spacing w:line="240" w:lineRule="auto"/>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表8-2  污染物排放源强统计一览表</w:t>
            </w:r>
          </w:p>
          <w:tbl>
            <w:tblPr>
              <w:tblStyle w:val="14"/>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750"/>
              <w:gridCol w:w="752"/>
              <w:gridCol w:w="815"/>
              <w:gridCol w:w="662"/>
              <w:gridCol w:w="1078"/>
              <w:gridCol w:w="1078"/>
              <w:gridCol w:w="1078"/>
              <w:gridCol w:w="1078"/>
              <w:gridCol w:w="10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点源</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名称</w:t>
                  </w:r>
                </w:p>
              </w:tc>
              <w:tc>
                <w:tcPr>
                  <w:tcW w:w="393"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高度</w:t>
                  </w:r>
                </w:p>
              </w:tc>
              <w:tc>
                <w:tcPr>
                  <w:tcW w:w="394"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排气筒</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内径</w:t>
                  </w:r>
                </w:p>
              </w:tc>
              <w:tc>
                <w:tcPr>
                  <w:tcW w:w="427"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流量</w:t>
                  </w:r>
                </w:p>
              </w:tc>
              <w:tc>
                <w:tcPr>
                  <w:tcW w:w="347" w:type="pct"/>
                  <w:vMerge w:val="restar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烟气出口</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温度</w:t>
                  </w:r>
                </w:p>
              </w:tc>
              <w:tc>
                <w:tcPr>
                  <w:tcW w:w="2831" w:type="pct"/>
                  <w:gridSpan w:val="5"/>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排放因子源强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04" w:type="pct"/>
                  <w:vMerge w:val="continue"/>
                  <w:vAlign w:val="center"/>
                </w:tcPr>
                <w:p>
                  <w:pPr>
                    <w:jc w:val="center"/>
                    <w:rPr>
                      <w:color w:val="000000" w:themeColor="text1"/>
                      <w:szCs w:val="21"/>
                      <w14:textFill>
                        <w14:solidFill>
                          <w14:schemeClr w14:val="tx1"/>
                        </w14:solidFill>
                      </w14:textFill>
                    </w:rPr>
                  </w:pPr>
                </w:p>
              </w:tc>
              <w:tc>
                <w:tcPr>
                  <w:tcW w:w="393" w:type="pct"/>
                  <w:vMerge w:val="continue"/>
                  <w:vAlign w:val="center"/>
                </w:tcPr>
                <w:p>
                  <w:pPr>
                    <w:jc w:val="center"/>
                    <w:rPr>
                      <w:color w:val="000000" w:themeColor="text1"/>
                      <w:szCs w:val="21"/>
                      <w14:textFill>
                        <w14:solidFill>
                          <w14:schemeClr w14:val="tx1"/>
                        </w14:solidFill>
                      </w14:textFill>
                    </w:rPr>
                  </w:pPr>
                </w:p>
              </w:tc>
              <w:tc>
                <w:tcPr>
                  <w:tcW w:w="394" w:type="pct"/>
                  <w:vMerge w:val="continue"/>
                  <w:vAlign w:val="center"/>
                </w:tcPr>
                <w:p>
                  <w:pPr>
                    <w:jc w:val="center"/>
                    <w:rPr>
                      <w:color w:val="000000" w:themeColor="text1"/>
                      <w:szCs w:val="21"/>
                      <w14:textFill>
                        <w14:solidFill>
                          <w14:schemeClr w14:val="tx1"/>
                        </w14:solidFill>
                      </w14:textFill>
                    </w:rPr>
                  </w:pPr>
                </w:p>
              </w:tc>
              <w:tc>
                <w:tcPr>
                  <w:tcW w:w="427" w:type="pct"/>
                  <w:vMerge w:val="continue"/>
                  <w:vAlign w:val="center"/>
                </w:tcPr>
                <w:p>
                  <w:pPr>
                    <w:jc w:val="center"/>
                    <w:rPr>
                      <w:color w:val="000000" w:themeColor="text1"/>
                      <w:szCs w:val="21"/>
                      <w14:textFill>
                        <w14:solidFill>
                          <w14:schemeClr w14:val="tx1"/>
                        </w14:solidFill>
                      </w14:textFill>
                    </w:rPr>
                  </w:pPr>
                </w:p>
              </w:tc>
              <w:tc>
                <w:tcPr>
                  <w:tcW w:w="347" w:type="pct"/>
                  <w:vMerge w:val="continue"/>
                  <w:vAlign w:val="center"/>
                </w:tcPr>
                <w:p>
                  <w:pPr>
                    <w:jc w:val="center"/>
                    <w:rPr>
                      <w:color w:val="000000" w:themeColor="text1"/>
                      <w:szCs w:val="21"/>
                      <w14:textFill>
                        <w14:solidFill>
                          <w14:schemeClr w14:val="tx1"/>
                        </w14:solidFill>
                      </w14:textFill>
                    </w:rPr>
                  </w:pPr>
                </w:p>
              </w:tc>
              <w:tc>
                <w:tcPr>
                  <w:tcW w:w="565"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Merge w:val="continue"/>
                  <w:vAlign w:val="center"/>
                </w:tcPr>
                <w:p>
                  <w:pPr>
                    <w:jc w:val="center"/>
                    <w:rPr>
                      <w:color w:val="000000" w:themeColor="text1"/>
                      <w:szCs w:val="21"/>
                      <w14:textFill>
                        <w14:solidFill>
                          <w14:schemeClr w14:val="tx1"/>
                        </w14:solidFill>
                      </w14:textFill>
                    </w:rPr>
                  </w:pPr>
                </w:p>
              </w:tc>
              <w:tc>
                <w:tcPr>
                  <w:tcW w:w="39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p>
              </w:tc>
              <w:tc>
                <w:tcPr>
                  <w:tcW w:w="42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/h</w:t>
                  </w:r>
                </w:p>
              </w:tc>
              <w:tc>
                <w:tcPr>
                  <w:tcW w:w="34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2831" w:type="pct"/>
                  <w:gridSpan w:val="5"/>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kg/h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4" w:type="pct"/>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柴油机废气</w:t>
                  </w:r>
                </w:p>
              </w:tc>
              <w:tc>
                <w:tcPr>
                  <w:tcW w:w="393"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2.5</w:t>
                  </w:r>
                </w:p>
              </w:tc>
              <w:tc>
                <w:tcPr>
                  <w:tcW w:w="39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0.05</w:t>
                  </w:r>
                </w:p>
              </w:tc>
              <w:tc>
                <w:tcPr>
                  <w:tcW w:w="42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360</w:t>
                  </w:r>
                </w:p>
              </w:tc>
              <w:tc>
                <w:tcPr>
                  <w:tcW w:w="347"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180</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0.004</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0.024</w:t>
                  </w:r>
                </w:p>
              </w:tc>
              <w:tc>
                <w:tcPr>
                  <w:tcW w:w="565"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0.015</w:t>
                  </w:r>
                </w:p>
              </w:tc>
              <w:tc>
                <w:tcPr>
                  <w:tcW w:w="565"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r>
                    <w:rPr>
                      <w:color w:val="000000" w:themeColor="text1"/>
                      <w:szCs w:val="21"/>
                      <w14:textFill>
                        <w14:solidFill>
                          <w14:schemeClr w14:val="tx1"/>
                        </w14:solidFill>
                      </w14:textFill>
                    </w:rPr>
                    <w:t>.015</w:t>
                  </w:r>
                </w:p>
              </w:tc>
              <w:tc>
                <w:tcPr>
                  <w:tcW w:w="570"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0.009</w:t>
                  </w:r>
                </w:p>
              </w:tc>
            </w:tr>
          </w:tbl>
          <w:p>
            <w:pPr>
              <w:pStyle w:val="4"/>
              <w:keepNext/>
              <w:keepLines/>
              <w:pageBreakBefore w:val="0"/>
              <w:widowControl w:val="0"/>
              <w:kinsoku/>
              <w:wordWrap/>
              <w:overflowPunct/>
              <w:topLinePunct w:val="0"/>
              <w:autoSpaceDE/>
              <w:autoSpaceDN/>
              <w:bidi w:val="0"/>
              <w:adjustRightInd/>
              <w:snapToGrid/>
              <w:spacing w:before="0" w:after="0" w:line="240" w:lineRule="auto"/>
              <w:textAlignment w:val="auto"/>
              <w:rPr>
                <w:rFonts w:hint="default" w:ascii="Times New Roman" w:hAnsi="Times New Roman" w:cs="Times New Roman"/>
                <w:b w:val="0"/>
                <w:bCs w:val="0"/>
                <w:color w:val="000000" w:themeColor="text1"/>
                <w:sz w:val="21"/>
                <w:szCs w:val="21"/>
                <w14:textFill>
                  <w14:solidFill>
                    <w14:schemeClr w14:val="tx1"/>
                  </w14:solidFill>
                </w14:textFill>
              </w:rPr>
            </w:pPr>
            <w:r>
              <w:rPr>
                <w:rFonts w:hint="default" w:ascii="Times New Roman" w:hAnsi="Times New Roman" w:cs="Times New Roman"/>
                <w:b w:val="0"/>
                <w:bCs w:val="0"/>
                <w:color w:val="000000" w:themeColor="text1"/>
                <w:sz w:val="21"/>
                <w:szCs w:val="21"/>
                <w14:textFill>
                  <w14:solidFill>
                    <w14:schemeClr w14:val="tx1"/>
                  </w14:solidFill>
                </w14:textFill>
              </w:rPr>
              <w:t>注：本次保守考虑，NO</w:t>
            </w:r>
            <w:r>
              <w:rPr>
                <w:rFonts w:hint="default" w:ascii="Times New Roman" w:hAnsi="Times New Roman" w:cs="Times New Roman"/>
                <w:b w:val="0"/>
                <w:bCs w:val="0"/>
                <w:color w:val="000000" w:themeColor="text1"/>
                <w:sz w:val="21"/>
                <w:szCs w:val="21"/>
                <w:vertAlign w:val="subscript"/>
                <w14:textFill>
                  <w14:solidFill>
                    <w14:schemeClr w14:val="tx1"/>
                  </w14:solidFill>
                </w14:textFill>
              </w:rPr>
              <w:t>2</w:t>
            </w:r>
            <w:r>
              <w:rPr>
                <w:rFonts w:hint="default" w:ascii="Times New Roman" w:hAnsi="Times New Roman" w:cs="Times New Roman"/>
                <w:b w:val="0"/>
                <w:bCs w:val="0"/>
                <w:color w:val="000000" w:themeColor="text1"/>
                <w:sz w:val="21"/>
                <w:szCs w:val="21"/>
                <w14:textFill>
                  <w14:solidFill>
                    <w14:schemeClr w14:val="tx1"/>
                  </w14:solidFill>
                </w14:textFill>
              </w:rPr>
              <w:t>源强按NOx的全部产生量计。</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3</w:t>
            </w: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估算结果及分析评价</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利用估算模式的计算结果见表8-</w:t>
            </w:r>
            <w:r>
              <w:rPr>
                <w:rFonts w:hint="eastAsia" w:ascii="Times New Roman" w:hAnsi="Times New Roman" w:cs="Times New Roman"/>
                <w:color w:val="000000" w:themeColor="text1"/>
                <w:sz w:val="24"/>
                <w:lang w:val="en-US" w:eastAsia="zh-CN"/>
                <w14:textFill>
                  <w14:solidFill>
                    <w14:schemeClr w14:val="tx1"/>
                  </w14:solidFill>
                </w14:textFill>
              </w:rPr>
              <w:t>3</w:t>
            </w:r>
            <w:r>
              <w:rPr>
                <w:rFonts w:hint="default" w:ascii="Times New Roman" w:hAnsi="Times New Roman" w:cs="Times New Roman"/>
                <w:color w:val="000000" w:themeColor="text1"/>
                <w:sz w:val="24"/>
                <w14:textFill>
                  <w14:solidFill>
                    <w14:schemeClr w14:val="tx1"/>
                  </w14:solidFill>
                </w14:textFill>
              </w:rPr>
              <w:t>。</w:t>
            </w:r>
          </w:p>
          <w:p>
            <w:pPr>
              <w:spacing w:line="240" w:lineRule="auto"/>
              <w:ind w:firstLine="480" w:firstLineChars="200"/>
              <w:jc w:val="center"/>
              <w:rPr>
                <w:b w:val="0"/>
                <w:bCs w:val="0"/>
                <w:color w:val="000000" w:themeColor="text1"/>
                <w:sz w:val="24"/>
                <w14:textFill>
                  <w14:solidFill>
                    <w14:schemeClr w14:val="tx1"/>
                  </w14:solidFill>
                </w14:textFill>
              </w:rPr>
            </w:pPr>
            <w:r>
              <w:rPr>
                <w:b w:val="0"/>
                <w:bCs w:val="0"/>
                <w:color w:val="000000" w:themeColor="text1"/>
                <w:sz w:val="24"/>
                <w14:textFill>
                  <w14:solidFill>
                    <w14:schemeClr w14:val="tx1"/>
                  </w14:solidFill>
                </w14:textFill>
              </w:rPr>
              <w:t>表8-</w:t>
            </w:r>
            <w:r>
              <w:rPr>
                <w:rFonts w:hint="eastAsia"/>
                <w:b w:val="0"/>
                <w:bCs w:val="0"/>
                <w:color w:val="000000" w:themeColor="text1"/>
                <w:sz w:val="24"/>
                <w:lang w:val="en-US" w:eastAsia="zh-CN"/>
                <w14:textFill>
                  <w14:solidFill>
                    <w14:schemeClr w14:val="tx1"/>
                  </w14:solidFill>
                </w14:textFill>
              </w:rPr>
              <w:t>3</w:t>
            </w:r>
            <w:r>
              <w:rPr>
                <w:b w:val="0"/>
                <w:bCs w:val="0"/>
                <w:color w:val="000000" w:themeColor="text1"/>
                <w:sz w:val="24"/>
                <w14:textFill>
                  <w14:solidFill>
                    <w14:schemeClr w14:val="tx1"/>
                  </w14:solidFill>
                </w14:textFill>
              </w:rPr>
              <w:t xml:space="preserve">  污染源最大净增落地浓度预测结果表</w:t>
            </w:r>
          </w:p>
          <w:tbl>
            <w:tblPr>
              <w:tblStyle w:val="14"/>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58"/>
              <w:gridCol w:w="1162"/>
              <w:gridCol w:w="1013"/>
              <w:gridCol w:w="2552"/>
              <w:gridCol w:w="2219"/>
              <w:gridCol w:w="17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污染源</w:t>
                  </w:r>
                </w:p>
              </w:tc>
              <w:tc>
                <w:tcPr>
                  <w:tcW w:w="609" w:type="pct"/>
                  <w:vAlign w:val="center"/>
                </w:tcPr>
                <w:p>
                  <w:pPr>
                    <w:snapToGrid w:val="0"/>
                    <w:spacing w:line="280" w:lineRule="exact"/>
                    <w:jc w:val="center"/>
                    <w:rPr>
                      <w:rFonts w:hint="eastAsia"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地区</w:t>
                  </w:r>
                </w:p>
              </w:tc>
              <w:tc>
                <w:tcPr>
                  <w:tcW w:w="531"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污染物</w:t>
                  </w:r>
                </w:p>
              </w:tc>
              <w:tc>
                <w:tcPr>
                  <w:tcW w:w="1338"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最大落地浓度(</w:t>
                  </w:r>
                  <w:r>
                    <w:rPr>
                      <w:rFonts w:hint="eastAsia"/>
                      <w:color w:val="000000" w:themeColor="text1"/>
                      <w:szCs w:val="21"/>
                      <w:lang w:val="en-US" w:eastAsia="zh-CN"/>
                      <w14:textFill>
                        <w14:solidFill>
                          <w14:schemeClr w14:val="tx1"/>
                        </w14:solidFill>
                      </w14:textFill>
                    </w:rPr>
                    <w:t>m</w:t>
                  </w:r>
                  <w:r>
                    <w:rPr>
                      <w:color w:val="000000" w:themeColor="text1"/>
                      <w:szCs w:val="21"/>
                      <w14:textFill>
                        <w14:solidFill>
                          <w14:schemeClr w14:val="tx1"/>
                        </w14:solidFill>
                      </w14:textFill>
                    </w:rPr>
                    <w:t>g/m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w:t>
                  </w:r>
                </w:p>
              </w:tc>
              <w:tc>
                <w:tcPr>
                  <w:tcW w:w="1163"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下风向距离（m）</w:t>
                  </w:r>
                </w:p>
              </w:tc>
              <w:tc>
                <w:tcPr>
                  <w:tcW w:w="906" w:type="pc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占标率（%）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272" w:hRule="atLeast"/>
                <w:jc w:val="center"/>
              </w:trPr>
              <w:tc>
                <w:tcPr>
                  <w:tcW w:w="450" w:type="pct"/>
                  <w:vMerge w:val="restart"/>
                  <w:vAlign w:val="center"/>
                </w:tcPr>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柴油机</w:t>
                  </w:r>
                </w:p>
                <w:p>
                  <w:pPr>
                    <w:snapToGrid w:val="0"/>
                    <w:spacing w:line="280" w:lineRule="exact"/>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废气</w:t>
                  </w:r>
                </w:p>
              </w:tc>
              <w:tc>
                <w:tcPr>
                  <w:tcW w:w="609" w:type="pct"/>
                  <w:vMerge w:val="restart"/>
                  <w:vAlign w:val="center"/>
                </w:tcPr>
                <w:p>
                  <w:pPr>
                    <w:snapToGrid w:val="0"/>
                    <w:spacing w:line="280" w:lineRule="exact"/>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陕西省（宝鸡市）</w:t>
                  </w:r>
                </w:p>
              </w:tc>
              <w:tc>
                <w:tcPr>
                  <w:tcW w:w="531"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t>3.65E-03</w:t>
                  </w:r>
                </w:p>
              </w:tc>
              <w:tc>
                <w:tcPr>
                  <w:tcW w:w="1163" w:type="pct"/>
                  <w:vAlign w:val="center"/>
                </w:tcPr>
                <w:p>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17</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eastAsia" w:cs="Times New Roman"/>
                      <w:i w:val="0"/>
                      <w:color w:val="000000" w:themeColor="text1"/>
                      <w:kern w:val="2"/>
                      <w:sz w:val="21"/>
                      <w:szCs w:val="21"/>
                      <w:u w:val="none"/>
                      <w:lang w:val="en-US" w:eastAsia="zh-CN" w:bidi="ar-SA"/>
                      <w14:textFill>
                        <w14:solidFill>
                          <w14:schemeClr w14:val="tx1"/>
                        </w14:solidFill>
                      </w14:textFill>
                    </w:rPr>
                    <w:t>0.81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t>2.19E-02</w:t>
                  </w:r>
                </w:p>
              </w:tc>
              <w:tc>
                <w:tcPr>
                  <w:tcW w:w="1163"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17</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eastAsia" w:cs="Times New Roman"/>
                      <w:i w:val="0"/>
                      <w:color w:val="000000" w:themeColor="text1"/>
                      <w:kern w:val="2"/>
                      <w:sz w:val="21"/>
                      <w:szCs w:val="21"/>
                      <w:u w:val="none"/>
                      <w:lang w:val="en-US" w:eastAsia="zh-CN" w:bidi="ar-SA"/>
                      <w14:textFill>
                        <w14:solidFill>
                          <w14:schemeClr w14:val="tx1"/>
                        </w14:solidFill>
                      </w14:textFill>
                    </w:rPr>
                    <w:t>4.38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t>1.37E-02</w:t>
                  </w:r>
                </w:p>
              </w:tc>
              <w:tc>
                <w:tcPr>
                  <w:tcW w:w="1163"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17</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eastAsia" w:cs="Times New Roman"/>
                      <w:i w:val="0"/>
                      <w:color w:val="000000" w:themeColor="text1"/>
                      <w:kern w:val="2"/>
                      <w:sz w:val="21"/>
                      <w:szCs w:val="21"/>
                      <w:u w:val="none"/>
                      <w:lang w:val="en-US" w:eastAsia="zh-CN" w:bidi="ar-SA"/>
                      <w14:textFill>
                        <w14:solidFill>
                          <w14:schemeClr w14:val="tx1"/>
                        </w14:solidFill>
                      </w14:textFill>
                    </w:rPr>
                    <w:t>6.84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t>1.37E-02</w:t>
                  </w:r>
                </w:p>
              </w:tc>
              <w:tc>
                <w:tcPr>
                  <w:tcW w:w="1163" w:type="pct"/>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17</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eastAsia" w:cs="Times New Roman"/>
                      <w:i w:val="0"/>
                      <w:color w:val="000000" w:themeColor="text1"/>
                      <w:kern w:val="2"/>
                      <w:sz w:val="21"/>
                      <w:szCs w:val="21"/>
                      <w:u w:val="none"/>
                      <w:lang w:val="en-US" w:eastAsia="zh-CN" w:bidi="ar-SA"/>
                      <w14:textFill>
                        <w14:solidFill>
                          <w14:schemeClr w14:val="tx1"/>
                        </w14:solidFill>
                      </w14:textFill>
                    </w:rPr>
                    <w:t>5.47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t>8.21E-03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17</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2"/>
                      <w:sz w:val="21"/>
                      <w:szCs w:val="21"/>
                      <w:u w:val="none"/>
                      <w:lang w:val="en-US" w:eastAsia="zh-CN" w:bidi="ar-SA"/>
                      <w14:textFill>
                        <w14:solidFill>
                          <w14:schemeClr w14:val="tx1"/>
                        </w14:solidFill>
                      </w14:textFill>
                    </w:rPr>
                  </w:pPr>
                  <w:r>
                    <w:rPr>
                      <w:rFonts w:hint="eastAsia" w:cs="Times New Roman"/>
                      <w:i w:val="0"/>
                      <w:color w:val="000000" w:themeColor="text1"/>
                      <w:kern w:val="2"/>
                      <w:sz w:val="21"/>
                      <w:szCs w:val="21"/>
                      <w:u w:val="none"/>
                      <w:lang w:val="en-US" w:eastAsia="zh-CN" w:bidi="ar-SA"/>
                      <w14:textFill>
                        <w14:solidFill>
                          <w14:schemeClr w14:val="tx1"/>
                        </w14:solidFill>
                      </w14:textFill>
                    </w:rPr>
                    <w:t>0.08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restart"/>
                  <w:vAlign w:val="center"/>
                </w:tcPr>
                <w:p>
                  <w:pPr>
                    <w:snapToGrid w:val="0"/>
                    <w:spacing w:line="280" w:lineRule="exact"/>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甘肃省（庆阳市）</w:t>
                  </w: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3.29E-03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3.95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6.17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1.23E-02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4.93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7.40E-03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restart"/>
                  <w:vAlign w:val="center"/>
                </w:tcPr>
                <w:p>
                  <w:pPr>
                    <w:snapToGrid w:val="0"/>
                    <w:spacing w:line="280" w:lineRule="exact"/>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宁夏（吴忠市）</w:t>
                  </w: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3.31E-03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1.98E-02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3.97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1.24E-02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1.24E-02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4.96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7.44E-03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24"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restart"/>
                  <w:vAlign w:val="center"/>
                </w:tcPr>
                <w:p>
                  <w:pPr>
                    <w:snapToGrid w:val="0"/>
                    <w:spacing w:line="280" w:lineRule="exact"/>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内蒙古自治区（鄂尔多斯市）</w:t>
                  </w: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3.30E-03</w:t>
                  </w:r>
                </w:p>
              </w:tc>
              <w:tc>
                <w:tcPr>
                  <w:tcW w:w="2219" w:type="dxa"/>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0.73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7.44E-03</w:t>
                  </w:r>
                </w:p>
              </w:tc>
              <w:tc>
                <w:tcPr>
                  <w:tcW w:w="2219" w:type="dxa"/>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3.97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1.24E-02</w:t>
                  </w:r>
                </w:p>
              </w:tc>
              <w:tc>
                <w:tcPr>
                  <w:tcW w:w="2219" w:type="dxa"/>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1.24E-02</w:t>
                  </w:r>
                </w:p>
              </w:tc>
              <w:tc>
                <w:tcPr>
                  <w:tcW w:w="2219" w:type="dxa"/>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4.96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7.44E-03</w:t>
                  </w:r>
                </w:p>
              </w:tc>
              <w:tc>
                <w:tcPr>
                  <w:tcW w:w="2219" w:type="dxa"/>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restart"/>
                  <w:vAlign w:val="center"/>
                </w:tcPr>
                <w:p>
                  <w:pPr>
                    <w:snapToGrid w:val="0"/>
                    <w:spacing w:line="280" w:lineRule="exact"/>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山西省（临汾市）</w:t>
                  </w: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PM</w:t>
                  </w:r>
                  <w:r>
                    <w:rPr>
                      <w:rFonts w:hint="eastAsia"/>
                      <w:color w:val="000000" w:themeColor="text1"/>
                      <w:szCs w:val="21"/>
                      <w:vertAlign w:val="subscript"/>
                      <w:lang w:val="en-US" w:eastAsia="zh-CN"/>
                      <w14:textFill>
                        <w14:solidFill>
                          <w14:schemeClr w14:val="tx1"/>
                        </w14:solidFill>
                      </w14:textFill>
                    </w:rPr>
                    <w:t>10</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3.30E-03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SO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7.44E-03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3.97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2</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1.24E-02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1.24E-02</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4.96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450" w:type="pct"/>
                  <w:vMerge w:val="continue"/>
                  <w:vAlign w:val="center"/>
                </w:tcPr>
                <w:p>
                  <w:pPr>
                    <w:snapToGrid w:val="0"/>
                    <w:spacing w:line="280" w:lineRule="exact"/>
                    <w:jc w:val="center"/>
                    <w:rPr>
                      <w:color w:val="000000" w:themeColor="text1"/>
                      <w:szCs w:val="21"/>
                      <w14:textFill>
                        <w14:solidFill>
                          <w14:schemeClr w14:val="tx1"/>
                        </w14:solidFill>
                      </w14:textFill>
                    </w:rPr>
                  </w:pPr>
                </w:p>
              </w:tc>
              <w:tc>
                <w:tcPr>
                  <w:tcW w:w="609" w:type="pct"/>
                  <w:vMerge w:val="continue"/>
                  <w:vAlign w:val="center"/>
                </w:tcPr>
                <w:p>
                  <w:pPr>
                    <w:snapToGrid w:val="0"/>
                    <w:spacing w:line="280" w:lineRule="exact"/>
                    <w:jc w:val="center"/>
                    <w:rPr>
                      <w:color w:val="000000" w:themeColor="text1"/>
                      <w:sz w:val="21"/>
                      <w:szCs w:val="21"/>
                      <w14:textFill>
                        <w14:solidFill>
                          <w14:schemeClr w14:val="tx1"/>
                        </w14:solidFill>
                      </w14:textFill>
                    </w:rPr>
                  </w:pPr>
                </w:p>
              </w:tc>
              <w:tc>
                <w:tcPr>
                  <w:tcW w:w="531" w:type="pct"/>
                  <w:vAlign w:val="center"/>
                </w:tcPr>
                <w:p>
                  <w:pPr>
                    <w:spacing w:line="280" w:lineRule="exact"/>
                    <w:ind w:left="-105" w:leftChars="-50" w:right="-105" w:rightChars="-50"/>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CO</w:t>
                  </w:r>
                </w:p>
              </w:tc>
              <w:tc>
                <w:tcPr>
                  <w:tcW w:w="1338"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t>7.44E-03</w:t>
                  </w:r>
                </w:p>
              </w:tc>
              <w:tc>
                <w:tcPr>
                  <w:tcW w:w="1163" w:type="pct"/>
                  <w:vAlign w:val="center"/>
                </w:tcPr>
                <w:p>
                  <w:pPr>
                    <w:jc w:val="center"/>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24</w:t>
                  </w:r>
                </w:p>
              </w:tc>
              <w:tc>
                <w:tcPr>
                  <w:tcW w:w="906" w:type="pct"/>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themeColor="text1"/>
                      <w:kern w:val="0"/>
                      <w:sz w:val="21"/>
                      <w:szCs w:val="21"/>
                      <w:u w:val="none"/>
                      <w:lang w:val="en-US" w:eastAsia="zh-CN" w:bidi="ar"/>
                      <w14:textFill>
                        <w14:solidFill>
                          <w14:schemeClr w14:val="tx1"/>
                        </w14:solidFill>
                      </w14:textFill>
                    </w:rPr>
                  </w:pPr>
                  <w:r>
                    <w:rPr>
                      <w:rFonts w:hint="eastAsia" w:cs="Times New Roman"/>
                      <w:i w:val="0"/>
                      <w:color w:val="000000" w:themeColor="text1"/>
                      <w:kern w:val="0"/>
                      <w:sz w:val="21"/>
                      <w:szCs w:val="21"/>
                      <w:u w:val="none"/>
                      <w:lang w:val="en-US" w:eastAsia="zh-CN" w:bidi="ar"/>
                      <w14:textFill>
                        <w14:solidFill>
                          <w14:schemeClr w14:val="tx1"/>
                        </w14:solidFill>
                      </w14:textFill>
                    </w:rPr>
                    <w:t>0.07</w:t>
                  </w:r>
                </w:p>
              </w:tc>
            </w:tr>
          </w:tbl>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从表8-3可以看出，本项目钻孔施工期柴油发电机废气中烟尘、SO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、NO</w:t>
            </w:r>
            <w:r>
              <w:rPr>
                <w:rFonts w:hint="eastAsia"/>
                <w:color w:val="000000" w:themeColor="text1"/>
                <w:sz w:val="24"/>
                <w:vertAlign w:val="subscript"/>
                <w:lang w:val="en-US" w:eastAsia="zh-CN"/>
                <w14:textFill>
                  <w14:solidFill>
                    <w14:schemeClr w14:val="tx1"/>
                  </w14:solidFill>
                </w14:textFill>
              </w:rPr>
              <w:t>x</w:t>
            </w:r>
            <w:r>
              <w:rPr>
                <w:rFonts w:hint="eastAsia"/>
                <w:color w:val="000000" w:themeColor="text1"/>
                <w:sz w:val="24"/>
                <w:lang w:val="en-US" w:eastAsia="zh-CN"/>
                <w14:textFill>
                  <w14:solidFill>
                    <w14:schemeClr w14:val="tx1"/>
                  </w14:solidFill>
                </w14:textFill>
              </w:rPr>
              <w:t>及CO，最大占标率分别为0.81%、4.38%、6.84%、5.47%及0.08%，位于污染源下风向17m处，最大落地浓度远小于《环境空气质量标准》</w:t>
            </w:r>
            <w:r>
              <w:rPr>
                <w:rFonts w:hint="eastAsia"/>
                <w:color w:val="000000" w:themeColor="text1"/>
                <w:sz w:val="24"/>
                <w:lang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GB3095-2012</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二级标准，对外环境的影响较小。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评价等级及评价范围</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cs="Times New Roman"/>
                <w:color w:val="000000" w:themeColor="text1"/>
                <w:sz w:val="24"/>
                <w:szCs w:val="24"/>
                <w:lang w:eastAsia="zh-CN"/>
                <w14:textFill>
                  <w14:solidFill>
                    <w14:schemeClr w14:val="tx1"/>
                  </w14:solidFill>
                </w14:textFill>
              </w:rPr>
              <w:t>根据</w:t>
            </w:r>
            <w:r>
              <w:rPr>
                <w:rFonts w:hint="eastAsia" w:ascii="Times New Roman" w:cs="Times New Roman"/>
                <w:color w:val="000000" w:themeColor="text1"/>
                <w:sz w:val="24"/>
                <w:szCs w:val="24"/>
                <w:lang w:eastAsia="zh-CN"/>
                <w14:textFill>
                  <w14:solidFill>
                    <w14:schemeClr w14:val="tx1"/>
                  </w14:solidFill>
                </w14:textFill>
              </w:rPr>
              <w:t>HJ2.2-2018表2评价等级判别表</w:t>
            </w:r>
            <w:r>
              <w:rPr>
                <w:rFonts w:ascii="Times New Roman" w:cs="Times New Roman"/>
                <w:color w:val="000000" w:themeColor="text1"/>
                <w:sz w:val="24"/>
                <w:szCs w:val="24"/>
                <w:lang w:eastAsia="zh-CN"/>
                <w14:textFill>
                  <w14:solidFill>
                    <w14:schemeClr w14:val="tx1"/>
                  </w14:solidFill>
                </w14:textFill>
              </w:rPr>
              <w:t>，主要污染物的</w:t>
            </w:r>
            <w:r>
              <w:rPr>
                <w:rFonts w:hint="eastAsia" w:ascii="Times New Roman" w:cs="Times New Roman"/>
                <w:color w:val="000000" w:themeColor="text1"/>
                <w:sz w:val="24"/>
                <w:szCs w:val="24"/>
                <w:lang w:eastAsia="zh-CN"/>
                <w14:textFill>
                  <w14:solidFill>
                    <w14:schemeClr w14:val="tx1"/>
                  </w14:solidFill>
                </w14:textFill>
              </w:rPr>
              <w:t>最大</w:t>
            </w:r>
            <w:r>
              <w:rPr>
                <w:rFonts w:ascii="Times New Roman" w:cs="Times New Roman"/>
                <w:color w:val="000000" w:themeColor="text1"/>
                <w:sz w:val="24"/>
                <w:szCs w:val="24"/>
                <w:lang w:eastAsia="zh-CN"/>
                <w14:textFill>
                  <w14:solidFill>
                    <w14:schemeClr w14:val="tx1"/>
                  </w14:solidFill>
                </w14:textFill>
              </w:rPr>
              <w:t>地面空气质量浓度占标率</w:t>
            </w:r>
            <w:r>
              <w:rPr>
                <w:rFonts w:hint="eastAsia"/>
                <w:color w:val="000000" w:themeColor="text1"/>
                <w:sz w:val="24"/>
                <w:lang w:val="en-US" w:eastAsia="zh-CN"/>
                <w14:textFill>
                  <w14:solidFill>
                    <w14:schemeClr w14:val="tx1"/>
                  </w14:solidFill>
                </w14:textFill>
              </w:rPr>
              <w:t>为6.84%，</w:t>
            </w:r>
            <w:r>
              <w:rPr>
                <w:rFonts w:ascii="Times New Roman" w:cs="Times New Roman"/>
                <w:color w:val="000000" w:themeColor="text1"/>
                <w:sz w:val="24"/>
                <w:szCs w:val="24"/>
                <w:lang w:eastAsia="zh-CN"/>
                <w14:textFill>
                  <w14:solidFill>
                    <w14:schemeClr w14:val="tx1"/>
                  </w14:solidFill>
                </w14:textFill>
              </w:rPr>
              <w:t>本项目大气评价等级判定为二级，可不进行进一步预测</w:t>
            </w:r>
            <w:r>
              <w:rPr>
                <w:rFonts w:hint="eastAsia" w:ascii="Times New Roman" w:cs="Times New Roman"/>
                <w:color w:val="000000" w:themeColor="text1"/>
                <w:sz w:val="24"/>
                <w:szCs w:val="24"/>
                <w:lang w:eastAsia="zh-CN"/>
                <w14:textFill>
                  <w14:solidFill>
                    <w14:schemeClr w14:val="tx1"/>
                  </w14:solidFill>
                </w14:textFill>
              </w:rPr>
              <w:t>与评价。</w:t>
            </w:r>
            <w:r>
              <w:rPr>
                <w:rFonts w:hint="eastAsia"/>
                <w:color w:val="000000" w:themeColor="text1"/>
                <w:sz w:val="24"/>
                <w:lang w:val="en-US" w:eastAsia="zh-CN"/>
                <w14:textFill>
                  <w14:solidFill>
                    <w14:schemeClr w14:val="tx1"/>
                  </w14:solidFill>
                </w14:textFill>
              </w:rPr>
              <w:t>评价范围为以钻孔场地为中心，边长取5km的矩形区域。</w:t>
            </w:r>
            <w:r>
              <w:rPr>
                <w:rFonts w:ascii="Times New Roman" w:hAnsi="Times New Roman" w:cs="Times New Roman"/>
                <w:color w:val="000000" w:themeColor="text1"/>
                <w:sz w:val="24"/>
                <w:szCs w:val="24"/>
                <w:lang w:eastAsia="zh-CN"/>
                <w14:textFill>
                  <w14:solidFill>
                    <w14:schemeClr w14:val="tx1"/>
                  </w14:solidFill>
                </w14:textFill>
              </w:rPr>
              <w:t>考虑到钻孔</w:t>
            </w:r>
            <w:r>
              <w:rPr>
                <w:rFonts w:hint="eastAsia" w:ascii="Times New Roman" w:hAnsi="Times New Roman" w:cs="Times New Roman"/>
                <w:color w:val="000000" w:themeColor="text1"/>
                <w:sz w:val="24"/>
                <w:szCs w:val="24"/>
                <w:lang w:eastAsia="zh-CN"/>
                <w14:textFill>
                  <w14:solidFill>
                    <w14:schemeClr w14:val="tx1"/>
                  </w14:solidFill>
                </w14:textFill>
              </w:rPr>
              <w:t>位置在</w:t>
            </w:r>
            <w:r>
              <w:rPr>
                <w:rFonts w:ascii="Times New Roman" w:hAnsi="Times New Roman" w:cs="Times New Roman"/>
                <w:color w:val="000000" w:themeColor="text1"/>
                <w:sz w:val="24"/>
                <w:szCs w:val="24"/>
                <w:lang w:eastAsia="zh-CN"/>
                <w14:textFill>
                  <w14:solidFill>
                    <w14:schemeClr w14:val="tx1"/>
                  </w14:solidFill>
                </w14:textFill>
              </w:rPr>
              <w:t>较分散且</w:t>
            </w:r>
            <w:r>
              <w:rPr>
                <w:rFonts w:hint="eastAsia" w:ascii="Times New Roman" w:hAnsi="Times New Roman" w:cs="Times New Roman"/>
                <w:color w:val="000000" w:themeColor="text1"/>
                <w:sz w:val="24"/>
                <w:szCs w:val="24"/>
                <w:lang w:eastAsia="zh-CN"/>
                <w14:textFill>
                  <w14:solidFill>
                    <w14:schemeClr w14:val="tx1"/>
                  </w14:solidFill>
                </w14:textFill>
              </w:rPr>
              <w:t>施工</w:t>
            </w:r>
            <w:r>
              <w:rPr>
                <w:rFonts w:ascii="Times New Roman" w:hAnsi="Times New Roman" w:cs="Times New Roman"/>
                <w:color w:val="000000" w:themeColor="text1"/>
                <w:sz w:val="24"/>
                <w:szCs w:val="24"/>
                <w:lang w:eastAsia="zh-CN"/>
                <w14:textFill>
                  <w14:solidFill>
                    <w14:schemeClr w14:val="tx1"/>
                  </w14:solidFill>
                </w14:textFill>
              </w:rPr>
              <w:t>过程中会发生调整</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color w:val="000000" w:themeColor="text1"/>
                <w:sz w:val="24"/>
                <w14:textFill>
                  <w14:solidFill>
                    <w14:schemeClr w14:val="tx1"/>
                  </w14:solidFill>
                </w14:textFill>
              </w:rPr>
              <w:t>本次评价重点给出</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内</w:t>
            </w:r>
            <w:r>
              <w:rPr>
                <w:rFonts w:hint="eastAsia"/>
                <w:color w:val="000000" w:themeColor="text1"/>
                <w:sz w:val="24"/>
                <w:lang w:val="en-US" w:eastAsia="zh-CN"/>
                <w14:textFill>
                  <w14:solidFill>
                    <w14:schemeClr w14:val="tx1"/>
                  </w14:solidFill>
                </w14:textFill>
              </w:rPr>
              <w:t>市</w:t>
            </w:r>
            <w:r>
              <w:rPr>
                <w:rFonts w:hint="eastAsia"/>
                <w:color w:val="000000" w:themeColor="text1"/>
                <w:sz w:val="24"/>
                <w14:textFill>
                  <w14:solidFill>
                    <w14:schemeClr w14:val="tx1"/>
                  </w14:solidFill>
                </w14:textFill>
              </w:rPr>
              <w:t>级以上环境空气保护目标</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见表5-7。</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根据HJ2.2-2018二级评价相关要求，本次评价根据</w:t>
            </w:r>
            <w:r>
              <w:rPr>
                <w:rFonts w:hint="eastAsia"/>
                <w:color w:val="000000" w:themeColor="text1"/>
                <w:sz w:val="24"/>
                <w:lang w:val="en-US" w:eastAsia="zh-CN"/>
                <w14:textFill>
                  <w14:solidFill>
                    <w14:schemeClr w14:val="tx1"/>
                  </w14:solidFill>
                </w14:textFill>
              </w:rPr>
              <w:t>环境保护部环境工程评估中心“国家环境保护环境影响评价数值模拟重点实验室”上线的环境空气质量模型基础数据服务系统查询</w:t>
            </w:r>
            <w:r>
              <w:rPr>
                <w:rFonts w:hint="eastAsia"/>
                <w:color w:val="000000" w:themeColor="text1"/>
                <w:sz w:val="24"/>
                <w14:textFill>
                  <w14:solidFill>
                    <w14:schemeClr w14:val="tx1"/>
                  </w14:solidFill>
                </w14:textFill>
              </w:rPr>
              <w:t>，对项目所在区域的钻探工程主要涉及的地级市环境空气质量达标情况进行调查，见</w:t>
            </w:r>
            <w:r>
              <w:rPr>
                <w:rFonts w:hint="eastAsia"/>
                <w:color w:val="000000" w:themeColor="text1"/>
                <w:sz w:val="24"/>
                <w:lang w:val="en-US" w:eastAsia="zh-CN"/>
                <w14:textFill>
                  <w14:solidFill>
                    <w14:schemeClr w14:val="tx1"/>
                  </w14:solidFill>
                </w14:textFill>
              </w:rPr>
              <w:t xml:space="preserve">五 </w:t>
            </w:r>
            <w:r>
              <w:rPr>
                <w:rFonts w:hint="eastAsia"/>
                <w:color w:val="000000" w:themeColor="text1"/>
                <w:sz w:val="24"/>
                <w14:textFill>
                  <w14:solidFill>
                    <w14:schemeClr w14:val="tx1"/>
                  </w14:solidFill>
                </w14:textFill>
              </w:rPr>
              <w:t>环境质量状况中环境空气现状评价；另外，对污染物排放量进行了核算，见工程分析。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预测结果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根据预测结果，</w:t>
            </w:r>
            <w:r>
              <w:rPr>
                <w:rFonts w:hint="eastAsia"/>
                <w:color w:val="000000" w:themeColor="text1"/>
                <w:sz w:val="24"/>
                <w:szCs w:val="24"/>
                <w:lang w:eastAsia="zh-CN"/>
                <w14:textFill>
                  <w14:solidFill>
                    <w14:schemeClr w14:val="tx1"/>
                  </w14:solidFill>
                </w14:textFill>
              </w:rPr>
              <w:t>PM</w:t>
            </w:r>
            <w:r>
              <w:rPr>
                <w:rFonts w:hint="eastAsia"/>
                <w:color w:val="000000" w:themeColor="text1"/>
                <w:sz w:val="24"/>
                <w:szCs w:val="24"/>
                <w:vertAlign w:val="subscript"/>
                <w:lang w:eastAsia="zh-CN"/>
                <w14:textFill>
                  <w14:solidFill>
                    <w14:schemeClr w14:val="tx1"/>
                  </w14:solidFill>
                </w14:textFill>
              </w:rPr>
              <w:t>10</w:t>
            </w:r>
            <w:r>
              <w:rPr>
                <w:rFonts w:hint="eastAsia"/>
                <w:color w:val="000000" w:themeColor="text1"/>
                <w:sz w:val="24"/>
                <w:szCs w:val="24"/>
                <w:lang w:eastAsia="zh-CN"/>
                <w14:textFill>
                  <w14:solidFill>
                    <w14:schemeClr w14:val="tx1"/>
                  </w14:solidFill>
                </w14:textFill>
              </w:rPr>
              <w:t>、SO</w:t>
            </w:r>
            <w:r>
              <w:rPr>
                <w:rFonts w:hint="eastAsia"/>
                <w:color w:val="000000" w:themeColor="text1"/>
                <w:sz w:val="24"/>
                <w:szCs w:val="24"/>
                <w:vertAlign w:val="subscript"/>
                <w:lang w:eastAsia="zh-CN"/>
                <w14:textFill>
                  <w14:solidFill>
                    <w14:schemeClr w14:val="tx1"/>
                  </w14:solidFill>
                </w14:textFill>
              </w:rPr>
              <w:t>2</w:t>
            </w:r>
            <w:r>
              <w:rPr>
                <w:rFonts w:hint="eastAsia"/>
                <w:color w:val="000000" w:themeColor="text1"/>
                <w:sz w:val="24"/>
                <w:szCs w:val="24"/>
                <w:lang w:eastAsia="zh-CN"/>
                <w14:textFill>
                  <w14:solidFill>
                    <w14:schemeClr w14:val="tx1"/>
                  </w14:solidFill>
                </w14:textFill>
              </w:rPr>
              <w:t>、NO</w:t>
            </w:r>
            <w:r>
              <w:rPr>
                <w:rFonts w:hint="eastAsia"/>
                <w:color w:val="000000" w:themeColor="text1"/>
                <w:sz w:val="24"/>
                <w:szCs w:val="24"/>
                <w:vertAlign w:val="subscript"/>
                <w:lang w:val="en-US" w:eastAsia="zh-CN"/>
                <w14:textFill>
                  <w14:solidFill>
                    <w14:schemeClr w14:val="tx1"/>
                  </w14:solidFill>
                </w14:textFill>
              </w:rPr>
              <w:t>2</w:t>
            </w:r>
            <w:r>
              <w:rPr>
                <w:rFonts w:hint="eastAsia"/>
                <w:color w:val="000000" w:themeColor="text1"/>
                <w:sz w:val="24"/>
                <w:szCs w:val="24"/>
                <w:vertAlign w:val="baseline"/>
                <w:lang w:val="en-US" w:eastAsia="zh-CN"/>
                <w14:textFill>
                  <w14:solidFill>
                    <w14:schemeClr w14:val="tx1"/>
                  </w14:solidFill>
                </w14:textFill>
              </w:rPr>
              <w:t>及CO最大落地浓度分别为</w:t>
            </w:r>
            <w:r>
              <w:rPr>
                <w:rFonts w:hint="eastAsia"/>
                <w:color w:val="000000" w:themeColor="text1"/>
                <w:sz w:val="24"/>
                <w:lang w:val="en-US" w:eastAsia="zh-CN"/>
                <w14:textFill>
                  <w14:solidFill>
                    <w14:schemeClr w14:val="tx1"/>
                  </w14:solidFill>
                </w14:textFill>
              </w:rPr>
              <w:t>3.65</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21.9</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13.7</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8.21</w:t>
            </w:r>
            <w:r>
              <w:rPr>
                <w:color w:val="000000" w:themeColor="text1"/>
                <w:sz w:val="24"/>
                <w14:textFill>
                  <w14:solidFill>
                    <w14:schemeClr w14:val="tx1"/>
                  </w14:solidFill>
                </w14:textFill>
              </w:rPr>
              <w:t>μg/m</w:t>
            </w:r>
            <w:r>
              <w:rPr>
                <w:color w:val="000000" w:themeColor="text1"/>
                <w:sz w:val="24"/>
                <w:vertAlign w:val="superscript"/>
                <w14:textFill>
                  <w14:solidFill>
                    <w14:schemeClr w14:val="tx1"/>
                  </w14:solidFill>
                </w14:textFill>
              </w:rPr>
              <w:t>3</w:t>
            </w:r>
            <w:r>
              <w:rPr>
                <w:rFonts w:hint="eastAsia"/>
                <w:color w:val="000000" w:themeColor="text1"/>
                <w:sz w:val="24"/>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根据</w:t>
            </w:r>
            <w:r>
              <w:rPr>
                <w:rFonts w:hint="default" w:ascii="Times New Roman" w:hAnsi="Times New Roman" w:cs="Times New Roman"/>
                <w:b w:val="0"/>
                <w:bCs w:val="0"/>
                <w:color w:val="000000" w:themeColor="text1"/>
                <w:sz w:val="24"/>
                <w:szCs w:val="24"/>
                <w:lang w:eastAsia="zh-CN"/>
                <w14:textFill>
                  <w14:solidFill>
                    <w14:schemeClr w14:val="tx1"/>
                  </w14:solidFill>
                </w14:textFill>
              </w:rPr>
              <w:t>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eastAsia" w:cs="Times New Roman"/>
                <w:b w:val="0"/>
                <w:bCs w:val="0"/>
                <w:color w:val="000000" w:themeColor="text1"/>
                <w:sz w:val="24"/>
                <w:szCs w:val="24"/>
                <w:lang w:val="en-US" w:eastAsia="zh-CN"/>
                <w14:textFill>
                  <w14:solidFill>
                    <w14:schemeClr w14:val="tx1"/>
                  </w14:solidFill>
                </w14:textFill>
              </w:rPr>
              <w:t>陕西省宝鸡市2020年</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年均浓度、CO24小时平均第95百分位数</w:t>
            </w:r>
            <w:r>
              <w:rPr>
                <w:rFonts w:hint="eastAsia" w:cs="Times New Roman"/>
                <w:b w:val="0"/>
                <w:bCs w:val="0"/>
                <w:color w:val="000000" w:themeColor="text1"/>
                <w:sz w:val="24"/>
                <w:szCs w:val="24"/>
                <w:lang w:val="en-US" w:eastAsia="zh-CN"/>
                <w14:textFill>
                  <w14:solidFill>
                    <w14:schemeClr w14:val="tx1"/>
                  </w14:solidFill>
                </w14:textFill>
              </w:rPr>
              <w:t>分别为74</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30</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1.2m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叠加地区背景值后，</w:t>
            </w:r>
            <w:r>
              <w:rPr>
                <w:rFonts w:hint="default" w:ascii="Times New Roman" w:hAnsi="Times New Roman" w:cs="Times New Roman"/>
                <w:color w:val="000000" w:themeColor="text1"/>
                <w:sz w:val="24"/>
                <w:szCs w:val="24"/>
                <w:lang w:eastAsia="zh-CN"/>
                <w14:textFill>
                  <w14:solidFill>
                    <w14:schemeClr w14:val="tx1"/>
                  </w14:solidFill>
                </w14:textFill>
              </w:rPr>
              <w:t>PM</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color w:val="000000" w:themeColor="text1"/>
                <w:sz w:val="24"/>
                <w:szCs w:val="24"/>
                <w:lang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color w:val="000000" w:themeColor="text1"/>
                <w:sz w:val="24"/>
                <w:szCs w:val="24"/>
                <w:lang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cs="Times New Roman"/>
                <w:b w:val="0"/>
                <w:bCs w:val="0"/>
                <w:color w:val="000000" w:themeColor="text1"/>
                <w:sz w:val="24"/>
                <w:szCs w:val="24"/>
                <w:lang w:val="en-US" w:eastAsia="zh-CN"/>
                <w14:textFill>
                  <w14:solidFill>
                    <w14:schemeClr w14:val="tx1"/>
                  </w14:solidFill>
                </w14:textFill>
              </w:rPr>
              <w:t>77.65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29.9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43.7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1208.21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均小于《环境空气质量标准》</w:t>
            </w:r>
            <w:r>
              <w:rPr>
                <w:rFonts w:hint="eastAsia" w:cs="Times New Roman"/>
                <w:color w:val="000000" w:themeColor="text1"/>
                <w:sz w:val="24"/>
                <w:szCs w:val="24"/>
                <w:lang w:val="en-US" w:eastAsia="zh-CN"/>
                <w14:textFill>
                  <w14:solidFill>
                    <w14:schemeClr w14:val="tx1"/>
                  </w14:solidFill>
                </w14:textFill>
              </w:rPr>
              <w:t>（GB3095-2012）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t>）</w:t>
            </w:r>
            <w:r>
              <w:rPr>
                <w:rFonts w:hint="eastAsia" w:cs="Times New Roman"/>
                <w:color w:val="000000" w:themeColor="text1"/>
                <w:sz w:val="24"/>
                <w:szCs w:val="24"/>
                <w:vertAlign w:val="baseline"/>
                <w:lang w:val="en-US" w:eastAsia="zh-CN"/>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根据</w:t>
            </w:r>
            <w:r>
              <w:rPr>
                <w:rFonts w:hint="default" w:ascii="Times New Roman" w:hAnsi="Times New Roman" w:cs="Times New Roman"/>
                <w:b w:val="0"/>
                <w:bCs w:val="0"/>
                <w:color w:val="000000" w:themeColor="text1"/>
                <w:sz w:val="24"/>
                <w:szCs w:val="24"/>
                <w:lang w:eastAsia="zh-CN"/>
                <w14:textFill>
                  <w14:solidFill>
                    <w14:schemeClr w14:val="tx1"/>
                  </w14:solidFill>
                </w14:textFill>
              </w:rPr>
              <w:t>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eastAsia" w:cs="Times New Roman"/>
                <w:b w:val="0"/>
                <w:bCs w:val="0"/>
                <w:color w:val="000000" w:themeColor="text1"/>
                <w:sz w:val="24"/>
                <w:szCs w:val="24"/>
                <w:lang w:val="en-US" w:eastAsia="zh-CN"/>
                <w14:textFill>
                  <w14:solidFill>
                    <w14:schemeClr w14:val="tx1"/>
                  </w14:solidFill>
                </w14:textFill>
              </w:rPr>
              <w:t>甘肃省庆阳市2020年</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年均浓度、CO24小时平均第95百分位数</w:t>
            </w:r>
            <w:r>
              <w:rPr>
                <w:rFonts w:hint="eastAsia" w:cs="Times New Roman"/>
                <w:b w:val="0"/>
                <w:bCs w:val="0"/>
                <w:color w:val="000000" w:themeColor="text1"/>
                <w:sz w:val="24"/>
                <w:szCs w:val="24"/>
                <w:lang w:val="en-US" w:eastAsia="zh-CN"/>
                <w14:textFill>
                  <w14:solidFill>
                    <w14:schemeClr w14:val="tx1"/>
                  </w14:solidFill>
                </w14:textFill>
              </w:rPr>
              <w:t>分别为55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10</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16</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1.2m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叠加地区背景值后，</w:t>
            </w:r>
            <w:r>
              <w:rPr>
                <w:rFonts w:hint="default" w:ascii="Times New Roman" w:hAnsi="Times New Roman" w:cs="Times New Roman"/>
                <w:color w:val="000000" w:themeColor="text1"/>
                <w:sz w:val="24"/>
                <w:szCs w:val="24"/>
                <w:lang w:eastAsia="zh-CN"/>
                <w14:textFill>
                  <w14:solidFill>
                    <w14:schemeClr w14:val="tx1"/>
                  </w14:solidFill>
                </w14:textFill>
              </w:rPr>
              <w:t>PM</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color w:val="000000" w:themeColor="text1"/>
                <w:sz w:val="24"/>
                <w:szCs w:val="24"/>
                <w:lang w:eastAsia="zh-CN"/>
                <w14:textFill>
                  <w14:solidFill>
                    <w14:schemeClr w14:val="tx1"/>
                  </w14:solidFill>
                </w14:textFill>
              </w:rPr>
              <w:t>、SO</w:t>
            </w:r>
            <w:r>
              <w:rPr>
                <w:rFonts w:hint="default" w:ascii="Times New Roman" w:hAnsi="Times New Roman" w:cs="Times New Roman"/>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color w:val="000000" w:themeColor="text1"/>
                <w:sz w:val="24"/>
                <w:szCs w:val="24"/>
                <w:lang w:eastAsia="zh-CN"/>
                <w14:textFill>
                  <w14:solidFill>
                    <w14:schemeClr w14:val="tx1"/>
                  </w14:solidFill>
                </w14:textFill>
              </w:rPr>
              <w:t>、NO</w:t>
            </w:r>
            <w:r>
              <w:rPr>
                <w:rFonts w:hint="default" w:ascii="Times New Roman" w:hAnsi="Times New Roman"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cs="Times New Roman"/>
                <w:b w:val="0"/>
                <w:bCs w:val="0"/>
                <w:color w:val="000000" w:themeColor="text1"/>
                <w:sz w:val="24"/>
                <w:szCs w:val="24"/>
                <w:lang w:val="en-US" w:eastAsia="zh-CN"/>
                <w14:textFill>
                  <w14:solidFill>
                    <w14:schemeClr w14:val="tx1"/>
                  </w14:solidFill>
                </w14:textFill>
              </w:rPr>
              <w:t>58.65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31.9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29.7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1208.21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eastAsia"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均小于《环境空气质量标准》</w:t>
            </w:r>
            <w:r>
              <w:rPr>
                <w:rFonts w:hint="eastAsia" w:cs="Times New Roman"/>
                <w:color w:val="000000" w:themeColor="text1"/>
                <w:sz w:val="24"/>
                <w:szCs w:val="24"/>
                <w:lang w:val="en-US" w:eastAsia="zh-CN"/>
                <w14:textFill>
                  <w14:solidFill>
                    <w14:schemeClr w14:val="tx1"/>
                  </w14:solidFill>
                </w14:textFill>
              </w:rPr>
              <w:t>（GB3095-2012）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vertAlign w:val="baseline"/>
                <w:lang w:val="en-US" w:eastAsia="zh-CN"/>
                <w14:textFill>
                  <w14:solidFill>
                    <w14:schemeClr w14:val="tx1"/>
                  </w14:solidFill>
                </w14:textFill>
              </w:rPr>
              <w:t>）</w:t>
            </w:r>
            <w:r>
              <w:rPr>
                <w:rFonts w:hint="eastAsia" w:cs="Times New Roman"/>
                <w:color w:val="000000" w:themeColor="text1"/>
                <w:sz w:val="24"/>
                <w:szCs w:val="24"/>
                <w:vertAlign w:val="baseline"/>
                <w:lang w:val="en-US" w:eastAsia="zh-CN"/>
                <w14:textFill>
                  <w14:solidFill>
                    <w14:schemeClr w14:val="tx1"/>
                  </w14:solidFill>
                </w14:textFill>
              </w:rPr>
              <w:t>。</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ascii="Times New Roman" w:hAnsi="Times New Roman" w:cs="Times New Roman"/>
                <w:color w:val="000000" w:themeColor="text1"/>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eastAsia="zh-CN"/>
                <w14:textFill>
                  <w14:solidFill>
                    <w14:schemeClr w14:val="tx1"/>
                  </w14:solidFill>
                </w14:textFill>
              </w:rPr>
              <w:t>根据环境保护部环境工程评估中心“国家环境保护环境影响评价数值模拟重点实验室”上线的环境空气质量模型基础数据服务系统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宁夏吴忠市2020年</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年均浓度、CO24小时平均第95百分位数</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分别为</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67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14</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26</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14:textFill>
                  <w14:solidFill>
                    <w14:schemeClr w14:val="tx1"/>
                  </w14:solidFill>
                </w14:textFill>
              </w:rPr>
              <w:t>叠加地区背景值后，</w:t>
            </w:r>
            <w:r>
              <w:rPr>
                <w:rFonts w:hint="default" w:ascii="Times New Roman" w:hAnsi="Times New Roman" w:cs="Times New Roman"/>
                <w:b w:val="0"/>
                <w:bCs w:val="0"/>
                <w:color w:val="000000" w:themeColor="text1"/>
                <w:sz w:val="24"/>
                <w:szCs w:val="24"/>
                <w:lang w:eastAsia="zh-CN"/>
                <w14:textFill>
                  <w14:solidFill>
                    <w14:schemeClr w14:val="tx1"/>
                  </w14:solidFill>
                </w14:textFill>
              </w:rPr>
              <w:t>PM</w:t>
            </w:r>
            <w:r>
              <w:rPr>
                <w:rFonts w:hint="default" w:ascii="Times New Roman" w:hAnsi="Times New Roman" w:cs="Times New Roman"/>
                <w:b w:val="0"/>
                <w:bCs w:val="0"/>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b w:val="0"/>
                <w:bCs w:val="0"/>
                <w:color w:val="000000" w:themeColor="text1"/>
                <w:sz w:val="24"/>
                <w:szCs w:val="24"/>
                <w:lang w:eastAsia="zh-CN"/>
                <w14:textFill>
                  <w14:solidFill>
                    <w14:schemeClr w14:val="tx1"/>
                  </w14:solidFill>
                </w14:textFill>
              </w:rPr>
              <w:t>、SO</w:t>
            </w:r>
            <w:r>
              <w:rPr>
                <w:rFonts w:hint="default" w:ascii="Times New Roman" w:hAnsi="Times New Roman" w:cs="Times New Roman"/>
                <w:b w:val="0"/>
                <w:bCs w:val="0"/>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b w:val="0"/>
                <w:bCs w:val="0"/>
                <w:color w:val="000000" w:themeColor="text1"/>
                <w:sz w:val="24"/>
                <w:szCs w:val="24"/>
                <w:lang w:eastAsia="zh-CN"/>
                <w14:textFill>
                  <w14:solidFill>
                    <w14:schemeClr w14:val="tx1"/>
                  </w14:solidFill>
                </w14:textFill>
              </w:rPr>
              <w:t>、NO</w:t>
            </w:r>
            <w:r>
              <w:rPr>
                <w:rFonts w:hint="default" w:ascii="Times New Roman" w:hAnsi="Times New Roman"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70</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.65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47.9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39.7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08.21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均小于《环境空气质量标准》（GB3095-2012）二级标准中24小时平均值（PM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vertAlign w:val="baseline"/>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eastAsia="zh-CN"/>
                <w14:textFill>
                  <w14:solidFill>
                    <w14:schemeClr w14:val="tx1"/>
                  </w14:solidFill>
                </w14:textFill>
              </w:rPr>
              <w:t>根据环境保护部环境工程评估中心“国家环境保护环境影响评价数值模拟重点实验室”上线的环境空气质量模型基础数据服务系统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eastAsia" w:cs="Times New Roman"/>
                <w:b w:val="0"/>
                <w:bCs w:val="0"/>
                <w:color w:val="000000" w:themeColor="text1"/>
                <w:sz w:val="24"/>
                <w:szCs w:val="24"/>
                <w:lang w:val="en-US" w:eastAsia="zh-CN"/>
                <w14:textFill>
                  <w14:solidFill>
                    <w14:schemeClr w14:val="tx1"/>
                  </w14:solidFill>
                </w14:textFill>
              </w:rPr>
              <w:t>内蒙鄂尔多斯市</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2020年</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年均浓度、CO24小时平均第95百分位数</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分别为</w:t>
            </w:r>
            <w:r>
              <w:rPr>
                <w:rFonts w:hint="eastAsia" w:cs="Times New Roman"/>
                <w:b w:val="0"/>
                <w:bCs w:val="0"/>
                <w:color w:val="000000" w:themeColor="text1"/>
                <w:sz w:val="24"/>
                <w:szCs w:val="24"/>
                <w:lang w:val="en-US" w:eastAsia="zh-CN"/>
                <w14:textFill>
                  <w14:solidFill>
                    <w14:schemeClr w14:val="tx1"/>
                  </w14:solidFill>
                </w14:textFill>
              </w:rPr>
              <w:t>58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13</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25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14:textFill>
                  <w14:solidFill>
                    <w14:schemeClr w14:val="tx1"/>
                  </w14:solidFill>
                </w14:textFill>
              </w:rPr>
              <w:t>叠加地区背景值后，</w:t>
            </w:r>
            <w:r>
              <w:rPr>
                <w:rFonts w:hint="default" w:ascii="Times New Roman" w:hAnsi="Times New Roman" w:cs="Times New Roman"/>
                <w:b w:val="0"/>
                <w:bCs w:val="0"/>
                <w:color w:val="000000" w:themeColor="text1"/>
                <w:sz w:val="24"/>
                <w:szCs w:val="24"/>
                <w:lang w:eastAsia="zh-CN"/>
                <w14:textFill>
                  <w14:solidFill>
                    <w14:schemeClr w14:val="tx1"/>
                  </w14:solidFill>
                </w14:textFill>
              </w:rPr>
              <w:t>PM</w:t>
            </w:r>
            <w:r>
              <w:rPr>
                <w:rFonts w:hint="default" w:ascii="Times New Roman" w:hAnsi="Times New Roman" w:cs="Times New Roman"/>
                <w:b w:val="0"/>
                <w:bCs w:val="0"/>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b w:val="0"/>
                <w:bCs w:val="0"/>
                <w:color w:val="000000" w:themeColor="text1"/>
                <w:sz w:val="24"/>
                <w:szCs w:val="24"/>
                <w:lang w:eastAsia="zh-CN"/>
                <w14:textFill>
                  <w14:solidFill>
                    <w14:schemeClr w14:val="tx1"/>
                  </w14:solidFill>
                </w14:textFill>
              </w:rPr>
              <w:t>、SO</w:t>
            </w:r>
            <w:r>
              <w:rPr>
                <w:rFonts w:hint="default" w:ascii="Times New Roman" w:hAnsi="Times New Roman" w:cs="Times New Roman"/>
                <w:b w:val="0"/>
                <w:bCs w:val="0"/>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b w:val="0"/>
                <w:bCs w:val="0"/>
                <w:color w:val="000000" w:themeColor="text1"/>
                <w:sz w:val="24"/>
                <w:szCs w:val="24"/>
                <w:lang w:eastAsia="zh-CN"/>
                <w14:textFill>
                  <w14:solidFill>
                    <w14:schemeClr w14:val="tx1"/>
                  </w14:solidFill>
                </w14:textFill>
              </w:rPr>
              <w:t>、NO</w:t>
            </w:r>
            <w:r>
              <w:rPr>
                <w:rFonts w:hint="default" w:ascii="Times New Roman" w:hAnsi="Times New Roman"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cs="Times New Roman"/>
                <w:b w:val="0"/>
                <w:bCs w:val="0"/>
                <w:color w:val="000000" w:themeColor="text1"/>
                <w:kern w:val="0"/>
                <w:sz w:val="24"/>
                <w:szCs w:val="24"/>
                <w:lang w:val="en-US" w:eastAsia="zh-CN" w:bidi="ar"/>
                <w14:textFill>
                  <w14:solidFill>
                    <w14:schemeClr w14:val="tx1"/>
                  </w14:solidFill>
                </w14:textFill>
              </w:rPr>
              <w:t>61.65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46.9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38.7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1</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08.21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均小于《环境空气质量标准》</w:t>
            </w:r>
            <w:r>
              <w:rPr>
                <w:rFonts w:hint="eastAsia" w:cs="Times New Roman"/>
                <w:color w:val="000000" w:themeColor="text1"/>
                <w:sz w:val="24"/>
                <w:szCs w:val="24"/>
                <w:lang w:val="en-US" w:eastAsia="zh-CN"/>
                <w14:textFill>
                  <w14:solidFill>
                    <w14:schemeClr w14:val="tx1"/>
                  </w14:solidFill>
                </w14:textFill>
              </w:rPr>
              <w:t>（GB3095-2012）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vertAlign w:val="baseline"/>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eastAsia="zh-CN"/>
                <w14:textFill>
                  <w14:solidFill>
                    <w14:schemeClr w14:val="tx1"/>
                  </w14:solidFill>
                </w14:textFill>
              </w:rPr>
              <w:t>根据环境保护部环境工程评估中心“国家环境保护环境影响评价数值模拟重点实验室”上线的环境空气质量模型基础数据服务系统</w:t>
            </w:r>
            <w:r>
              <w:rPr>
                <w:rFonts w:hint="default" w:ascii="Times New Roman" w:hAnsi="Times New Roman" w:eastAsia="宋体" w:cs="Times New Roman"/>
                <w:b w:val="0"/>
                <w:bCs w:val="0"/>
                <w:color w:val="000000" w:themeColor="text1"/>
                <w:sz w:val="24"/>
                <w:szCs w:val="24"/>
                <w:lang w:eastAsia="zh-CN"/>
                <w14:textFill>
                  <w14:solidFill>
                    <w14:schemeClr w14:val="tx1"/>
                  </w14:solidFill>
                </w14:textFill>
              </w:rPr>
              <w:t>查询，</w:t>
            </w:r>
            <w:r>
              <w:rPr>
                <w:rFonts w:hint="eastAsia" w:cs="Times New Roman"/>
                <w:b w:val="0"/>
                <w:bCs w:val="0"/>
                <w:color w:val="000000" w:themeColor="text1"/>
                <w:sz w:val="24"/>
                <w:szCs w:val="24"/>
                <w:lang w:val="en-US" w:eastAsia="zh-CN"/>
                <w14:textFill>
                  <w14:solidFill>
                    <w14:schemeClr w14:val="tx1"/>
                  </w14:solidFill>
                </w14:textFill>
              </w:rPr>
              <w:t>山西临汾市</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2020年</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年均浓度、CO24小时平均第95百分位数</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分别为</w:t>
            </w:r>
            <w:r>
              <w:rPr>
                <w:rFonts w:hint="eastAsia" w:cs="Times New Roman"/>
                <w:b w:val="0"/>
                <w:bCs w:val="0"/>
                <w:color w:val="000000" w:themeColor="text1"/>
                <w:sz w:val="24"/>
                <w:szCs w:val="24"/>
                <w:lang w:val="en-US" w:eastAsia="zh-CN"/>
                <w14:textFill>
                  <w14:solidFill>
                    <w14:schemeClr w14:val="tx1"/>
                  </w14:solidFill>
                </w14:textFill>
              </w:rPr>
              <w:t>86</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18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38</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2.5</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m</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val="0"/>
                <w:color w:val="000000" w:themeColor="text1"/>
                <w:sz w:val="24"/>
                <w14:textFill>
                  <w14:solidFill>
                    <w14:schemeClr w14:val="tx1"/>
                  </w14:solidFill>
                </w14:textFill>
              </w:rPr>
              <w:t>叠加地区背景值后，</w:t>
            </w:r>
            <w:r>
              <w:rPr>
                <w:rFonts w:hint="default" w:ascii="Times New Roman" w:hAnsi="Times New Roman" w:cs="Times New Roman"/>
                <w:b w:val="0"/>
                <w:bCs w:val="0"/>
                <w:color w:val="000000" w:themeColor="text1"/>
                <w:sz w:val="24"/>
                <w:szCs w:val="24"/>
                <w:lang w:eastAsia="zh-CN"/>
                <w14:textFill>
                  <w14:solidFill>
                    <w14:schemeClr w14:val="tx1"/>
                  </w14:solidFill>
                </w14:textFill>
              </w:rPr>
              <w:t>PM</w:t>
            </w:r>
            <w:r>
              <w:rPr>
                <w:rFonts w:hint="default" w:ascii="Times New Roman" w:hAnsi="Times New Roman" w:cs="Times New Roman"/>
                <w:b w:val="0"/>
                <w:bCs w:val="0"/>
                <w:color w:val="000000" w:themeColor="text1"/>
                <w:sz w:val="24"/>
                <w:szCs w:val="24"/>
                <w:vertAlign w:val="subscript"/>
                <w:lang w:eastAsia="zh-CN"/>
                <w14:textFill>
                  <w14:solidFill>
                    <w14:schemeClr w14:val="tx1"/>
                  </w14:solidFill>
                </w14:textFill>
              </w:rPr>
              <w:t>10</w:t>
            </w:r>
            <w:r>
              <w:rPr>
                <w:rFonts w:hint="default" w:ascii="Times New Roman" w:hAnsi="Times New Roman" w:cs="Times New Roman"/>
                <w:b w:val="0"/>
                <w:bCs w:val="0"/>
                <w:color w:val="000000" w:themeColor="text1"/>
                <w:sz w:val="24"/>
                <w:szCs w:val="24"/>
                <w:lang w:eastAsia="zh-CN"/>
                <w14:textFill>
                  <w14:solidFill>
                    <w14:schemeClr w14:val="tx1"/>
                  </w14:solidFill>
                </w14:textFill>
              </w:rPr>
              <w:t>、SO</w:t>
            </w:r>
            <w:r>
              <w:rPr>
                <w:rFonts w:hint="default" w:ascii="Times New Roman" w:hAnsi="Times New Roman" w:cs="Times New Roman"/>
                <w:b w:val="0"/>
                <w:bCs w:val="0"/>
                <w:color w:val="000000" w:themeColor="text1"/>
                <w:sz w:val="24"/>
                <w:szCs w:val="24"/>
                <w:vertAlign w:val="subscript"/>
                <w:lang w:eastAsia="zh-CN"/>
                <w14:textFill>
                  <w14:solidFill>
                    <w14:schemeClr w14:val="tx1"/>
                  </w14:solidFill>
                </w14:textFill>
              </w:rPr>
              <w:t>2</w:t>
            </w:r>
            <w:r>
              <w:rPr>
                <w:rFonts w:hint="default" w:ascii="Times New Roman" w:hAnsi="Times New Roman" w:cs="Times New Roman"/>
                <w:b w:val="0"/>
                <w:bCs w:val="0"/>
                <w:color w:val="000000" w:themeColor="text1"/>
                <w:sz w:val="24"/>
                <w:szCs w:val="24"/>
                <w:lang w:eastAsia="zh-CN"/>
                <w14:textFill>
                  <w14:solidFill>
                    <w14:schemeClr w14:val="tx1"/>
                  </w14:solidFill>
                </w14:textFill>
              </w:rPr>
              <w:t>、NO</w:t>
            </w:r>
            <w:r>
              <w:rPr>
                <w:rFonts w:hint="default" w:ascii="Times New Roman" w:hAnsi="Times New Roman"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及CO</w:t>
            </w:r>
            <w:r>
              <w:rPr>
                <w:rFonts w:hint="default" w:ascii="Times New Roman" w:hAnsi="Times New Roman" w:eastAsia="宋体" w:cs="Times New Roman"/>
                <w:b w:val="0"/>
                <w:bCs w:val="0"/>
                <w:color w:val="000000" w:themeColor="text1"/>
                <w:kern w:val="0"/>
                <w:sz w:val="24"/>
                <w:szCs w:val="24"/>
                <w:lang w:val="en-US" w:eastAsia="zh-CN" w:bidi="ar"/>
                <w14:textFill>
                  <w14:solidFill>
                    <w14:schemeClr w14:val="tx1"/>
                  </w14:solidFill>
                </w14:textFill>
              </w:rPr>
              <w:t>的浓度值分别为</w:t>
            </w:r>
            <w:r>
              <w:rPr>
                <w:rFonts w:hint="eastAsia" w:cs="Times New Roman"/>
                <w:b w:val="0"/>
                <w:bCs w:val="0"/>
                <w:color w:val="000000" w:themeColor="text1"/>
                <w:kern w:val="0"/>
                <w:sz w:val="24"/>
                <w:szCs w:val="24"/>
                <w:lang w:val="en-US" w:eastAsia="zh-CN" w:bidi="ar"/>
                <w14:textFill>
                  <w14:solidFill>
                    <w14:schemeClr w14:val="tx1"/>
                  </w14:solidFill>
                </w14:textFill>
              </w:rPr>
              <w:t>89.65</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39.9</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51.7</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b w:val="0"/>
                <w:bCs w:val="0"/>
                <w:color w:val="000000" w:themeColor="text1"/>
                <w:sz w:val="24"/>
                <w:szCs w:val="24"/>
                <w:lang w:val="en-US" w:eastAsia="zh-CN"/>
                <w14:textFill>
                  <w14:solidFill>
                    <w14:schemeClr w14:val="tx1"/>
                  </w14:solidFill>
                </w14:textFill>
              </w:rPr>
              <w:t>25</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08.21</w:t>
            </w:r>
            <w:r>
              <w:rPr>
                <w:rFonts w:hint="default" w:ascii="Times New Roman" w:hAnsi="Times New Roman" w:cs="Times New Roman"/>
                <w:b w:val="0"/>
                <w:bCs w:val="0"/>
                <w:color w:val="000000" w:themeColor="text1"/>
                <w:sz w:val="24"/>
                <w:szCs w:val="24"/>
                <w14:textFill>
                  <w14:solidFill>
                    <w14:schemeClr w14:val="tx1"/>
                  </w14:solidFill>
                </w14:textFill>
              </w:rPr>
              <w:t>μ</w:t>
            </w:r>
            <w:r>
              <w:rPr>
                <w:rFonts w:hint="default" w:ascii="Times New Roman" w:hAnsi="Times New Roman" w:cs="Times New Roman"/>
                <w:b w:val="0"/>
                <w:bCs w:val="0"/>
                <w:color w:val="000000" w:themeColor="text1"/>
                <w:sz w:val="24"/>
                <w:szCs w:val="24"/>
                <w:lang w:eastAsia="zh-CN"/>
                <w14:textFill>
                  <w14:solidFill>
                    <w14:schemeClr w14:val="tx1"/>
                  </w14:solidFill>
                </w14:textFill>
              </w:rPr>
              <w:t>g/m</w:t>
            </w:r>
            <w:r>
              <w:rPr>
                <w:rFonts w:hint="default" w:ascii="Times New Roman" w:hAnsi="Times New Roman" w:cs="Times New Roman"/>
                <w:b w:val="0"/>
                <w:bCs w:val="0"/>
                <w:color w:val="000000" w:themeColor="text1"/>
                <w:sz w:val="24"/>
                <w:szCs w:val="24"/>
                <w:vertAlign w:val="superscript"/>
                <w:lang w:eastAsia="zh-CN"/>
                <w14:textFill>
                  <w14:solidFill>
                    <w14:schemeClr w14:val="tx1"/>
                  </w14:solidFill>
                </w14:textFill>
              </w:rPr>
              <w:t>3</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均小于《环境空气质量标准》</w:t>
            </w:r>
            <w:r>
              <w:rPr>
                <w:rFonts w:hint="eastAsia" w:cs="Times New Roman"/>
                <w:color w:val="000000" w:themeColor="text1"/>
                <w:sz w:val="24"/>
                <w:szCs w:val="24"/>
                <w:lang w:val="en-US" w:eastAsia="zh-CN"/>
                <w14:textFill>
                  <w14:solidFill>
                    <w14:schemeClr w14:val="tx1"/>
                  </w14:solidFill>
                </w14:textFill>
              </w:rPr>
              <w:t>（GB3095-2012）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二级标准中24小时平均值（PM</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10</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、SO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：150μg/m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、NO</w:t>
            </w:r>
            <w:r>
              <w:rPr>
                <w:rFonts w:hint="default" w:ascii="Times New Roman" w:hAnsi="Times New Roman" w:eastAsia="宋体"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：80μg/m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、CO：4mg/m</w:t>
            </w:r>
            <w:r>
              <w:rPr>
                <w:rFonts w:hint="default" w:ascii="Times New Roman" w:hAnsi="Times New Roman" w:eastAsia="宋体" w:cs="Times New Roman"/>
                <w:b w:val="0"/>
                <w:bCs w:val="0"/>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vertAlign w:val="baseline"/>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rFonts w:hint="eastAsia" w:cs="Times New Roman"/>
                <w:b w:val="0"/>
                <w:bCs w:val="0"/>
                <w:color w:val="000000" w:themeColor="text1"/>
                <w:sz w:val="24"/>
                <w:szCs w:val="24"/>
                <w:lang w:val="en-US" w:eastAsia="zh-CN"/>
                <w14:textFill>
                  <w14:solidFill>
                    <w14:schemeClr w14:val="tx1"/>
                  </w14:solidFill>
                </w14:textFill>
              </w:rPr>
              <w:t>综上所述</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w:t>
            </w:r>
            <w:r>
              <w:rPr>
                <w:rFonts w:hint="eastAsia" w:cs="Times New Roman"/>
                <w:color w:val="000000" w:themeColor="text1"/>
                <w:sz w:val="24"/>
                <w:szCs w:val="24"/>
                <w:lang w:val="en-US" w:eastAsia="zh-CN"/>
                <w14:textFill>
                  <w14:solidFill>
                    <w14:schemeClr w14:val="tx1"/>
                  </w14:solidFill>
                </w14:textFill>
              </w:rPr>
              <w:t>柴油发电机</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废气</w:t>
            </w: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对居民影响较小。</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2环境影响分析</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1</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施工扬尘</w:t>
            </w:r>
            <w:r>
              <w:rPr>
                <w:rFonts w:hint="eastAsia"/>
                <w:color w:val="000000" w:themeColor="text1"/>
                <w:sz w:val="24"/>
                <w:lang w:val="en-US" w:eastAsia="zh-CN"/>
                <w14:textFill>
                  <w14:solidFill>
                    <w14:schemeClr w14:val="tx1"/>
                  </w14:solidFill>
                </w14:textFill>
              </w:rPr>
              <w:t>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扬尘主要产生在钻前场地平整、土方开挖等环节，及材料运输过程中的道路扬尘，属于无组织排放。施工扬尘对环境造成的不良影响主要有：导致环境空气中颗粒物浓度升高，影响施工场地周边环境空气质量；道路扬尘对施工沿线附近村民产生一定不利影响。扬尘的起尘条件主要取决于表面含水量、地面状况和风速大小等因素。</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当环境风速大于4.5m/s，扬尘会产生一定的影响，但随着距离的增加，TSP浓度迅速减小，其影响范围一般在仅在下风向150m范围内，在200m处基本恢复到背景值。由于施工扬尘粒径较大，飘移距离短，采取洒水、抑尘、苫盖等控制措施后，影响范围有限。随着施工期的结束，影响将会消失。</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本次评价针对施工扬尘提出以下污染防治措施：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①合理规划施工进度，临时弃土集中堆放在背风侧，且不宜堆积过久、过高，防止弃土风化失水起尘，堆放过程中应在顶部加盖篷布；遇4级以上大风天气应停止土方作业；</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②在施工初期合理规划设备、材料等运输路线，尽量利用现有路网；运料车辆在运料顶部加盖篷布，不得装载过满，以防洒落在地，形成二次扬尘；运输车辆路过村庄等人群密集区时，速度保持在20km/h以下；</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③文明施工，粉状材料堆放过程中要进行苫盖，卸放过程要轻拿轻放，定期清扫散落在施工场地的泥土，有条件的场地要可以通过洒水抑尘。</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snapToGrid w:val="0"/>
                <w:color w:val="000000" w:themeColor="text1"/>
                <w:sz w:val="24"/>
                <w:lang w:eastAsia="zh-CN"/>
                <w14:textFill>
                  <w14:solidFill>
                    <w14:schemeClr w14:val="tx1"/>
                  </w14:solidFill>
                </w14:textFill>
              </w:rPr>
            </w:pPr>
            <w:r>
              <w:rPr>
                <w:rFonts w:hint="eastAsia"/>
                <w:snapToGrid w:val="0"/>
                <w:color w:val="000000" w:themeColor="text1"/>
                <w:sz w:val="24"/>
                <w:lang w:eastAsia="zh-CN"/>
                <w14:textFill>
                  <w14:solidFill>
                    <w14:schemeClr w14:val="tx1"/>
                  </w14:solidFill>
                </w14:textFill>
              </w:rPr>
              <w:t>④施工完成后，及时进行场地平整和临时占地的植被恢复，确保绿化面积和植被成活率。</w:t>
            </w:r>
          </w:p>
          <w:p>
            <w:pPr>
              <w:keepNext w:val="0"/>
              <w:keepLines w:val="0"/>
              <w:pageBreakBefore w:val="0"/>
              <w:widowControl w:val="0"/>
              <w:kinsoku/>
              <w:wordWrap/>
              <w:overflowPunct/>
              <w:topLinePunct w:val="0"/>
              <w:autoSpaceDE/>
              <w:autoSpaceDN/>
              <w:bidi w:val="0"/>
              <w:snapToGrid/>
              <w:spacing w:line="360" w:lineRule="auto"/>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采取以上防治措施后，施工扬尘可得到有效的控制和减缓，对评价区域环境空气质量影响较小。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（2）燃油废气</w:t>
            </w:r>
            <w:r>
              <w:rPr>
                <w:rFonts w:hint="eastAsia"/>
                <w:color w:val="000000" w:themeColor="text1"/>
                <w:sz w:val="24"/>
                <w:lang w:val="en-US" w:eastAsia="zh-CN"/>
                <w14:textFill>
                  <w14:solidFill>
                    <w14:schemeClr w14:val="tx1"/>
                  </w14:solidFill>
                </w14:textFill>
              </w:rPr>
              <w:t>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ascii="Times New Roman" w:hAnsi="Times New Roman" w:cs="Times New Roman"/>
                <w:color w:val="000000" w:themeColor="text1"/>
                <w:sz w:val="24"/>
                <w:lang w:eastAsia="zh-CN"/>
                <w14:textFill>
                  <w14:solidFill>
                    <w14:schemeClr w14:val="tx1"/>
                  </w14:solidFill>
                </w14:textFill>
              </w:rPr>
              <w:t>钻探过程中废气主要来自于柴油发电机燃烧废气，主要污染物为烟尘</w:t>
            </w:r>
            <w:r>
              <w:rPr>
                <w:rFonts w:hint="eastAsia" w:ascii="Times New Roman" w:hAnsi="Times New Roman" w:cs="Times New Roman"/>
                <w:color w:val="000000" w:themeColor="text1"/>
                <w:sz w:val="24"/>
                <w:lang w:eastAsia="zh-CN"/>
                <w14:textFill>
                  <w14:solidFill>
                    <w14:schemeClr w14:val="tx1"/>
                  </w14:solidFill>
                </w14:textFill>
              </w:rPr>
              <w:t>、</w:t>
            </w:r>
            <w:r>
              <w:rPr>
                <w:rFonts w:ascii="Times New Roman" w:hAnsi="Times New Roman" w:cs="Times New Roman"/>
                <w:color w:val="000000" w:themeColor="text1"/>
                <w:sz w:val="24"/>
                <w:lang w:eastAsia="zh-CN"/>
                <w14:textFill>
                  <w14:solidFill>
                    <w14:schemeClr w14:val="tx1"/>
                  </w14:solidFill>
                </w14:textFill>
              </w:rPr>
              <w:t>NO</w:t>
            </w:r>
            <w:r>
              <w:rPr>
                <w:rFonts w:hint="eastAsia" w:ascii="Times New Roman" w:hAnsi="Times New Roman" w:cs="Times New Roman"/>
                <w:color w:val="000000" w:themeColor="text1"/>
                <w:sz w:val="24"/>
                <w:vertAlign w:val="subscript"/>
                <w:lang w:eastAsia="zh-CN"/>
                <w14:textFill>
                  <w14:solidFill>
                    <w14:schemeClr w14:val="tx1"/>
                  </w14:solidFill>
                </w14:textFill>
              </w:rPr>
              <w:t>x</w:t>
            </w:r>
            <w:r>
              <w:rPr>
                <w:rFonts w:ascii="Times New Roman" w:hAnsi="Times New Roman" w:cs="Times New Roman"/>
                <w:color w:val="000000" w:themeColor="text1"/>
                <w:sz w:val="24"/>
                <w:lang w:eastAsia="zh-CN"/>
                <w14:textFill>
                  <w14:solidFill>
                    <w14:schemeClr w14:val="tx1"/>
                  </w14:solidFill>
                </w14:textFill>
              </w:rPr>
              <w:t>、SO</w:t>
            </w:r>
            <w:r>
              <w:rPr>
                <w:rFonts w:ascii="Times New Roman" w:hAnsi="Times New Roman" w:cs="Times New Roman"/>
                <w:color w:val="000000" w:themeColor="text1"/>
                <w:sz w:val="24"/>
                <w:vertAlign w:val="subscript"/>
                <w:lang w:eastAsia="zh-CN"/>
                <w14:textFill>
                  <w14:solidFill>
                    <w14:schemeClr w14:val="tx1"/>
                  </w14:solidFill>
                </w14:textFill>
              </w:rPr>
              <w:t>2</w:t>
            </w:r>
            <w:r>
              <w:rPr>
                <w:rFonts w:ascii="Times New Roman" w:hAnsi="Times New Roman" w:cs="Times New Roman"/>
                <w:color w:val="000000" w:themeColor="text1"/>
                <w:sz w:val="24"/>
                <w:lang w:eastAsia="zh-CN"/>
                <w14:textFill>
                  <w14:solidFill>
                    <w14:schemeClr w14:val="tx1"/>
                  </w14:solidFill>
                </w14:textFill>
              </w:rPr>
              <w:t>等，为无组织、分散排放。</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本项目选择符合环保要求的柴油机，每个钻孔用到柴油发电机的时间一般</w:t>
            </w:r>
            <w:r>
              <w:rPr>
                <w:rFonts w:hint="default"/>
                <w:color w:val="000000" w:themeColor="text1"/>
                <w:sz w:val="24"/>
                <w:lang w:val="en-US" w:eastAsia="zh-CN"/>
                <w14:textFill>
                  <w14:solidFill>
                    <w14:schemeClr w14:val="tx1"/>
                  </w14:solidFill>
                </w14:textFill>
              </w:rPr>
              <w:t>15</w:t>
            </w:r>
            <w:r>
              <w:rPr>
                <w:rFonts w:hint="eastAsia"/>
                <w:color w:val="000000" w:themeColor="text1"/>
                <w:sz w:val="24"/>
                <w:lang w:val="en-US" w:eastAsia="zh-CN"/>
                <w14:textFill>
                  <w14:solidFill>
                    <w14:schemeClr w14:val="tx1"/>
                  </w14:solidFill>
                </w14:textFill>
              </w:rPr>
              <w:t>天左右，钻孔周围一般没有密集的建筑物与居民区，随着钻井工作的结束，柴油燃烧废气对环境空气的影响会逐渐消失，对周围环境影响不大。</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本次评价针对燃油废气提出以下污染防治措施：</w:t>
            </w:r>
          </w:p>
          <w:p>
            <w:pPr>
              <w:spacing w:line="360" w:lineRule="auto"/>
              <w:ind w:firstLine="480" w:firstLineChars="200"/>
              <w:rPr>
                <w:rFonts w:hint="eastAsia"/>
                <w:color w:val="000000" w:themeColor="text1"/>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①采用节能环保型柴油动力设备；</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②发采用符合《普通柴油》（GB 252-2015）标准的柴油。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eastAsia="zh-CN"/>
                <w14:textFill>
                  <w14:solidFill>
                    <w14:schemeClr w14:val="tx1"/>
                  </w14:solidFill>
                </w14:textFill>
              </w:rPr>
              <w:fldChar w:fldCharType="begin"/>
            </w:r>
            <w:r>
              <w:rPr>
                <w:rFonts w:hint="eastAsia" w:ascii="Times New Roman" w:hAnsi="Times New Roman" w:cs="Times New Roman"/>
                <w:color w:val="000000" w:themeColor="text1"/>
                <w:sz w:val="24"/>
                <w:lang w:eastAsia="zh-CN"/>
                <w14:textFill>
                  <w14:solidFill>
                    <w14:schemeClr w14:val="tx1"/>
                  </w14:solidFill>
                </w14:textFill>
              </w:rPr>
              <w:instrText xml:space="preserve"> = 3 \* GB3 \* MERGEFORMAT </w:instrText>
            </w:r>
            <w:r>
              <w:rPr>
                <w:rFonts w:hint="eastAsia" w:ascii="Times New Roman" w:hAnsi="Times New Roman" w:cs="Times New Roman"/>
                <w:color w:val="000000" w:themeColor="text1"/>
                <w:sz w:val="24"/>
                <w:lang w:eastAsia="zh-CN"/>
                <w14:textFill>
                  <w14:solidFill>
                    <w14:schemeClr w14:val="tx1"/>
                  </w14:solidFill>
                </w14:textFill>
              </w:rPr>
              <w:fldChar w:fldCharType="separate"/>
            </w:r>
            <w:r>
              <w:rPr>
                <w:rFonts w:ascii="Times New Roman" w:hAnsi="Times New Roman" w:cs="Times New Roman"/>
                <w:color w:val="000000" w:themeColor="text1"/>
                <w:sz w:val="24"/>
                <w:lang w:eastAsia="zh-CN"/>
                <w14:textFill>
                  <w14:solidFill>
                    <w14:schemeClr w14:val="tx1"/>
                  </w14:solidFill>
                </w14:textFill>
              </w:rPr>
              <w:t>③</w:t>
            </w:r>
            <w:r>
              <w:rPr>
                <w:rFonts w:hint="eastAsia" w:ascii="Times New Roman" w:hAnsi="Times New Roman" w:cs="Times New Roman"/>
                <w:color w:val="000000" w:themeColor="text1"/>
                <w:sz w:val="24"/>
                <w:lang w:eastAsia="zh-CN"/>
                <w14:textFill>
                  <w14:solidFill>
                    <w14:schemeClr w14:val="tx1"/>
                  </w14:solidFill>
                </w14:textFill>
              </w:rPr>
              <w:fldChar w:fldCharType="end"/>
            </w:r>
            <w:r>
              <w:rPr>
                <w:rFonts w:hint="eastAsia" w:ascii="Times New Roman" w:hAnsi="Times New Roman" w:cs="Times New Roman"/>
                <w:color w:val="000000" w:themeColor="text1"/>
                <w:sz w:val="24"/>
                <w:lang w:eastAsia="zh-CN"/>
                <w14:textFill>
                  <w14:solidFill>
                    <w14:schemeClr w14:val="tx1"/>
                  </w14:solidFill>
                </w14:textFill>
              </w:rPr>
              <w:t>选用的柴油发电机需满足《非道路柴油移动机械污染物排放控制技术要求》（HJ1014-2020）。</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采取以上防治措施后，燃油废气的影响可得到有效的控制，对评价区域环境空气质量影响较小。</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2、</w:t>
            </w:r>
            <w:r>
              <w:rPr>
                <w:rFonts w:hint="eastAsia"/>
                <w:b/>
                <w:color w:val="000000" w:themeColor="text1"/>
                <w:sz w:val="24"/>
                <w14:textFill>
                  <w14:solidFill>
                    <w14:schemeClr w14:val="tx1"/>
                  </w14:solidFill>
                </w14:textFill>
              </w:rPr>
              <w:t>地表水环境影响分析</w:t>
            </w:r>
          </w:p>
          <w:p>
            <w:pPr>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2.1评价等级判定</w:t>
            </w:r>
          </w:p>
          <w:p>
            <w:pPr>
              <w:widowControl/>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本项目的地表水环境影响评价为水污染影响型。产生的废、污水主要来自施工作业废水和生活污水，全部回用，不外排。按照《环境影响评价技术导则—地表水环境》</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HJ2.3-2018</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表1评价工作等级的划分见表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，判定地表水评价等级为三级B。</w:t>
            </w:r>
          </w:p>
          <w:p>
            <w:pPr>
              <w:spacing w:line="240" w:lineRule="auto"/>
              <w:jc w:val="center"/>
              <w:rPr>
                <w:b/>
                <w:bCs/>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4</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水污染影响型建设项目评价等级判定</w:t>
            </w:r>
            <w:r>
              <w:rPr>
                <w:b w:val="0"/>
                <w:bCs w:val="0"/>
                <w:color w:val="000000" w:themeColor="text1"/>
                <w:sz w:val="24"/>
                <w14:textFill>
                  <w14:solidFill>
                    <w14:schemeClr w14:val="tx1"/>
                  </w14:solidFill>
                </w14:textFill>
              </w:rPr>
              <w:t>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35"/>
              <w:gridCol w:w="2714"/>
              <w:gridCol w:w="439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restar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评价等级</w:t>
                  </w:r>
                </w:p>
              </w:tc>
              <w:tc>
                <w:tcPr>
                  <w:tcW w:w="3724" w:type="pct"/>
                  <w:gridSpan w:val="2"/>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判定依据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vMerge w:val="continue"/>
                  <w:tcBorders>
                    <w:tl2br w:val="nil"/>
                    <w:tr2bl w:val="nil"/>
                  </w:tcBorders>
                  <w:vAlign w:val="center"/>
                </w:tcPr>
                <w:p>
                  <w:pPr>
                    <w:jc w:val="center"/>
                    <w:rPr>
                      <w:color w:val="000000" w:themeColor="text1"/>
                      <w:kern w:val="0"/>
                      <w:szCs w:val="21"/>
                      <w14:textFill>
                        <w14:solidFill>
                          <w14:schemeClr w14:val="tx1"/>
                        </w14:solidFill>
                      </w14:textFill>
                    </w:rPr>
                  </w:pP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排放方式</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废水排放量Q/（m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/d）；</w:t>
                  </w:r>
                </w:p>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水污染物当量数W/（无量纲）</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一级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Q≥20000或W≥600000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二级</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其他</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三级A</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Q＜200且W＜6000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76"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三级B</w:t>
                  </w:r>
                </w:p>
              </w:tc>
              <w:tc>
                <w:tcPr>
                  <w:tcW w:w="1422" w:type="pct"/>
                  <w:tcBorders>
                    <w:tl2br w:val="nil"/>
                    <w:tr2bl w:val="nil"/>
                  </w:tcBorders>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间接排放</w:t>
                  </w:r>
                </w:p>
              </w:tc>
              <w:tc>
                <w:tcPr>
                  <w:tcW w:w="2302" w:type="pct"/>
                  <w:tcBorders>
                    <w:tl2br w:val="nil"/>
                    <w:tr2bl w:val="nil"/>
                  </w:tcBorders>
                  <w:vAlign w:val="center"/>
                </w:tcPr>
                <w:p>
                  <w:pPr>
                    <w:adjustRightIn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3"/>
                  <w:tcBorders>
                    <w:tl2br w:val="nil"/>
                    <w:tr2bl w:val="nil"/>
                  </w:tcBorders>
                  <w:vAlign w:val="center"/>
                </w:tcPr>
                <w:p>
                  <w:pPr>
                    <w:adjustRightInd w:val="0"/>
                    <w:jc w:val="left"/>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注10：建设项目生产工艺中有废水产生，但作为回水利用，不排放到外环境的，按三级B评价。</w:t>
                  </w:r>
                </w:p>
              </w:tc>
            </w:tr>
          </w:tbl>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2.2地表水环境影响分析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施工期的废水主要来自项目部、钻探</w:t>
            </w:r>
            <w:r>
              <w:rPr>
                <w:rFonts w:hint="eastAsia"/>
                <w:color w:val="000000" w:themeColor="text1"/>
                <w:sz w:val="24"/>
                <w:lang w:eastAsia="zh-CN"/>
                <w14:textFill>
                  <w14:solidFill>
                    <w14:schemeClr w14:val="tx1"/>
                  </w14:solidFill>
                </w14:textFill>
              </w:rPr>
              <w:t>勘查区</w:t>
            </w:r>
            <w:r>
              <w:rPr>
                <w:rFonts w:hint="eastAsia"/>
                <w:color w:val="000000" w:themeColor="text1"/>
                <w:sz w:val="24"/>
                <w14:textFill>
                  <w14:solidFill>
                    <w14:schemeClr w14:val="tx1"/>
                  </w14:solidFill>
                </w14:textFill>
              </w:rPr>
              <w:t>人员生活污水以及钻井施工中的钻井泥浆废水、设备冲洗废水。项目部依托周边村庄现有旱厕，生活洗漱废水用于洒水抑尘；钻探施工区的生活区设旱厕，定期清掏，生活洗漱污水用于洒水抑尘。钻井泥浆池中的上清液循环使用，过程需补充一定消耗水量，废水全部循环，不外排。设备冲洗废水进入泥浆池沉淀自然干化，不外排。</w:t>
            </w:r>
          </w:p>
          <w:p>
            <w:pPr>
              <w:spacing w:line="360" w:lineRule="auto"/>
              <w:ind w:firstLine="482" w:firstLineChars="200"/>
              <w:rPr>
                <w:b/>
                <w:bCs/>
                <w:color w:val="000000" w:themeColor="text1"/>
                <w:sz w:val="24"/>
                <w14:textFill>
                  <w14:solidFill>
                    <w14:schemeClr w14:val="tx1"/>
                  </w14:solidFill>
                </w14:textFill>
              </w:rPr>
            </w:pPr>
            <w:r>
              <w:rPr>
                <w:rFonts w:hint="eastAsia"/>
                <w:b/>
                <w:bCs/>
                <w:color w:val="000000" w:themeColor="text1"/>
                <w:sz w:val="24"/>
                <w14:textFill>
                  <w14:solidFill>
                    <w14:schemeClr w14:val="tx1"/>
                  </w14:solidFill>
                </w14:textFill>
              </w:rPr>
              <w:t>本次评价提出以下地表水污染防治措施：</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①施工过程中清洁设备尽量采用擦洗，避免直接冲洗，减少清水使用量；</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②严禁在水体附近清洗施工器具、机械等；加强施工机械维护，防止施工机械漏油，若有漏油现象应及时收集，并用专门容器盛装后统一处理；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③水泥等封孔材料应设篷盖和围拦，防止雨水冲刷进入水体。</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采取以上防治措施后，施工期污、废水不外排，不会对地表水环境产生影响。</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3、</w:t>
            </w:r>
            <w:r>
              <w:rPr>
                <w:rFonts w:hint="eastAsia"/>
                <w:b/>
                <w:color w:val="000000" w:themeColor="text1"/>
                <w:sz w:val="24"/>
                <w14:textFill>
                  <w14:solidFill>
                    <w14:schemeClr w14:val="tx1"/>
                  </w14:solidFill>
                </w14:textFill>
              </w:rPr>
              <w:t>声环境影响分析</w:t>
            </w:r>
          </w:p>
          <w:p>
            <w:pPr>
              <w:spacing w:line="360" w:lineRule="auto"/>
              <w:contextualSpacing/>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3.1评价等级判定</w:t>
            </w:r>
          </w:p>
          <w:p>
            <w:pPr>
              <w:spacing w:line="360" w:lineRule="auto"/>
              <w:ind w:firstLine="480" w:firstLineChars="200"/>
              <w:rPr>
                <w:rFonts w:hAnsi="宋体"/>
                <w:color w:val="000000" w:themeColor="text1"/>
                <w:kern w:val="0"/>
                <w:sz w:val="24"/>
                <w:szCs w:val="20"/>
                <w14:textFill>
                  <w14:solidFill>
                    <w14:schemeClr w14:val="tx1"/>
                  </w14:solidFill>
                </w14:textFill>
              </w:rPr>
            </w:pPr>
            <w:r>
              <w:rPr>
                <w:rFonts w:hint="eastAsia" w:hAnsi="宋体"/>
                <w:color w:val="000000" w:themeColor="text1"/>
                <w:kern w:val="0"/>
                <w:sz w:val="24"/>
                <w:szCs w:val="20"/>
                <w14:textFill>
                  <w14:solidFill>
                    <w14:schemeClr w14:val="tx1"/>
                  </w14:solidFill>
                </w14:textFill>
              </w:rPr>
              <w:t>本项目所在区域声环境质量执行《声环境质量标准》（</w:t>
            </w:r>
            <w:r>
              <w:rPr>
                <w:rFonts w:hAnsi="宋体"/>
                <w:color w:val="000000" w:themeColor="text1"/>
                <w:kern w:val="0"/>
                <w:sz w:val="24"/>
                <w:szCs w:val="20"/>
                <w14:textFill>
                  <w14:solidFill>
                    <w14:schemeClr w14:val="tx1"/>
                  </w14:solidFill>
                </w14:textFill>
              </w:rPr>
              <w:t>GB3096-2008</w:t>
            </w:r>
            <w:r>
              <w:rPr>
                <w:rFonts w:hint="eastAsia" w:hAnsi="宋体"/>
                <w:color w:val="000000" w:themeColor="text1"/>
                <w:kern w:val="0"/>
                <w:sz w:val="24"/>
                <w:szCs w:val="20"/>
                <w14:textFill>
                  <w14:solidFill>
                    <w14:schemeClr w14:val="tx1"/>
                  </w14:solidFill>
                </w14:textFill>
              </w:rPr>
              <w:t>）中</w:t>
            </w:r>
            <w:r>
              <w:rPr>
                <w:rFonts w:hAnsi="宋体"/>
                <w:color w:val="000000" w:themeColor="text1"/>
                <w:kern w:val="0"/>
                <w:sz w:val="24"/>
                <w:szCs w:val="20"/>
                <w14:textFill>
                  <w14:solidFill>
                    <w14:schemeClr w14:val="tx1"/>
                  </w14:solidFill>
                </w14:textFill>
              </w:rPr>
              <w:t>1</w:t>
            </w:r>
            <w:r>
              <w:rPr>
                <w:rFonts w:hint="eastAsia" w:hAnsi="宋体"/>
                <w:color w:val="000000" w:themeColor="text1"/>
                <w:kern w:val="0"/>
                <w:sz w:val="24"/>
                <w:szCs w:val="20"/>
                <w14:textFill>
                  <w14:solidFill>
                    <w14:schemeClr w14:val="tx1"/>
                  </w14:solidFill>
                </w14:textFill>
              </w:rPr>
              <w:t>类区标准要求。根据《环境影响评价技术导则</w:t>
            </w:r>
            <w:r>
              <w:rPr>
                <w:rFonts w:hAnsi="宋体"/>
                <w:color w:val="000000" w:themeColor="text1"/>
                <w:kern w:val="0"/>
                <w:sz w:val="24"/>
                <w:szCs w:val="20"/>
                <w14:textFill>
                  <w14:solidFill>
                    <w14:schemeClr w14:val="tx1"/>
                  </w14:solidFill>
                </w14:textFill>
              </w:rPr>
              <w:t xml:space="preserve"> </w:t>
            </w:r>
            <w:r>
              <w:rPr>
                <w:rFonts w:hint="eastAsia" w:hAnsi="宋体"/>
                <w:color w:val="000000" w:themeColor="text1"/>
                <w:kern w:val="0"/>
                <w:sz w:val="24"/>
                <w:szCs w:val="20"/>
                <w14:textFill>
                  <w14:solidFill>
                    <w14:schemeClr w14:val="tx1"/>
                  </w14:solidFill>
                </w14:textFill>
              </w:rPr>
              <w:t>声环境》（</w:t>
            </w:r>
            <w:r>
              <w:rPr>
                <w:rFonts w:hAnsi="宋体"/>
                <w:color w:val="000000" w:themeColor="text1"/>
                <w:kern w:val="0"/>
                <w:sz w:val="24"/>
                <w:szCs w:val="20"/>
                <w14:textFill>
                  <w14:solidFill>
                    <w14:schemeClr w14:val="tx1"/>
                  </w14:solidFill>
                </w14:textFill>
              </w:rPr>
              <w:t>HJ2.4-2009</w:t>
            </w:r>
            <w:r>
              <w:rPr>
                <w:rFonts w:hint="eastAsia" w:hAnsi="宋体"/>
                <w:color w:val="000000" w:themeColor="text1"/>
                <w:kern w:val="0"/>
                <w:sz w:val="24"/>
                <w:szCs w:val="20"/>
                <w14:textFill>
                  <w14:solidFill>
                    <w14:schemeClr w14:val="tx1"/>
                  </w14:solidFill>
                </w14:textFill>
              </w:rPr>
              <w:t>），项目声环境评价等级为二级</w:t>
            </w:r>
            <w:r>
              <w:rPr>
                <w:rFonts w:hint="eastAsia" w:hAnsi="宋体"/>
                <w:color w:val="000000" w:themeColor="text1"/>
                <w:kern w:val="0"/>
                <w:sz w:val="24"/>
                <w:szCs w:val="20"/>
                <w:lang w:eastAsia="zh-CN"/>
                <w14:textFill>
                  <w14:solidFill>
                    <w14:schemeClr w14:val="tx1"/>
                  </w14:solidFill>
                </w14:textFill>
              </w:rPr>
              <w:t>，</w:t>
            </w:r>
            <w:r>
              <w:rPr>
                <w:rFonts w:hint="eastAsia" w:hAnsi="宋体"/>
                <w:color w:val="000000" w:themeColor="text1"/>
                <w:kern w:val="0"/>
                <w:sz w:val="24"/>
                <w:szCs w:val="20"/>
                <w14:textFill>
                  <w14:solidFill>
                    <w14:schemeClr w14:val="tx1"/>
                  </w14:solidFill>
                </w14:textFill>
              </w:rPr>
              <w:t>评价范围为钻孔施工平台边界向外</w:t>
            </w:r>
            <w:r>
              <w:rPr>
                <w:rFonts w:hAnsi="宋体"/>
                <w:color w:val="000000" w:themeColor="text1"/>
                <w:kern w:val="0"/>
                <w:sz w:val="24"/>
                <w:szCs w:val="20"/>
                <w14:textFill>
                  <w14:solidFill>
                    <w14:schemeClr w14:val="tx1"/>
                  </w14:solidFill>
                </w14:textFill>
              </w:rPr>
              <w:t>250m</w:t>
            </w:r>
            <w:r>
              <w:rPr>
                <w:rFonts w:hint="eastAsia" w:hAnsi="宋体"/>
                <w:color w:val="000000" w:themeColor="text1"/>
                <w:kern w:val="0"/>
                <w:sz w:val="24"/>
                <w:szCs w:val="20"/>
                <w14:textFill>
                  <w14:solidFill>
                    <w14:schemeClr w14:val="tx1"/>
                  </w14:solidFill>
                </w14:textFill>
              </w:rPr>
              <w:t>。</w:t>
            </w:r>
          </w:p>
          <w:p>
            <w:pPr>
              <w:adjustRightInd w:val="0"/>
              <w:spacing w:line="360" w:lineRule="auto"/>
              <w:contextualSpacing/>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3.2声环境影响分析</w:t>
            </w:r>
          </w:p>
          <w:p>
            <w:pPr>
              <w:pStyle w:val="26"/>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勘查过程中，机械噪声会对周边环境产生影响，固定性声源主要有钻探机组、柴油发电机、泥浆泵、除砂器及泥浆搅拌机，噪声级一般65～95dB（A）；流动性声源主要指运输车辆，噪声级一般65～75dB（A）。</w:t>
            </w:r>
          </w:p>
          <w:p>
            <w:pPr>
              <w:pStyle w:val="26"/>
              <w:adjustRightInd/>
              <w:spacing w:line="360" w:lineRule="auto"/>
              <w:ind w:firstLine="480" w:firstLineChars="200"/>
              <w:jc w:val="both"/>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w:t>
            </w:r>
            <w:r>
              <w:rPr>
                <w:rFonts w:ascii="Times New Roman" w:hAnsi="Times New Roman" w:cs="Times New Roman"/>
                <w:bCs/>
                <w:color w:val="000000" w:themeColor="text1"/>
                <w14:textFill>
                  <w14:solidFill>
                    <w14:schemeClr w14:val="tx1"/>
                  </w14:solidFill>
                </w14:textFill>
              </w:rPr>
              <w:t>1</w:t>
            </w:r>
            <w:r>
              <w:rPr>
                <w:rFonts w:ascii="Times New Roman" w:hAnsi="Times New Roman" w:cs="Times New Roman"/>
                <w:color w:val="000000" w:themeColor="text1"/>
                <w14:textFill>
                  <w14:solidFill>
                    <w14:schemeClr w14:val="tx1"/>
                  </w14:solidFill>
                </w14:textFill>
              </w:rPr>
              <w:t>）噪声源强</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钻井噪声固定声源主要来源于钻探机组、柴油发电机、泥浆泵、除砂器及泥浆搅拌机，噪声源强在65～95dB（A)，对环境影响较大。钻机产生的影响主要为钻机设备产生的振动，随着钻机钻探深度增加，在地层屏蔽的作用下，影响逐渐减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目前，钻井噪声处理难度较大，减轻钻井噪声影响的主要措施是柴油发电机自带消音装置，在柴油机、钻机、泥浆泵等设备设置减振，在钻井过程中平稳操作，避免产生非正常的噪声，通过以上措施可以降低噪声约</w:t>
            </w:r>
            <w:r>
              <w:rPr>
                <w:snapToGrid w:val="0"/>
                <w:color w:val="000000" w:themeColor="text1"/>
                <w:kern w:val="0"/>
                <w:sz w:val="24"/>
                <w14:textFill>
                  <w14:solidFill>
                    <w14:schemeClr w14:val="tx1"/>
                  </w14:solidFill>
                </w14:textFill>
              </w:rPr>
              <w:t>5</w:t>
            </w:r>
            <w:r>
              <w:rPr>
                <w:rFonts w:hint="eastAsia"/>
                <w:snapToGrid w:val="0"/>
                <w:color w:val="000000" w:themeColor="text1"/>
                <w:kern w:val="0"/>
                <w:sz w:val="24"/>
                <w:lang w:eastAsia="zh-CN"/>
                <w14:textFill>
                  <w14:solidFill>
                    <w14:schemeClr w14:val="tx1"/>
                  </w14:solidFill>
                </w14:textFill>
              </w:rPr>
              <w:t>—</w:t>
            </w:r>
            <w:r>
              <w:rPr>
                <w:rFonts w:hint="eastAsia"/>
                <w:snapToGrid w:val="0"/>
                <w:color w:val="000000" w:themeColor="text1"/>
                <w:kern w:val="0"/>
                <w:sz w:val="24"/>
                <w:lang w:val="en-US" w:eastAsia="zh-CN"/>
                <w14:textFill>
                  <w14:solidFill>
                    <w14:schemeClr w14:val="tx1"/>
                  </w14:solidFill>
                </w14:textFill>
              </w:rPr>
              <w:t>10</w:t>
            </w:r>
            <w:r>
              <w:rPr>
                <w:snapToGrid w:val="0"/>
                <w:color w:val="000000" w:themeColor="text1"/>
                <w:kern w:val="0"/>
                <w:sz w:val="24"/>
                <w14:textFill>
                  <w14:solidFill>
                    <w14:schemeClr w14:val="tx1"/>
                  </w14:solidFill>
                </w14:textFill>
              </w:rPr>
              <w:t>dB(A)</w:t>
            </w:r>
            <w:r>
              <w:rPr>
                <w:rFonts w:hint="eastAsia"/>
                <w:snapToGrid w:val="0"/>
                <w:color w:val="000000" w:themeColor="text1"/>
                <w:kern w:val="0"/>
                <w:sz w:val="24"/>
                <w14:textFill>
                  <w14:solidFill>
                    <w14:schemeClr w14:val="tx1"/>
                  </w14:solidFill>
                </w14:textFill>
              </w:rPr>
              <w:t>左右。单个钻井平台降噪前后噪声源强见表</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lang w:val="en-US" w:eastAsia="zh-CN"/>
                <w14:textFill>
                  <w14:solidFill>
                    <w14:schemeClr w14:val="tx1"/>
                  </w14:solidFill>
                </w14:textFill>
              </w:rPr>
              <w:t>5</w:t>
            </w:r>
            <w:r>
              <w:rPr>
                <w:rFonts w:hint="eastAsia"/>
                <w:snapToGrid w:val="0"/>
                <w:color w:val="000000" w:themeColor="text1"/>
                <w:kern w:val="0"/>
                <w:sz w:val="24"/>
                <w14:textFill>
                  <w14:solidFill>
                    <w14:schemeClr w14:val="tx1"/>
                  </w14:solidFill>
                </w14:textFill>
              </w:rPr>
              <w:t>。</w:t>
            </w:r>
          </w:p>
          <w:p>
            <w:pPr>
              <w:spacing w:line="240" w:lineRule="auto"/>
              <w:jc w:val="center"/>
              <w:rPr>
                <w:b/>
                <w:bCs/>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5</w:t>
            </w:r>
            <w:r>
              <w:rPr>
                <w:rFonts w:hint="eastAsia"/>
                <w:b w:val="0"/>
                <w:bCs w:val="0"/>
                <w:color w:val="000000" w:themeColor="text1"/>
                <w:sz w:val="24"/>
                <w14:textFill>
                  <w14:solidFill>
                    <w14:schemeClr w14:val="tx1"/>
                  </w14:solidFill>
                </w14:textFill>
              </w:rPr>
              <w:t xml:space="preserve">  单个钻井平台降噪前后噪声源强   单位：dB（A）</w:t>
            </w:r>
          </w:p>
          <w:tbl>
            <w:tblPr>
              <w:tblStyle w:val="14"/>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028"/>
              <w:gridCol w:w="1835"/>
              <w:gridCol w:w="1599"/>
              <w:gridCol w:w="1360"/>
              <w:gridCol w:w="1976"/>
              <w:gridCol w:w="17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tblHeader/>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设备名称</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数量</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源强</w:t>
                  </w:r>
                </w:p>
              </w:tc>
              <w:tc>
                <w:tcPr>
                  <w:tcW w:w="1036"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降噪措施</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降噪后源强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31"/>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snapToGrid w:val="0"/>
                      <w:color w:val="000000" w:themeColor="text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95</w:t>
                  </w:r>
                </w:p>
              </w:tc>
              <w:tc>
                <w:tcPr>
                  <w:tcW w:w="1036" w:type="pct"/>
                  <w:tcBorders>
                    <w:tl2br w:val="nil"/>
                    <w:tr2bl w:val="nil"/>
                  </w:tcBorders>
                  <w:vAlign w:val="center"/>
                </w:tcPr>
                <w:p>
                  <w:pPr>
                    <w:pStyle w:val="31"/>
                    <w:widowControl w:val="0"/>
                    <w:pBdr>
                      <w:bottom w:val="none" w:color="auto" w:sz="0" w:space="0"/>
                      <w:right w:val="none" w:color="auto" w:sz="0" w:space="0"/>
                    </w:pBdr>
                    <w:spacing w:before="0" w:beforeAutospacing="0" w:after="0" w:afterAutospacing="0"/>
                    <w:rPr>
                      <w:rFonts w:ascii="Times New Roman" w:hAnsi="Times New Roman"/>
                      <w:color w:val="000000" w:themeColor="text1"/>
                      <w14:textFill>
                        <w14:solidFill>
                          <w14:schemeClr w14:val="tx1"/>
                        </w14:solidFill>
                      </w14:textFill>
                    </w:rPr>
                  </w:pPr>
                  <w:r>
                    <w:rPr>
                      <w:rFonts w:hint="eastAsia"/>
                      <w:snapToGrid w:val="0"/>
                      <w:color w:val="000000" w:themeColor="text1"/>
                      <w14:textFill>
                        <w14:solidFill>
                          <w14:schemeClr w14:val="tx1"/>
                        </w14:solidFill>
                      </w14:textFill>
                    </w:rPr>
                    <w:t>自带消音装置</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3</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highlight w:val="yellow"/>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4</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31"/>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90</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减振</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cantSplit/>
                <w:trHeight w:val="340" w:hRule="atLeast"/>
                <w:jc w:val="center"/>
              </w:trPr>
              <w:tc>
                <w:tcPr>
                  <w:tcW w:w="53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5</w:t>
                  </w:r>
                </w:p>
              </w:tc>
              <w:tc>
                <w:tcPr>
                  <w:tcW w:w="96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838"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713" w:type="pct"/>
                  <w:tcBorders>
                    <w:tl2br w:val="nil"/>
                    <w:tr2bl w:val="nil"/>
                  </w:tcBorders>
                  <w:vAlign w:val="center"/>
                </w:tcPr>
                <w:p>
                  <w:pPr>
                    <w:pStyle w:val="31"/>
                    <w:widowControl w:val="0"/>
                    <w:pBdr>
                      <w:bottom w:val="none" w:color="auto" w:sz="0" w:space="0"/>
                      <w:right w:val="none" w:color="auto" w:sz="0" w:space="0"/>
                    </w:pBdr>
                    <w:spacing w:before="0" w:beforeAutospacing="0" w:after="0" w:afterAutospacing="0"/>
                    <w:rPr>
                      <w:rFonts w:ascii="Times New Roman" w:hAnsi="Times New Roman"/>
                      <w:color w:val="000000" w:themeColor="text1"/>
                      <w:kern w:val="2"/>
                      <w14:textFill>
                        <w14:solidFill>
                          <w14:schemeClr w14:val="tx1"/>
                        </w14:solidFill>
                      </w14:textFill>
                    </w:rPr>
                  </w:pPr>
                  <w:r>
                    <w:rPr>
                      <w:rFonts w:ascii="Times New Roman" w:hAnsi="Times New Roman"/>
                      <w:color w:val="000000" w:themeColor="text1"/>
                      <w:kern w:val="2"/>
                      <w14:textFill>
                        <w14:solidFill>
                          <w14:schemeClr w14:val="tx1"/>
                        </w14:solidFill>
                      </w14:textFill>
                    </w:rPr>
                    <w:t>65</w:t>
                  </w:r>
                </w:p>
              </w:tc>
              <w:tc>
                <w:tcPr>
                  <w:tcW w:w="1036" w:type="pct"/>
                  <w:tcBorders>
                    <w:tl2br w:val="nil"/>
                    <w:tr2bl w:val="nil"/>
                  </w:tcBorders>
                  <w:vAlign w:val="center"/>
                </w:tcPr>
                <w:p>
                  <w:pPr>
                    <w:adjustRightInd w:val="0"/>
                    <w:snapToGrid w:val="0"/>
                    <w:jc w:val="center"/>
                    <w:rPr>
                      <w:snapToGrid w:val="0"/>
                      <w:color w:val="000000" w:themeColor="text1"/>
                      <w:kern w:val="0"/>
                      <w:szCs w:val="21"/>
                      <w14:textFill>
                        <w14:solidFill>
                          <w14:schemeClr w14:val="tx1"/>
                        </w14:solidFill>
                      </w14:textFill>
                    </w:rPr>
                  </w:pPr>
                  <w:r>
                    <w:rPr>
                      <w:snapToGrid w:val="0"/>
                      <w:color w:val="000000" w:themeColor="text1"/>
                      <w:kern w:val="0"/>
                      <w:szCs w:val="21"/>
                      <w14:textFill>
                        <w14:solidFill>
                          <w14:schemeClr w14:val="tx1"/>
                        </w14:solidFill>
                      </w14:textFill>
                    </w:rPr>
                    <w:t>/</w:t>
                  </w:r>
                </w:p>
              </w:tc>
              <w:tc>
                <w:tcPr>
                  <w:tcW w:w="912"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65</w:t>
                  </w:r>
                </w:p>
              </w:tc>
            </w:tr>
          </w:tbl>
          <w:p>
            <w:pPr>
              <w:autoSpaceDE w:val="0"/>
              <w:autoSpaceDN w:val="0"/>
              <w:spacing w:line="360" w:lineRule="auto"/>
              <w:ind w:firstLine="480" w:firstLineChars="200"/>
              <w:rPr>
                <w:rFonts w:ascii="宋体" w:cs="宋体"/>
                <w:color w:val="000000" w:themeColor="text1"/>
                <w:kern w:val="0"/>
                <w:sz w:val="24"/>
                <w14:textFill>
                  <w14:solidFill>
                    <w14:schemeClr w14:val="tx1"/>
                  </w14:solidFill>
                </w14:textFill>
              </w:rPr>
            </w:pPr>
            <w:r>
              <w:rPr>
                <w:rFonts w:hint="eastAsia" w:ascii="宋体" w:cs="宋体"/>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2</w:t>
            </w:r>
            <w:r>
              <w:rPr>
                <w:rFonts w:hint="eastAsia" w:ascii="宋体" w:cs="宋体"/>
                <w:color w:val="000000" w:themeColor="text1"/>
                <w:sz w:val="24"/>
                <w14:textFill>
                  <w14:solidFill>
                    <w14:schemeClr w14:val="tx1"/>
                  </w14:solidFill>
                </w14:textFill>
              </w:rPr>
              <w:t>）</w:t>
            </w:r>
            <w:r>
              <w:rPr>
                <w:rFonts w:hint="eastAsia"/>
                <w:snapToGrid w:val="0"/>
                <w:color w:val="000000" w:themeColor="text1"/>
                <w:kern w:val="0"/>
                <w:sz w:val="24"/>
                <w14:textFill>
                  <w14:solidFill>
                    <w14:schemeClr w14:val="tx1"/>
                  </w14:solidFill>
                </w14:textFill>
              </w:rPr>
              <w:t>预测模式</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hAnsi="宋体"/>
                <w:snapToGrid w:val="0"/>
                <w:color w:val="000000" w:themeColor="text1"/>
                <w:kern w:val="0"/>
                <w:sz w:val="24"/>
                <w14:textFill>
                  <w14:solidFill>
                    <w14:schemeClr w14:val="tx1"/>
                  </w14:solidFill>
                </w14:textFill>
              </w:rPr>
              <w:t>井场</w:t>
            </w:r>
            <w:r>
              <w:rPr>
                <w:rFonts w:hAnsi="宋体"/>
                <w:snapToGrid w:val="0"/>
                <w:color w:val="000000" w:themeColor="text1"/>
                <w:kern w:val="0"/>
                <w:sz w:val="24"/>
                <w14:textFill>
                  <w14:solidFill>
                    <w14:schemeClr w14:val="tx1"/>
                  </w14:solidFill>
                </w14:textFill>
              </w:rPr>
              <w:t>设备噪声可近似视为点声源处理，根据点声源噪声衰减模式，估算距离声源不同距离处的噪声值，预测模式如下：</w:t>
            </w:r>
          </w:p>
          <w:p>
            <w:pPr>
              <w:tabs>
                <w:tab w:val="left" w:pos="420"/>
                <w:tab w:val="left" w:pos="840"/>
                <w:tab w:val="left" w:pos="7620"/>
              </w:tabs>
              <w:spacing w:line="360" w:lineRule="auto"/>
              <w:jc w:val="center"/>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drawing>
                <wp:inline distT="0" distB="0" distL="0" distR="0">
                  <wp:extent cx="1603375" cy="267970"/>
                  <wp:effectExtent l="0" t="0" r="9525"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1603375" cy="267970"/>
                          </a:xfrm>
                          <a:prstGeom prst="rect">
                            <a:avLst/>
                          </a:prstGeom>
                          <a:noFill/>
                        </pic:spPr>
                      </pic:pic>
                    </a:graphicData>
                  </a:graphic>
                </wp:inline>
              </w:drawing>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式中：Lp：距声源r</w:t>
            </w:r>
            <w:r>
              <w:rPr>
                <w:snapToGrid w:val="0"/>
                <w:color w:val="000000" w:themeColor="text1"/>
                <w:kern w:val="0"/>
                <w:sz w:val="24"/>
                <w:vertAlign w:val="subscript"/>
                <w14:textFill>
                  <w14:solidFill>
                    <w14:schemeClr w14:val="tx1"/>
                  </w14:solidFill>
                </w14:textFill>
              </w:rPr>
              <w:t>m</w:t>
            </w:r>
            <w:r>
              <w:rPr>
                <w:snapToGrid w:val="0"/>
                <w:color w:val="000000" w:themeColor="text1"/>
                <w:kern w:val="0"/>
                <w:sz w:val="24"/>
                <w14:textFill>
                  <w14:solidFill>
                    <w14:schemeClr w14:val="tx1"/>
                  </w14:solidFill>
                </w14:textFill>
              </w:rPr>
              <w:t>处的施工噪声预测值，dB(A)；</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 xml:space="preserve">      Lp</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：距声源r</w:t>
            </w:r>
            <w:r>
              <w:rPr>
                <w:snapToGrid w:val="0"/>
                <w:color w:val="000000" w:themeColor="text1"/>
                <w:kern w:val="0"/>
                <w:sz w:val="24"/>
                <w:vertAlign w:val="subscript"/>
                <w14:textFill>
                  <w14:solidFill>
                    <w14:schemeClr w14:val="tx1"/>
                  </w14:solidFill>
                </w14:textFill>
              </w:rPr>
              <w:t>0</w:t>
            </w:r>
            <w:r>
              <w:rPr>
                <w:snapToGrid w:val="0"/>
                <w:color w:val="000000" w:themeColor="text1"/>
                <w:kern w:val="0"/>
                <w:sz w:val="24"/>
                <w14:textFill>
                  <w14:solidFill>
                    <w14:schemeClr w14:val="tx1"/>
                  </w14:solidFill>
                </w14:textFill>
              </w:rPr>
              <w:t>处的噪声参考值，dB(A)</w:t>
            </w:r>
            <w:r>
              <w:rPr>
                <w:rFonts w:hint="eastAsia"/>
                <w:snapToGrid w:val="0"/>
                <w:color w:val="000000" w:themeColor="text1"/>
                <w:kern w:val="0"/>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多台设备同时运行的噪声级是多个声源衰减后叠加声级，预测模式如下：</w:t>
            </w:r>
          </w:p>
          <w:p>
            <w:pPr>
              <w:spacing w:line="360" w:lineRule="auto"/>
              <w:jc w:val="center"/>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Lpn=</w:t>
            </w:r>
            <w:r>
              <w:rPr>
                <w:snapToGrid w:val="0"/>
                <w:color w:val="000000" w:themeColor="text1"/>
                <w:kern w:val="0"/>
                <w:sz w:val="24"/>
                <w14:textFill>
                  <w14:solidFill>
                    <w14:schemeClr w14:val="tx1"/>
                  </w14:solidFill>
                </w14:textFill>
              </w:rPr>
              <w:t>10</w:t>
            </w:r>
            <w:r>
              <w:rPr>
                <w:rFonts w:hint="eastAsia"/>
                <w:snapToGrid w:val="0"/>
                <w:color w:val="000000" w:themeColor="text1"/>
                <w:kern w:val="0"/>
                <w:sz w:val="24"/>
                <w14:textFill>
                  <w14:solidFill>
                    <w14:schemeClr w14:val="tx1"/>
                  </w14:solidFill>
                </w14:textFill>
              </w:rPr>
              <w:t>lg[</w:t>
            </w:r>
            <m:oMath>
              <m:nary>
                <m:naryPr>
                  <m:chr m:val="∑"/>
                  <m:limLoc m:val="undOvr"/>
                  <m:ctrlPr>
                    <w:rPr>
                      <w:rFonts w:ascii="Cambria Math" w:hAnsi="Cambria Math"/>
                      <w:i/>
                      <w:snapToGrid w:val="0"/>
                      <w:color w:val="000000" w:themeColor="text1"/>
                      <w:kern w:val="0"/>
                      <w:sz w:val="24"/>
                      <w14:textFill>
                        <w14:solidFill>
                          <w14:schemeClr w14:val="tx1"/>
                        </w14:solidFill>
                      </w14:textFill>
                    </w:rPr>
                  </m:ctrlPr>
                </m:naryPr>
                <m:sub>
                  <m:r>
                    <w:rPr>
                      <w:rFonts w:hint="eastAsia" w:ascii="Cambria Math" w:hAnsi="Cambria Math"/>
                      <w:snapToGrid w:val="0"/>
                      <w:color w:val="000000" w:themeColor="text1"/>
                      <w:kern w:val="0"/>
                      <w:sz w:val="24"/>
                      <w14:textFill>
                        <w14:solidFill>
                          <w14:schemeClr w14:val="tx1"/>
                        </w14:solidFill>
                      </w14:textFill>
                    </w:rPr>
                    <m:t>i=</m:t>
                  </m:r>
                  <m:r>
                    <w:rPr>
                      <w:rFonts w:ascii="Cambria Math" w:hAnsi="Cambria Math"/>
                      <w:snapToGrid w:val="0"/>
                      <w:color w:val="000000" w:themeColor="text1"/>
                      <w:kern w:val="0"/>
                      <w:sz w:val="24"/>
                      <w14:textFill>
                        <w14:solidFill>
                          <w14:schemeClr w14:val="tx1"/>
                        </w14:solidFill>
                      </w14:textFill>
                    </w:rPr>
                    <m:t>1</m:t>
                  </m:r>
                  <m:ctrlPr>
                    <w:rPr>
                      <w:rFonts w:ascii="Cambria Math" w:hAnsi="Cambria Math"/>
                      <w:i/>
                      <w:snapToGrid w:val="0"/>
                      <w:color w:val="000000" w:themeColor="text1"/>
                      <w:kern w:val="0"/>
                      <w:sz w:val="24"/>
                      <w14:textFill>
                        <w14:solidFill>
                          <w14:schemeClr w14:val="tx1"/>
                        </w14:solidFill>
                      </w14:textFill>
                    </w:rPr>
                  </m:ctrlPr>
                </m:sub>
                <m:sup>
                  <m:r>
                    <w:rPr>
                      <w:rFonts w:hint="eastAsia" w:ascii="Cambria Math" w:hAnsi="Cambria Math"/>
                      <w:snapToGrid w:val="0"/>
                      <w:color w:val="000000" w:themeColor="text1"/>
                      <w:kern w:val="0"/>
                      <w:sz w:val="24"/>
                      <w14:textFill>
                        <w14:solidFill>
                          <w14:schemeClr w14:val="tx1"/>
                        </w14:solidFill>
                      </w14:textFill>
                    </w:rPr>
                    <m:t>n</m:t>
                  </m:r>
                  <m:ctrlPr>
                    <w:rPr>
                      <w:rFonts w:ascii="Cambria Math" w:hAnsi="Cambria Math"/>
                      <w:i/>
                      <w:snapToGrid w:val="0"/>
                      <w:color w:val="000000" w:themeColor="text1"/>
                      <w:kern w:val="0"/>
                      <w:sz w:val="24"/>
                      <w14:textFill>
                        <w14:solidFill>
                          <w14:schemeClr w14:val="tx1"/>
                        </w14:solidFill>
                      </w14:textFill>
                    </w:rPr>
                  </m:ctrlPr>
                </m:sup>
                <m:e>
                  <m:sSup>
                    <m:sSupPr>
                      <m:ctrlPr>
                        <w:rPr>
                          <w:rFonts w:ascii="Cambria Math" w:hAnsi="Cambria Math"/>
                          <w:i/>
                          <w:snapToGrid w:val="0"/>
                          <w:color w:val="000000" w:themeColor="text1"/>
                          <w:kern w:val="0"/>
                          <w:sz w:val="24"/>
                          <w14:textFill>
                            <w14:solidFill>
                              <w14:schemeClr w14:val="tx1"/>
                            </w14:solidFill>
                          </w14:textFill>
                        </w:rPr>
                      </m:ctrlPr>
                    </m:sSupPr>
                    <m:e>
                      <m:r>
                        <w:rPr>
                          <w:rFonts w:ascii="Cambria Math" w:hAnsi="Cambria Math"/>
                          <w:snapToGrid w:val="0"/>
                          <w:color w:val="000000" w:themeColor="text1"/>
                          <w:kern w:val="0"/>
                          <w:sz w:val="24"/>
                          <w14:textFill>
                            <w14:solidFill>
                              <w14:schemeClr w14:val="tx1"/>
                            </w14:solidFill>
                          </w14:textFill>
                        </w:rPr>
                        <m:t>10</m:t>
                      </m:r>
                      <m:ctrlPr>
                        <w:rPr>
                          <w:rFonts w:ascii="Cambria Math" w:hAnsi="Cambria Math"/>
                          <w:i/>
                          <w:snapToGrid w:val="0"/>
                          <w:color w:val="000000" w:themeColor="text1"/>
                          <w:kern w:val="0"/>
                          <w:sz w:val="24"/>
                          <w14:textFill>
                            <w14:solidFill>
                              <w14:schemeClr w14:val="tx1"/>
                            </w14:solidFill>
                          </w14:textFill>
                        </w:rPr>
                      </m:ctrlPr>
                    </m:e>
                    <m:sup>
                      <m:r>
                        <w:rPr>
                          <w:rFonts w:ascii="Cambria Math" w:hAnsi="Cambria Math"/>
                          <w:snapToGrid w:val="0"/>
                          <w:color w:val="000000" w:themeColor="text1"/>
                          <w:kern w:val="0"/>
                          <w:sz w:val="24"/>
                          <w14:textFill>
                            <w14:solidFill>
                              <w14:schemeClr w14:val="tx1"/>
                            </w14:solidFill>
                          </w14:textFill>
                        </w:rPr>
                        <m:t>0.1</m:t>
                      </m:r>
                      <m:sSub>
                        <m:sSubPr>
                          <m:ctrlPr>
                            <w:rPr>
                              <w:rFonts w:ascii="Cambria Math" w:hAnsi="Cambria Math"/>
                              <w:i/>
                              <w:snapToGrid w:val="0"/>
                              <w:color w:val="000000" w:themeColor="text1"/>
                              <w:kern w:val="0"/>
                              <w:sz w:val="24"/>
                              <w14:textFill>
                                <w14:solidFill>
                                  <w14:schemeClr w14:val="tx1"/>
                                </w14:solidFill>
                              </w14:textFill>
                            </w:rPr>
                          </m:ctrlPr>
                        </m:sSubPr>
                        <m:e>
                          <m:r>
                            <w:rPr>
                              <w:rFonts w:hint="eastAsia" w:ascii="Cambria Math" w:hAnsi="Cambria Math"/>
                              <w:snapToGrid w:val="0"/>
                              <w:color w:val="000000" w:themeColor="text1"/>
                              <w:kern w:val="0"/>
                              <w:sz w:val="24"/>
                              <w14:textFill>
                                <w14:solidFill>
                                  <w14:schemeClr w14:val="tx1"/>
                                </w14:solidFill>
                              </w14:textFill>
                            </w:rPr>
                            <m:t>L</m:t>
                          </m:r>
                          <m:ctrlPr>
                            <w:rPr>
                              <w:rFonts w:ascii="Cambria Math" w:hAnsi="Cambria Math"/>
                              <w:i/>
                              <w:snapToGrid w:val="0"/>
                              <w:color w:val="000000" w:themeColor="text1"/>
                              <w:kern w:val="0"/>
                              <w:sz w:val="24"/>
                              <w14:textFill>
                                <w14:solidFill>
                                  <w14:schemeClr w14:val="tx1"/>
                                </w14:solidFill>
                              </w14:textFill>
                            </w:rPr>
                          </m:ctrlPr>
                        </m:e>
                        <m:sub>
                          <m:r>
                            <w:rPr>
                              <w:rFonts w:hint="eastAsia" w:ascii="Cambria Math" w:hAnsi="Cambria Math"/>
                              <w:snapToGrid w:val="0"/>
                              <w:color w:val="000000" w:themeColor="text1"/>
                              <w:kern w:val="0"/>
                              <w:sz w:val="24"/>
                              <w14:textFill>
                                <w14:solidFill>
                                  <w14:schemeClr w14:val="tx1"/>
                                </w14:solidFill>
                              </w14:textFill>
                            </w:rPr>
                            <m:t>pni</m:t>
                          </m:r>
                          <m:ctrlPr>
                            <w:rPr>
                              <w:rFonts w:ascii="Cambria Math" w:hAnsi="Cambria Math"/>
                              <w:i/>
                              <w:snapToGrid w:val="0"/>
                              <w:color w:val="000000" w:themeColor="text1"/>
                              <w:kern w:val="0"/>
                              <w:sz w:val="24"/>
                              <w14:textFill>
                                <w14:solidFill>
                                  <w14:schemeClr w14:val="tx1"/>
                                </w14:solidFill>
                              </w14:textFill>
                            </w:rPr>
                          </m:ctrlPr>
                        </m:sub>
                      </m:sSub>
                      <m:ctrlPr>
                        <w:rPr>
                          <w:rFonts w:ascii="Cambria Math" w:hAnsi="Cambria Math"/>
                          <w:i/>
                          <w:snapToGrid w:val="0"/>
                          <w:color w:val="000000" w:themeColor="text1"/>
                          <w:kern w:val="0"/>
                          <w:sz w:val="24"/>
                          <w14:textFill>
                            <w14:solidFill>
                              <w14:schemeClr w14:val="tx1"/>
                            </w14:solidFill>
                          </w14:textFill>
                        </w:rPr>
                      </m:ctrlPr>
                    </m:sup>
                  </m:sSup>
                  <m:ctrlPr>
                    <w:rPr>
                      <w:rFonts w:ascii="Cambria Math" w:hAnsi="Cambria Math"/>
                      <w:i/>
                      <w:snapToGrid w:val="0"/>
                      <w:color w:val="000000" w:themeColor="text1"/>
                      <w:kern w:val="0"/>
                      <w:sz w:val="24"/>
                      <w14:textFill>
                        <w14:solidFill>
                          <w14:schemeClr w14:val="tx1"/>
                        </w14:solidFill>
                      </w14:textFill>
                    </w:rPr>
                  </m:ctrlPr>
                </m:e>
              </m:nary>
            </m:oMath>
            <w:r>
              <w:rPr>
                <w:snapToGrid w:val="0"/>
                <w:color w:val="000000" w:themeColor="text1"/>
                <w:kern w:val="0"/>
                <w:sz w:val="24"/>
                <w14:textFill>
                  <w14:solidFill>
                    <w14:schemeClr w14:val="tx1"/>
                  </w14:solidFill>
                </w14:textFill>
              </w:rPr>
              <w:t>]</w:t>
            </w:r>
          </w:p>
          <w:p>
            <w:pPr>
              <w:spacing w:line="360" w:lineRule="auto"/>
              <w:ind w:firstLine="624" w:firstLineChars="26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式中：</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bCs/>
                <w:color w:val="000000" w:themeColor="text1"/>
                <w:sz w:val="24"/>
                <w14:textFill>
                  <w14:solidFill>
                    <w14:schemeClr w14:val="tx1"/>
                  </w14:solidFill>
                </w14:textFill>
              </w:rPr>
            </w:pPr>
            <w:r>
              <w:rPr>
                <w:bCs/>
                <w:color w:val="000000" w:themeColor="text1"/>
                <w:sz w:val="24"/>
                <w14:textFill>
                  <w14:solidFill>
                    <w14:schemeClr w14:val="tx1"/>
                  </w14:solidFill>
                </w14:textFill>
              </w:rPr>
              <w:t xml:space="preserve">      </w:t>
            </w:r>
            <w:r>
              <w:rPr>
                <w:rFonts w:hint="eastAsia"/>
                <w:bCs/>
                <w:color w:val="000000" w:themeColor="text1"/>
                <w:sz w:val="24"/>
                <w14:textFill>
                  <w14:solidFill>
                    <w14:schemeClr w14:val="tx1"/>
                  </w14:solidFill>
                </w14:textFill>
              </w:rPr>
              <w:t xml:space="preserve"> </w:t>
            </w:r>
            <w:r>
              <w:rPr>
                <w:bCs/>
                <w:color w:val="000000" w:themeColor="text1"/>
                <w:sz w:val="24"/>
                <w14:textFill>
                  <w14:solidFill>
                    <w14:schemeClr w14:val="tx1"/>
                  </w14:solidFill>
                </w14:textFill>
              </w:rPr>
              <w:t>L</w:t>
            </w:r>
            <w:r>
              <w:rPr>
                <w:bCs/>
                <w:color w:val="000000" w:themeColor="text1"/>
                <w:sz w:val="24"/>
                <w:vertAlign w:val="subscript"/>
                <w14:textFill>
                  <w14:solidFill>
                    <w14:schemeClr w14:val="tx1"/>
                  </w14:solidFill>
                </w14:textFill>
              </w:rPr>
              <w:t>pni</w:t>
            </w:r>
            <w:r>
              <w:rPr>
                <w:bCs/>
                <w:color w:val="000000" w:themeColor="text1"/>
                <w:sz w:val="24"/>
                <w14:textFill>
                  <w14:solidFill>
                    <w14:schemeClr w14:val="tx1"/>
                  </w14:solidFill>
                </w14:textFill>
              </w:rPr>
              <w:t>—</w:t>
            </w:r>
            <w:r>
              <w:rPr>
                <w:rFonts w:hint="eastAsia"/>
                <w:bCs/>
                <w:color w:val="000000" w:themeColor="text1"/>
                <w:sz w:val="24"/>
                <w14:textFill>
                  <w14:solidFill>
                    <w14:schemeClr w14:val="tx1"/>
                  </w14:solidFill>
                </w14:textFill>
              </w:rPr>
              <w:t>第</w:t>
            </w:r>
            <w:r>
              <w:rPr>
                <w:bCs/>
                <w:color w:val="000000" w:themeColor="text1"/>
                <w:sz w:val="24"/>
                <w14:textFill>
                  <w14:solidFill>
                    <w14:schemeClr w14:val="tx1"/>
                  </w14:solidFill>
                </w14:textFill>
              </w:rPr>
              <w:t>n</w:t>
            </w:r>
            <w:r>
              <w:rPr>
                <w:rFonts w:hint="eastAsia"/>
                <w:bCs/>
                <w:color w:val="000000" w:themeColor="text1"/>
                <w:sz w:val="24"/>
                <w14:textFill>
                  <w14:solidFill>
                    <w14:schemeClr w14:val="tx1"/>
                  </w14:solidFill>
                </w14:textFill>
              </w:rPr>
              <w:t>个噪声源在预测点产生的声压级，</w:t>
            </w:r>
            <w:r>
              <w:rPr>
                <w:bCs/>
                <w:color w:val="000000" w:themeColor="text1"/>
                <w:sz w:val="24"/>
                <w14:textFill>
                  <w14:solidFill>
                    <w14:schemeClr w14:val="tx1"/>
                  </w14:solidFill>
                </w14:textFill>
              </w:rPr>
              <w:t>dB(A)</w:t>
            </w:r>
            <w:r>
              <w:rPr>
                <w:rFonts w:hint="eastAsia"/>
                <w:bCs/>
                <w:color w:val="000000" w:themeColor="text1"/>
                <w:sz w:val="24"/>
                <w14:textFill>
                  <w14:solidFill>
                    <w14:schemeClr w14:val="tx1"/>
                  </w14:solidFill>
                </w14:textFill>
              </w:rPr>
              <w:t>。</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（3）预测结果及影响分析</w:t>
            </w:r>
          </w:p>
          <w:p>
            <w:pPr>
              <w:spacing w:line="360" w:lineRule="auto"/>
              <w:ind w:firstLine="480" w:firstLineChars="200"/>
              <w:rPr>
                <w:snapToGrid w:val="0"/>
                <w:color w:val="000000" w:themeColor="text1"/>
                <w:kern w:val="0"/>
                <w:sz w:val="24"/>
                <w14:textFill>
                  <w14:solidFill>
                    <w14:schemeClr w14:val="tx1"/>
                  </w14:solidFill>
                </w14:textFill>
              </w:rPr>
            </w:pPr>
            <w:r>
              <w:rPr>
                <w:snapToGrid w:val="0"/>
                <w:color w:val="000000" w:themeColor="text1"/>
                <w:kern w:val="0"/>
                <w:sz w:val="24"/>
                <w14:textFill>
                  <w14:solidFill>
                    <w14:schemeClr w14:val="tx1"/>
                  </w14:solidFill>
                </w14:textFill>
              </w:rPr>
              <w:t>预测结果见表8-</w:t>
            </w:r>
            <w:r>
              <w:rPr>
                <w:rFonts w:hint="eastAsia"/>
                <w:snapToGrid w:val="0"/>
                <w:color w:val="000000" w:themeColor="text1"/>
                <w:kern w:val="0"/>
                <w:sz w:val="24"/>
                <w:lang w:val="en-US" w:eastAsia="zh-CN"/>
                <w14:textFill>
                  <w14:solidFill>
                    <w14:schemeClr w14:val="tx1"/>
                  </w14:solidFill>
                </w14:textFill>
              </w:rPr>
              <w:t>6</w:t>
            </w:r>
            <w:r>
              <w:rPr>
                <w:snapToGrid w:val="0"/>
                <w:color w:val="000000" w:themeColor="text1"/>
                <w:kern w:val="0"/>
                <w:sz w:val="24"/>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6</w:t>
            </w:r>
            <w:r>
              <w:rPr>
                <w:rFonts w:hint="eastAsia"/>
                <w:b w:val="0"/>
                <w:bCs w:val="0"/>
                <w:color w:val="000000" w:themeColor="text1"/>
                <w:sz w:val="24"/>
                <w14:textFill>
                  <w14:solidFill>
                    <w14:schemeClr w14:val="tx1"/>
                  </w14:solidFill>
                </w14:textFill>
              </w:rPr>
              <w:t xml:space="preserve">  噪声源随距离的衰减情况  </w:t>
            </w:r>
            <w:r>
              <w:rPr>
                <w:b w:val="0"/>
                <w:bCs w:val="0"/>
                <w:color w:val="000000" w:themeColor="text1"/>
                <w:sz w:val="24"/>
                <w14:textFill>
                  <w14:solidFill>
                    <w14:schemeClr w14:val="tx1"/>
                  </w14:solidFill>
                </w14:textFill>
              </w:rPr>
              <w:t>单位：dB(A)</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185"/>
              <w:gridCol w:w="633"/>
              <w:gridCol w:w="634"/>
              <w:gridCol w:w="634"/>
              <w:gridCol w:w="634"/>
              <w:gridCol w:w="634"/>
              <w:gridCol w:w="634"/>
              <w:gridCol w:w="634"/>
              <w:gridCol w:w="634"/>
              <w:gridCol w:w="634"/>
              <w:gridCol w:w="6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669" w:type="pct"/>
                  <w:vMerge w:val="restar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噪声源</w:t>
                  </w:r>
                </w:p>
              </w:tc>
              <w:tc>
                <w:tcPr>
                  <w:tcW w:w="3330" w:type="pct"/>
                  <w:gridSpan w:val="10"/>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距声源距离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Merge w:val="continue"/>
                  <w:vAlign w:val="center"/>
                </w:tcPr>
                <w:p>
                  <w:pPr>
                    <w:adjustRightInd w:val="0"/>
                    <w:snapToGrid w:val="0"/>
                    <w:jc w:val="center"/>
                    <w:rPr>
                      <w:snapToGrid w:val="0"/>
                      <w:color w:val="000000" w:themeColor="text1"/>
                      <w:szCs w:val="21"/>
                      <w14:textFill>
                        <w14:solidFill>
                          <w14:schemeClr w14:val="tx1"/>
                        </w14:solidFill>
                      </w14:textFill>
                    </w:rPr>
                  </w:pP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80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100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200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w:t>
                  </w:r>
                  <w:r>
                    <w:rPr>
                      <w:snapToGrid w:val="0"/>
                      <w:color w:val="000000" w:themeColor="text1"/>
                      <w:szCs w:val="21"/>
                      <w14:textFill>
                        <w14:solidFill>
                          <w14:schemeClr w14:val="tx1"/>
                        </w14:solidFill>
                      </w14:textFill>
                    </w:rPr>
                    <w:t>50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钻探机组</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63.9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51.9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42.0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柴油发电机</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泥浆泵</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除砂器</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泥浆搅拌机</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39.0</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32.9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21.5</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18.9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17.0</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15.4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共同运行</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72.9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60.8</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57.3</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54.8</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52.9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49.4</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46.9</w:t>
                  </w:r>
                </w:p>
              </w:tc>
              <w:tc>
                <w:tcPr>
                  <w:tcW w:w="332"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44.9</w:t>
                  </w:r>
                </w:p>
              </w:tc>
              <w:tc>
                <w:tcPr>
                  <w:tcW w:w="336"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43.3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《建筑施工场界环境噪声排放标准》（GB12523-2011）</w:t>
                  </w:r>
                </w:p>
              </w:tc>
              <w:tc>
                <w:tcPr>
                  <w:tcW w:w="3330" w:type="pct"/>
                  <w:gridSpan w:val="10"/>
                  <w:vAlign w:val="center"/>
                </w:tcPr>
                <w:p>
                  <w:pPr>
                    <w:adjustRightInd w:val="0"/>
                    <w:snapToGrid w:val="0"/>
                    <w:jc w:val="center"/>
                    <w:rPr>
                      <w:snapToGrid w:val="0"/>
                      <w:color w:val="000000" w:themeColor="text1"/>
                      <w:szCs w:val="21"/>
                      <w14:textFill>
                        <w14:solidFill>
                          <w14:schemeClr w14:val="tx1"/>
                        </w14:solidFill>
                      </w14:textFill>
                    </w:rPr>
                  </w:pPr>
                  <w:r>
                    <w:rPr>
                      <w:color w:val="000000" w:themeColor="text1"/>
                      <w:szCs w:val="21"/>
                      <w14:textFill>
                        <w14:solidFill>
                          <w14:schemeClr w14:val="tx1"/>
                        </w14:solidFill>
                      </w14:textFill>
                    </w:rPr>
                    <w:t>昼间≤</w:t>
                  </w:r>
                  <w:r>
                    <w:rPr>
                      <w:rFonts w:hint="eastAsia"/>
                      <w:color w:val="000000" w:themeColor="text1"/>
                      <w:szCs w:val="21"/>
                      <w14:textFill>
                        <w14:solidFill>
                          <w14:schemeClr w14:val="tx1"/>
                        </w14:solidFill>
                      </w14:textFill>
                    </w:rPr>
                    <w:t>70</w:t>
                  </w:r>
                  <w:r>
                    <w:rPr>
                      <w:color w:val="000000" w:themeColor="text1"/>
                      <w:szCs w:val="21"/>
                      <w14:textFill>
                        <w14:solidFill>
                          <w14:schemeClr w14:val="tx1"/>
                        </w14:solidFill>
                      </w14:textFill>
                    </w:rPr>
                    <w:t>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w:t>
                  </w:r>
                  <w:r>
                    <w:rPr>
                      <w:rFonts w:hint="eastAsia"/>
                      <w:color w:val="000000" w:themeColor="text1"/>
                      <w:szCs w:val="21"/>
                      <w14:textFill>
                        <w14:solidFill>
                          <w14:schemeClr w14:val="tx1"/>
                        </w14:solidFill>
                      </w14:textFill>
                    </w:rPr>
                    <w:t>55</w:t>
                  </w:r>
                  <w:r>
                    <w:rPr>
                      <w:color w:val="000000" w:themeColor="text1"/>
                      <w:szCs w:val="21"/>
                      <w14:textFill>
                        <w14:solidFill>
                          <w14:schemeClr w14:val="tx1"/>
                        </w14:solidFill>
                      </w14:textFill>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9" w:type="pct"/>
                  <w:vAlign w:val="center"/>
                </w:tcPr>
                <w:p>
                  <w:pPr>
                    <w:adjustRightInd w:val="0"/>
                    <w:snapToGrid w:val="0"/>
                    <w:jc w:val="center"/>
                    <w:rPr>
                      <w:snapToGrid w:val="0"/>
                      <w:color w:val="000000" w:themeColor="text1"/>
                      <w:szCs w:val="21"/>
                      <w14:textFill>
                        <w14:solidFill>
                          <w14:schemeClr w14:val="tx1"/>
                        </w14:solidFill>
                      </w14:textFill>
                    </w:rPr>
                  </w:pPr>
                  <w:r>
                    <w:rPr>
                      <w:rFonts w:hint="eastAsia"/>
                      <w:snapToGrid w:val="0"/>
                      <w:color w:val="000000" w:themeColor="text1"/>
                      <w:szCs w:val="21"/>
                      <w14:textFill>
                        <w14:solidFill>
                          <w14:schemeClr w14:val="tx1"/>
                        </w14:solidFill>
                      </w14:textFill>
                    </w:rPr>
                    <w:t>《声环境质量标（GB3096-2008）</w:t>
                  </w:r>
                </w:p>
                <w:p>
                  <w:pPr>
                    <w:adjustRightInd w:val="0"/>
                    <w:snapToGrid w:val="0"/>
                    <w:jc w:val="center"/>
                    <w:rPr>
                      <w:snapToGrid w:val="0"/>
                      <w:color w:val="000000" w:themeColor="text1"/>
                      <w:szCs w:val="21"/>
                      <w14:textFill>
                        <w14:solidFill>
                          <w14:schemeClr w14:val="tx1"/>
                        </w14:solidFill>
                      </w14:textFill>
                    </w:rPr>
                  </w:pPr>
                  <w:r>
                    <w:rPr>
                      <w:snapToGrid w:val="0"/>
                      <w:color w:val="000000" w:themeColor="text1"/>
                      <w:szCs w:val="21"/>
                      <w14:textFill>
                        <w14:solidFill>
                          <w14:schemeClr w14:val="tx1"/>
                        </w14:solidFill>
                      </w14:textFill>
                    </w:rPr>
                    <w:t>1</w:t>
                  </w:r>
                  <w:r>
                    <w:rPr>
                      <w:rFonts w:hint="eastAsia"/>
                      <w:snapToGrid w:val="0"/>
                      <w:color w:val="000000" w:themeColor="text1"/>
                      <w:szCs w:val="21"/>
                      <w14:textFill>
                        <w14:solidFill>
                          <w14:schemeClr w14:val="tx1"/>
                        </w14:solidFill>
                      </w14:textFill>
                    </w:rPr>
                    <w:t>类</w:t>
                  </w:r>
                </w:p>
              </w:tc>
              <w:tc>
                <w:tcPr>
                  <w:tcW w:w="3330" w:type="pct"/>
                  <w:gridSpan w:val="10"/>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昼间≤55dB(A)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夜间≤45dB(A)</w:t>
                  </w:r>
                </w:p>
              </w:tc>
            </w:tr>
          </w:tbl>
          <w:p>
            <w:pPr>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lang w:val="en-US" w:eastAsia="zh-CN"/>
                <w14:textFill>
                  <w14:solidFill>
                    <w14:schemeClr w14:val="tx1"/>
                  </w14:solidFill>
                </w14:textFill>
              </w:rPr>
              <w:t>根据</w:t>
            </w:r>
            <w:r>
              <w:rPr>
                <w:rFonts w:hint="eastAsia"/>
                <w:snapToGrid w:val="0"/>
                <w:color w:val="000000" w:themeColor="text1"/>
                <w:kern w:val="0"/>
                <w:sz w:val="24"/>
                <w14:textFill>
                  <w14:solidFill>
                    <w14:schemeClr w14:val="tx1"/>
                  </w14:solidFill>
                </w14:textFill>
              </w:rPr>
              <w:t>《建筑施工场界环境噪声排放标准》（GB12523-2011），昼间场界噪声排放限值为70dB，夜间排放限值为55dB。根据上表预测结果，仅考虑距离衰减的影响，设备同时运行时，20m处噪声贡献值为66.9dB(A)，80m处噪声贡献值为54.8dB(A)，200m处噪声贡献值为46.9dB(A)，250m处噪声贡献值为44.9dB(A)，300m处噪声贡献值为43.3dB(A)。则20m处噪声贡献值可以满足《建筑施工场界环境噪声排放标准》（GB12523-2011）昼间排放限值要求，80m处噪声贡献值可以满足《建筑施工场界环境噪声排放标准》（GB12523-2011）夜间排放限值要求。根据《声环境质量标准》（GB3096-2008）</w:t>
            </w:r>
            <w:r>
              <w:rPr>
                <w:snapToGrid w:val="0"/>
                <w:color w:val="000000" w:themeColor="text1"/>
                <w:kern w:val="0"/>
                <w:sz w:val="24"/>
                <w14:textFill>
                  <w14:solidFill>
                    <w14:schemeClr w14:val="tx1"/>
                  </w14:solidFill>
                </w14:textFill>
              </w:rPr>
              <w:t>1</w:t>
            </w:r>
            <w:r>
              <w:rPr>
                <w:rFonts w:hint="eastAsia"/>
                <w:snapToGrid w:val="0"/>
                <w:color w:val="000000" w:themeColor="text1"/>
                <w:kern w:val="0"/>
                <w:sz w:val="24"/>
                <w14:textFill>
                  <w14:solidFill>
                    <w14:schemeClr w14:val="tx1"/>
                  </w14:solidFill>
                </w14:textFill>
              </w:rPr>
              <w:t>类可知，对周边敏感点昼间影响范围为</w:t>
            </w:r>
            <w:r>
              <w:rPr>
                <w:snapToGrid w:val="0"/>
                <w:color w:val="000000" w:themeColor="text1"/>
                <w:kern w:val="0"/>
                <w:sz w:val="24"/>
                <w14:textFill>
                  <w14:solidFill>
                    <w14:schemeClr w14:val="tx1"/>
                  </w14:solidFill>
                </w14:textFill>
              </w:rPr>
              <w:t>8</w:t>
            </w:r>
            <w:r>
              <w:rPr>
                <w:rFonts w:hint="eastAsia"/>
                <w:snapToGrid w:val="0"/>
                <w:color w:val="000000" w:themeColor="text1"/>
                <w:kern w:val="0"/>
                <w:sz w:val="24"/>
                <w14:textFill>
                  <w14:solidFill>
                    <w14:schemeClr w14:val="tx1"/>
                  </w14:solidFill>
                </w14:textFill>
              </w:rPr>
              <w:t>0m，夜间影响范围为</w:t>
            </w:r>
            <w:r>
              <w:rPr>
                <w:snapToGrid w:val="0"/>
                <w:color w:val="000000" w:themeColor="text1"/>
                <w:kern w:val="0"/>
                <w:sz w:val="24"/>
                <w14:textFill>
                  <w14:solidFill>
                    <w14:schemeClr w14:val="tx1"/>
                  </w14:solidFill>
                </w14:textFill>
              </w:rPr>
              <w:t>2</w:t>
            </w:r>
            <w:r>
              <w:rPr>
                <w:rFonts w:hint="eastAsia"/>
                <w:snapToGrid w:val="0"/>
                <w:color w:val="000000" w:themeColor="text1"/>
                <w:kern w:val="0"/>
                <w:sz w:val="24"/>
                <w14:textFill>
                  <w14:solidFill>
                    <w14:schemeClr w14:val="tx1"/>
                  </w14:solidFill>
                </w14:textFill>
              </w:rPr>
              <w:t>50m。</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14:textFill>
                  <w14:solidFill>
                    <w14:schemeClr w14:val="tx1"/>
                  </w14:solidFill>
                </w14:textFill>
              </w:rPr>
              <w:t>根据计划安排，202</w:t>
            </w:r>
            <w:r>
              <w:rPr>
                <w:rFonts w:hint="eastAsia"/>
                <w:bCs/>
                <w:color w:val="000000" w:themeColor="text1"/>
                <w:sz w:val="24"/>
                <w:lang w:val="en-US" w:eastAsia="zh-CN"/>
                <w14:textFill>
                  <w14:solidFill>
                    <w14:schemeClr w14:val="tx1"/>
                  </w14:solidFill>
                </w14:textFill>
              </w:rPr>
              <w:t>2</w:t>
            </w:r>
            <w:r>
              <w:rPr>
                <w:rFonts w:hint="eastAsia"/>
                <w:bCs/>
                <w:color w:val="000000" w:themeColor="text1"/>
                <w:sz w:val="24"/>
                <w14:textFill>
                  <w14:solidFill>
                    <w14:schemeClr w14:val="tx1"/>
                  </w14:solidFill>
                </w14:textFill>
              </w:rPr>
              <w:t>年预计设钻孔</w:t>
            </w:r>
            <w:r>
              <w:rPr>
                <w:rFonts w:hint="eastAsia"/>
                <w:bCs/>
                <w:color w:val="000000" w:themeColor="text1"/>
                <w:sz w:val="24"/>
                <w:lang w:val="en-US" w:eastAsia="zh-CN"/>
                <w14:textFill>
                  <w14:solidFill>
                    <w14:schemeClr w14:val="tx1"/>
                  </w14:solidFill>
                </w14:textFill>
              </w:rPr>
              <w:t>58</w:t>
            </w:r>
            <w:r>
              <w:rPr>
                <w:rFonts w:hint="eastAsia"/>
                <w:bCs/>
                <w:color w:val="000000" w:themeColor="text1"/>
                <w:sz w:val="24"/>
                <w14:textFill>
                  <w14:solidFill>
                    <w14:schemeClr w14:val="tx1"/>
                  </w14:solidFill>
                </w14:textFill>
              </w:rPr>
              <w:t>个，</w:t>
            </w:r>
            <w:r>
              <w:rPr>
                <w:rFonts w:hint="eastAsia"/>
                <w:bCs/>
                <w:color w:val="000000" w:themeColor="text1"/>
                <w:sz w:val="24"/>
                <w:lang w:val="en-US" w:eastAsia="zh-CN"/>
                <w14:textFill>
                  <w14:solidFill>
                    <w14:schemeClr w14:val="tx1"/>
                  </w14:solidFill>
                </w14:textFill>
              </w:rPr>
              <w:t>2023年-2026年预计设钻孔240</w:t>
            </w:r>
            <w:r>
              <w:rPr>
                <w:rFonts w:hint="eastAsia"/>
                <w:bCs/>
                <w:color w:val="000000" w:themeColor="text1"/>
                <w:sz w:val="24"/>
                <w14:textFill>
                  <w14:solidFill>
                    <w14:schemeClr w14:val="tx1"/>
                  </w14:solidFill>
                </w14:textFill>
              </w:rPr>
              <w:t>个</w:t>
            </w:r>
            <w:r>
              <w:rPr>
                <w:rFonts w:hint="eastAsia"/>
                <w:bCs/>
                <w:color w:val="000000" w:themeColor="text1"/>
                <w:sz w:val="24"/>
                <w:lang w:val="en-US" w:eastAsia="zh-CN"/>
                <w14:textFill>
                  <w14:solidFill>
                    <w14:schemeClr w14:val="tx1"/>
                  </w14:solidFill>
                </w14:textFill>
              </w:rPr>
              <w:t>；</w:t>
            </w:r>
            <w:r>
              <w:rPr>
                <w:rFonts w:hint="eastAsia"/>
                <w:color w:val="000000" w:themeColor="text1"/>
                <w:sz w:val="24"/>
                <w:szCs w:val="24"/>
                <w:lang w:eastAsia="zh-CN"/>
                <w14:textFill>
                  <w14:solidFill>
                    <w14:schemeClr w14:val="tx1"/>
                  </w14:solidFill>
                </w14:textFill>
              </w:rPr>
              <w:t>据</w:t>
            </w:r>
            <w:r>
              <w:rPr>
                <w:rFonts w:hint="eastAsia"/>
                <w:color w:val="000000" w:themeColor="text1"/>
                <w:sz w:val="24"/>
                <w:szCs w:val="24"/>
                <w:lang w:val="en-US" w:eastAsia="zh-CN"/>
                <w14:textFill>
                  <w14:solidFill>
                    <w14:schemeClr w14:val="tx1"/>
                  </w14:solidFill>
                </w14:textFill>
              </w:rPr>
              <w:t>2022年</w:t>
            </w:r>
            <w:r>
              <w:rPr>
                <w:rFonts w:hint="eastAsia"/>
                <w:color w:val="000000" w:themeColor="text1"/>
                <w:sz w:val="24"/>
                <w:szCs w:val="24"/>
                <w:lang w:eastAsia="zh-CN"/>
                <w14:textFill>
                  <w14:solidFill>
                    <w14:schemeClr w14:val="tx1"/>
                  </w14:solidFill>
                </w14:textFill>
              </w:rPr>
              <w:t>初步确定的拟设</w:t>
            </w:r>
            <w:r>
              <w:rPr>
                <w:color w:val="000000" w:themeColor="text1"/>
                <w:sz w:val="24"/>
                <w:szCs w:val="24"/>
                <w:lang w:eastAsia="zh-CN"/>
                <w14:textFill>
                  <w14:solidFill>
                    <w14:schemeClr w14:val="tx1"/>
                  </w14:solidFill>
                </w14:textFill>
              </w:rPr>
              <w:t>钻孔</w:t>
            </w:r>
            <w:r>
              <w:rPr>
                <w:rFonts w:hint="eastAsia"/>
                <w:color w:val="000000" w:themeColor="text1"/>
                <w:sz w:val="24"/>
                <w:szCs w:val="24"/>
                <w:lang w:eastAsia="zh-CN"/>
                <w14:textFill>
                  <w14:solidFill>
                    <w14:schemeClr w14:val="tx1"/>
                  </w14:solidFill>
                </w14:textFill>
              </w:rPr>
              <w:t>的位置，</w:t>
            </w:r>
            <w:r>
              <w:rPr>
                <w:rFonts w:hint="eastAsia"/>
                <w:color w:val="000000" w:themeColor="text1"/>
                <w:sz w:val="24"/>
                <w:szCs w:val="24"/>
                <w:lang w:val="en-US" w:eastAsia="zh-CN"/>
                <w14:textFill>
                  <w14:solidFill>
                    <w14:schemeClr w14:val="tx1"/>
                  </w14:solidFill>
                </w14:textFill>
              </w:rPr>
              <w:t>项目</w:t>
            </w:r>
            <w:r>
              <w:rPr>
                <w:rFonts w:hint="eastAsia"/>
                <w:color w:val="000000" w:themeColor="text1"/>
                <w:sz w:val="24"/>
                <w:szCs w:val="24"/>
                <w:lang w:eastAsia="zh-CN"/>
                <w14:textFill>
                  <w14:solidFill>
                    <w14:schemeClr w14:val="tx1"/>
                  </w14:solidFill>
                </w14:textFill>
              </w:rPr>
              <w:t>距敏感点（</w:t>
            </w:r>
            <w:r>
              <w:rPr>
                <w:rFonts w:hint="eastAsia"/>
                <w:color w:val="000000" w:themeColor="text1"/>
                <w:sz w:val="24"/>
                <w:szCs w:val="24"/>
                <w:lang w:val="en-US" w:eastAsia="zh-CN"/>
                <w14:textFill>
                  <w14:solidFill>
                    <w14:schemeClr w14:val="tx1"/>
                  </w14:solidFill>
                </w14:textFill>
              </w:rPr>
              <w:t>西勒村</w:t>
            </w:r>
            <w:r>
              <w:rPr>
                <w:rFonts w:hint="eastAsia"/>
                <w:color w:val="000000" w:themeColor="text1"/>
                <w:sz w:val="24"/>
                <w:szCs w:val="24"/>
                <w:lang w:eastAsia="zh-CN"/>
                <w14:textFill>
                  <w14:solidFill>
                    <w14:schemeClr w14:val="tx1"/>
                  </w14:solidFill>
                </w14:textFill>
              </w:rPr>
              <w:t>）最近的钻孔为ZKZ4-8，距离为</w:t>
            </w:r>
            <w:r>
              <w:rPr>
                <w:rFonts w:hint="eastAsia"/>
                <w:color w:val="000000" w:themeColor="text1"/>
                <w:sz w:val="24"/>
                <w:szCs w:val="24"/>
                <w:lang w:val="en-US" w:eastAsia="zh-CN"/>
                <w14:textFill>
                  <w14:solidFill>
                    <w14:schemeClr w14:val="tx1"/>
                  </w14:solidFill>
                </w14:textFill>
              </w:rPr>
              <w:t>0.31</w:t>
            </w:r>
            <w:r>
              <w:rPr>
                <w:rFonts w:hint="eastAsia"/>
                <w:color w:val="000000" w:themeColor="text1"/>
                <w:sz w:val="24"/>
                <w:szCs w:val="24"/>
                <w:lang w:eastAsia="zh-CN"/>
                <w14:textFill>
                  <w14:solidFill>
                    <w14:schemeClr w14:val="tx1"/>
                  </w14:solidFill>
                </w14:textFill>
              </w:rPr>
              <w:t>km。</w:t>
            </w:r>
            <w:r>
              <w:rPr>
                <w:rFonts w:hint="eastAsia"/>
                <w:bCs/>
                <w:color w:val="000000" w:themeColor="text1"/>
                <w:sz w:val="24"/>
                <w:lang w:val="en-US" w:eastAsia="zh-CN"/>
                <w14:textFill>
                  <w14:solidFill>
                    <w14:schemeClr w14:val="tx1"/>
                  </w14:solidFill>
                </w14:textFill>
              </w:rPr>
              <w:t>考虑到</w:t>
            </w:r>
            <w:r>
              <w:rPr>
                <w:rFonts w:hint="default"/>
                <w:bCs/>
                <w:color w:val="000000" w:themeColor="text1"/>
                <w:sz w:val="24"/>
                <w:lang w:val="en-US" w:eastAsia="zh-CN"/>
                <w14:textFill>
                  <w14:solidFill>
                    <w14:schemeClr w14:val="tx1"/>
                  </w14:solidFill>
                </w14:textFill>
              </w:rPr>
              <w:t>202</w:t>
            </w:r>
            <w:r>
              <w:rPr>
                <w:rFonts w:hint="eastAsia"/>
                <w:bCs/>
                <w:color w:val="000000" w:themeColor="text1"/>
                <w:sz w:val="24"/>
                <w:lang w:val="en-US" w:eastAsia="zh-CN"/>
                <w14:textFill>
                  <w14:solidFill>
                    <w14:schemeClr w14:val="tx1"/>
                  </w14:solidFill>
                </w14:textFill>
              </w:rPr>
              <w:t>2年拟布设钻孔在实际勘查中会随时调整，同时</w:t>
            </w:r>
            <w:r>
              <w:rPr>
                <w:rFonts w:hint="default"/>
                <w:bCs/>
                <w:color w:val="000000" w:themeColor="text1"/>
                <w:sz w:val="24"/>
                <w:lang w:val="en-US" w:eastAsia="zh-CN"/>
                <w14:textFill>
                  <w14:solidFill>
                    <w14:schemeClr w14:val="tx1"/>
                  </w14:solidFill>
                </w14:textFill>
              </w:rPr>
              <w:t>202</w:t>
            </w:r>
            <w:r>
              <w:rPr>
                <w:rFonts w:hint="eastAsia"/>
                <w:bCs/>
                <w:color w:val="000000" w:themeColor="text1"/>
                <w:sz w:val="24"/>
                <w:lang w:val="en-US" w:eastAsia="zh-CN"/>
                <w14:textFill>
                  <w14:solidFill>
                    <w14:schemeClr w14:val="tx1"/>
                  </w14:solidFill>
                </w14:textFill>
              </w:rPr>
              <w:t>3-2026年的钻孔位置尚未确定，因此本次评价提出以下钻井噪声控制措施：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①钻井施工时，柴油发电机自带消音装置，在钻机、泥浆泵、除砂器等设备下加衬弹性垫料，在钻井过程中平稳操作，加强设备维护，避免产生非正常的噪声；</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②加强施工组织和施工管理；</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③2022年钻孔调整以及2023-2026年拟布设的钻孔建议应距离周边村庄集中居住区在250m以上，无法避让时强化降噪措施，可采取在敏感点设降噪或隔声设施。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钻探施工时间较短，伴随施工结束，影响消失，采取上述噪声控制措施后，钻井噪声对声环境的影响可得到有效控制。</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4、</w:t>
            </w:r>
            <w:r>
              <w:rPr>
                <w:rFonts w:hint="eastAsia"/>
                <w:b/>
                <w:color w:val="000000" w:themeColor="text1"/>
                <w:sz w:val="24"/>
                <w14:textFill>
                  <w14:solidFill>
                    <w14:schemeClr w14:val="tx1"/>
                  </w14:solidFill>
                </w14:textFill>
              </w:rPr>
              <w:t>固体废弃物影响分析</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根据工程分析，本项目固体废物主要为剥离表土、钻井泥浆、岩芯、施工人员生活垃圾以及废机油。</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（1）剥离表土</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表土就近堆放于钻孔平台附近，待封孔后用于场地恢复。充分利用选定施工场所地形，合理布置施工设备，做到挖方、填方平衡。</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（2）废弃钻井泥浆</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废弃钻井泥浆是指在钻井过程中无法利用或钻井完工后弃置于泥浆池中的泥浆，废钻井泥浆是钻井过程中产生的一种液态细腻胶状物，失水后变成固态物。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按照建设单位对废弃泥浆进行自然蒸发后就地填埋方案，由于泥浆池考虑防渗措施，对地下水造成影响的较小；再者，泥浆池占地面积较小，长时间后泥浆中部分有机物降解，增加了土壤中的有机质、防渗措施在客观上减缓了地表雨水下渗，使地表植被更容易吸收水分，对土壤以及植被生长有利。</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（3）岩芯</w:t>
            </w:r>
          </w:p>
          <w:p>
            <w:pPr>
              <w:widowControl/>
              <w:autoSpaceDE/>
              <w:autoSpaceDN/>
              <w:spacing w:line="360" w:lineRule="auto"/>
              <w:ind w:firstLine="480" w:firstLineChars="200"/>
              <w:jc w:val="both"/>
              <w:rPr>
                <w:rFonts w:hint="eastAsia"/>
                <w:color w:val="000000" w:themeColor="text1"/>
                <w:sz w:val="24"/>
                <w:szCs w:val="24"/>
                <w:lang w:eastAsia="zh-CN" w:bidi="ar"/>
                <w14:textFill>
                  <w14:solidFill>
                    <w14:schemeClr w14:val="tx1"/>
                  </w14:solidFill>
                </w14:textFill>
              </w:rPr>
            </w:pPr>
            <w:r>
              <w:rPr>
                <w:rFonts w:hint="eastAsia"/>
                <w:color w:val="000000" w:themeColor="text1"/>
                <w:sz w:val="24"/>
                <w:szCs w:val="24"/>
                <w:lang w:eastAsia="zh-CN" w:bidi="ar"/>
                <w14:textFill>
                  <w14:solidFill>
                    <w14:schemeClr w14:val="tx1"/>
                  </w14:solidFill>
                </w14:textFill>
              </w:rPr>
              <w:t>项目产生矿段岩芯放置在岩芯箱内，堆存于岩芯库内。岩芯库租用项目部无人居住的民房，防火、防雨、防盗，专人看管，登记台账备查。待钻孔完毕后，采集矿段岩芯样品主要有铀镭样、钍钾样、密度样、湿度样、岩矿鉴定样、粒度样、岩石地球化学环境指标样和硅酸盐全分析等样品，</w:t>
            </w:r>
            <w:r>
              <w:rPr>
                <w:rFonts w:hint="eastAsia"/>
                <w:color w:val="000000" w:themeColor="text1"/>
                <w:sz w:val="24"/>
                <w:szCs w:val="24"/>
                <w:lang w:val="en-US" w:eastAsia="zh-CN" w:bidi="ar"/>
                <w14:textFill>
                  <w14:solidFill>
                    <w14:schemeClr w14:val="tx1"/>
                  </w14:solidFill>
                </w14:textFill>
              </w:rPr>
              <w:t>送我所分析测试中心进行检验，我所具备相关检验资格</w:t>
            </w:r>
            <w:r>
              <w:rPr>
                <w:rFonts w:hint="eastAsia"/>
                <w:color w:val="000000" w:themeColor="text1"/>
                <w:sz w:val="24"/>
                <w:szCs w:val="24"/>
                <w:lang w:eastAsia="zh-CN" w:bidi="ar"/>
                <w14:textFill>
                  <w14:solidFill>
                    <w14:schemeClr w14:val="tx1"/>
                  </w14:solidFill>
                </w14:textFill>
              </w:rPr>
              <w:t>。</w:t>
            </w:r>
          </w:p>
          <w:p>
            <w:pPr>
              <w:spacing w:line="360" w:lineRule="auto"/>
              <w:ind w:firstLine="480" w:firstLineChars="200"/>
              <w:rPr>
                <w:rFonts w:hint="eastAsia"/>
                <w:bCs/>
                <w:color w:val="000000" w:themeColor="text1"/>
                <w:sz w:val="24"/>
                <w:lang w:eastAsia="zh-CN"/>
                <w14:textFill>
                  <w14:solidFill>
                    <w14:schemeClr w14:val="tx1"/>
                  </w14:solidFill>
                </w14:textFill>
              </w:rPr>
            </w:pPr>
            <w:r>
              <w:rPr>
                <w:rFonts w:hint="eastAsia"/>
                <w:bCs/>
                <w:color w:val="000000" w:themeColor="text1"/>
                <w:sz w:val="24"/>
                <w:lang w:eastAsia="zh-CN"/>
                <w14:textFill>
                  <w14:solidFill>
                    <w14:schemeClr w14:val="tx1"/>
                  </w14:solidFill>
                </w14:textFill>
              </w:rPr>
              <w:t>非矿段岩芯</w:t>
            </w:r>
            <w:r>
              <w:rPr>
                <w:color w:val="000000" w:themeColor="text1"/>
                <w:kern w:val="2"/>
                <w:sz w:val="24"/>
                <w:szCs w:val="24"/>
                <w:lang w:eastAsia="zh-CN" w:bidi="ar-SA"/>
                <w14:textFill>
                  <w14:solidFill>
                    <w14:schemeClr w14:val="tx1"/>
                  </w14:solidFill>
                </w14:textFill>
              </w:rPr>
              <w:t>本身来自地层，对土壤等无污染</w:t>
            </w:r>
            <w:r>
              <w:rPr>
                <w:rFonts w:hint="eastAsia"/>
                <w:color w:val="000000" w:themeColor="text1"/>
                <w:kern w:val="2"/>
                <w:sz w:val="24"/>
                <w:szCs w:val="24"/>
                <w:lang w:eastAsia="zh-CN" w:bidi="ar-SA"/>
                <w14:textFill>
                  <w14:solidFill>
                    <w14:schemeClr w14:val="tx1"/>
                  </w14:solidFill>
                </w14:textFill>
              </w:rPr>
              <w:t>，</w:t>
            </w:r>
            <w:r>
              <w:rPr>
                <w:color w:val="000000" w:themeColor="text1"/>
                <w:kern w:val="2"/>
                <w:sz w:val="24"/>
                <w:szCs w:val="24"/>
                <w:lang w:eastAsia="zh-CN" w:bidi="ar-SA"/>
                <w14:textFill>
                  <w14:solidFill>
                    <w14:schemeClr w14:val="tx1"/>
                  </w14:solidFill>
                </w14:textFill>
              </w:rPr>
              <w:t>存放</w:t>
            </w:r>
            <w:r>
              <w:rPr>
                <w:rFonts w:hint="eastAsia"/>
                <w:color w:val="000000" w:themeColor="text1"/>
                <w:kern w:val="2"/>
                <w:sz w:val="24"/>
                <w:szCs w:val="24"/>
                <w:lang w:eastAsia="zh-CN" w:bidi="ar-SA"/>
                <w14:textFill>
                  <w14:solidFill>
                    <w14:schemeClr w14:val="tx1"/>
                  </w14:solidFill>
                </w14:textFill>
              </w:rPr>
              <w:t>岩芯</w:t>
            </w:r>
            <w:r>
              <w:rPr>
                <w:color w:val="000000" w:themeColor="text1"/>
                <w:kern w:val="2"/>
                <w:sz w:val="24"/>
                <w:szCs w:val="24"/>
                <w:lang w:eastAsia="zh-CN" w:bidi="ar-SA"/>
                <w14:textFill>
                  <w14:solidFill>
                    <w14:schemeClr w14:val="tx1"/>
                  </w14:solidFill>
                </w14:textFill>
              </w:rPr>
              <w:t>的</w:t>
            </w:r>
            <w:r>
              <w:rPr>
                <w:rFonts w:hint="eastAsia"/>
                <w:color w:val="000000" w:themeColor="text1"/>
                <w:kern w:val="2"/>
                <w:sz w:val="24"/>
                <w:szCs w:val="24"/>
                <w:lang w:eastAsia="zh-CN" w:bidi="ar-SA"/>
                <w14:textFill>
                  <w14:solidFill>
                    <w14:schemeClr w14:val="tx1"/>
                  </w14:solidFill>
                </w14:textFill>
              </w:rPr>
              <w:t>岩芯</w:t>
            </w:r>
            <w:r>
              <w:rPr>
                <w:color w:val="000000" w:themeColor="text1"/>
                <w:kern w:val="2"/>
                <w:sz w:val="24"/>
                <w:szCs w:val="24"/>
                <w:lang w:eastAsia="zh-CN" w:bidi="ar-SA"/>
                <w14:textFill>
                  <w14:solidFill>
                    <w14:schemeClr w14:val="tx1"/>
                  </w14:solidFill>
                </w14:textFill>
              </w:rPr>
              <w:t>池内铺设永久防渗材料，一般情况下无渗漏，不会污染地下水</w:t>
            </w:r>
            <w:r>
              <w:rPr>
                <w:rFonts w:hint="eastAsia"/>
                <w:color w:val="000000" w:themeColor="text1"/>
                <w:kern w:val="2"/>
                <w:sz w:val="24"/>
                <w:szCs w:val="24"/>
                <w:lang w:eastAsia="zh-CN" w:bidi="ar-SA"/>
                <w14:textFill>
                  <w14:solidFill>
                    <w14:schemeClr w14:val="tx1"/>
                  </w14:solidFill>
                </w14:textFill>
              </w:rPr>
              <w:t>，因此</w:t>
            </w:r>
            <w:r>
              <w:rPr>
                <w:rFonts w:hint="eastAsia"/>
                <w:bCs/>
                <w:color w:val="000000" w:themeColor="text1"/>
                <w:sz w:val="24"/>
                <w:lang w:eastAsia="zh-CN"/>
                <w14:textFill>
                  <w14:solidFill>
                    <w14:schemeClr w14:val="tx1"/>
                  </w14:solidFill>
                </w14:textFill>
              </w:rPr>
              <w:t>岩芯池填埋后，对周边环境影响比较小。</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（4）生活垃圾</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施工场地产生的生活垃圾若随意丢弃，将会造成各个施工营地卫生环境恶化，并可能对当地土壤和农田产生一定影响。</w:t>
            </w:r>
            <w:r>
              <w:rPr>
                <w:rFonts w:hint="eastAsia" w:ascii="Times New Roman" w:hAnsi="Times New Roman"/>
                <w:color w:val="000000" w:themeColor="text1"/>
                <w:kern w:val="2"/>
                <w:sz w:val="24"/>
                <w:szCs w:val="24"/>
                <w:lang w:eastAsia="zh-CN" w:bidi="ar-SA"/>
                <w14:textFill>
                  <w14:solidFill>
                    <w14:schemeClr w14:val="tx1"/>
                  </w14:solidFill>
                </w14:textFill>
              </w:rPr>
              <w:t>钻探勘查区生活垃圾用垃圾袋带回项目部，</w:t>
            </w:r>
            <w:r>
              <w:rPr>
                <w:rFonts w:hint="eastAsia"/>
                <w:color w:val="000000" w:themeColor="text1"/>
                <w:kern w:val="2"/>
                <w:sz w:val="24"/>
                <w:szCs w:val="28"/>
                <w:lang w:eastAsia="zh-CN" w:bidi="ar-SA"/>
                <w14:textFill>
                  <w14:solidFill>
                    <w14:schemeClr w14:val="tx1"/>
                  </w14:solidFill>
                </w14:textFill>
              </w:rPr>
              <w:t>项目部设垃圾桶进行收集，</w:t>
            </w:r>
            <w:r>
              <w:rPr>
                <w:color w:val="000000" w:themeColor="text1"/>
                <w:sz w:val="24"/>
                <w:lang w:eastAsia="zh-CN"/>
                <w14:textFill>
                  <w14:solidFill>
                    <w14:schemeClr w14:val="tx1"/>
                  </w14:solidFill>
                </w14:textFill>
              </w:rPr>
              <w:t>定期</w:t>
            </w:r>
            <w:r>
              <w:rPr>
                <w:rFonts w:hint="eastAsia"/>
                <w:color w:val="000000" w:themeColor="text1"/>
                <w:sz w:val="24"/>
                <w:lang w:eastAsia="zh-CN"/>
                <w14:textFill>
                  <w14:solidFill>
                    <w14:schemeClr w14:val="tx1"/>
                  </w14:solidFill>
                </w14:textFill>
              </w:rPr>
              <w:t>送往乡镇垃圾堆放点，</w:t>
            </w:r>
            <w:r>
              <w:rPr>
                <w:color w:val="000000" w:themeColor="text1"/>
                <w:sz w:val="24"/>
                <w:lang w:eastAsia="zh-CN"/>
                <w14:textFill>
                  <w14:solidFill>
                    <w14:schemeClr w14:val="tx1"/>
                  </w14:solidFill>
                </w14:textFill>
              </w:rPr>
              <w:t>由当地环卫部门清理处置</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对当地环境的影响较小。</w:t>
            </w:r>
          </w:p>
          <w:p>
            <w:pPr>
              <w:spacing w:line="360" w:lineRule="auto"/>
              <w:ind w:firstLine="48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（5）废机油</w:t>
            </w:r>
          </w:p>
          <w:p>
            <w:pPr>
              <w:spacing w:line="360" w:lineRule="auto"/>
              <w:ind w:firstLine="480"/>
              <w:rPr>
                <w:rFonts w:hint="eastAsia"/>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工程钻机、柴油发电机等施工机械运转过程中，将产生少量的废机油</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根据</w:t>
            </w:r>
            <w:r>
              <w:rPr>
                <w:rFonts w:hint="eastAsia"/>
                <w:color w:val="000000" w:themeColor="text1"/>
                <w:sz w:val="24"/>
                <w:lang w:val="en-GB"/>
                <w14:textFill>
                  <w14:solidFill>
                    <w14:schemeClr w14:val="tx1"/>
                  </w14:solidFill>
                </w14:textFill>
              </w:rPr>
              <w:t>《国家危险废物名录</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2021版</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》，废机油属于危险废物类别中的废矿物油（HW08），废物代码为900-249-08。评价要求建设单位应设置废机油收集桶，经收集后交有资质单位进行处置，将不会对环境产生影响。</w:t>
            </w:r>
          </w:p>
          <w:p>
            <w:pPr>
              <w:spacing w:line="360" w:lineRule="auto"/>
              <w:ind w:firstLine="480"/>
              <w:rPr>
                <w:color w:val="000000" w:themeColor="text1"/>
                <w:sz w:val="24"/>
                <w:lang w:val="en-GB"/>
                <w14:textFill>
                  <w14:solidFill>
                    <w14:schemeClr w14:val="tx1"/>
                  </w14:solidFill>
                </w14:textFill>
              </w:rPr>
            </w:pPr>
            <w:r>
              <w:rPr>
                <w:rFonts w:hint="eastAsia"/>
                <w:color w:val="000000" w:themeColor="text1"/>
                <w:sz w:val="24"/>
                <w:lang w:val="en-GB"/>
                <w14:textFill>
                  <w14:solidFill>
                    <w14:schemeClr w14:val="tx1"/>
                  </w14:solidFill>
                </w14:textFill>
              </w:rPr>
              <w:t>本项目固体废物收集、贮存及处置方式见表</w:t>
            </w:r>
            <w:r>
              <w:rPr>
                <w:color w:val="000000" w:themeColor="text1"/>
                <w:sz w:val="24"/>
                <w:lang w:val="en-GB"/>
                <w14:textFill>
                  <w14:solidFill>
                    <w14:schemeClr w14:val="tx1"/>
                  </w14:solidFill>
                </w14:textFill>
              </w:rPr>
              <w:t>8-</w:t>
            </w:r>
            <w:r>
              <w:rPr>
                <w:rFonts w:hint="eastAsia"/>
                <w:color w:val="000000" w:themeColor="text1"/>
                <w:sz w:val="24"/>
                <w:lang w:val="en-US" w:eastAsia="zh-CN"/>
                <w14:textFill>
                  <w14:solidFill>
                    <w14:schemeClr w14:val="tx1"/>
                  </w14:solidFill>
                </w14:textFill>
              </w:rPr>
              <w:t>7</w:t>
            </w:r>
            <w:r>
              <w:rPr>
                <w:rFonts w:hint="eastAsia"/>
                <w:color w:val="000000" w:themeColor="text1"/>
                <w:sz w:val="24"/>
                <w:lang w:val="en-GB"/>
                <w14:textFill>
                  <w14:solidFill>
                    <w14:schemeClr w14:val="tx1"/>
                  </w14:solidFill>
                </w14:textFill>
              </w:rPr>
              <w: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7</w:t>
            </w:r>
            <w:r>
              <w:rPr>
                <w:rFonts w:hint="eastAsia"/>
                <w:b w:val="0"/>
                <w:bCs w:val="0"/>
                <w:color w:val="000000" w:themeColor="text1"/>
                <w:sz w:val="24"/>
                <w14:textFill>
                  <w14:solidFill>
                    <w14:schemeClr w14:val="tx1"/>
                  </w14:solidFill>
                </w14:textFill>
              </w:rPr>
              <w:t xml:space="preserve">  固体废物产生、收集及处置</w:t>
            </w:r>
            <w:r>
              <w:rPr>
                <w:rFonts w:hint="eastAsia"/>
                <w:b w:val="0"/>
                <w:bCs w:val="0"/>
                <w:color w:val="000000" w:themeColor="text1"/>
                <w:sz w:val="24"/>
                <w:lang w:val="en-US" w:eastAsia="zh-CN"/>
                <w14:textFill>
                  <w14:solidFill>
                    <w14:schemeClr w14:val="tx1"/>
                  </w14:solidFill>
                </w14:textFill>
              </w:rPr>
              <w:t>方式</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56"/>
              <w:gridCol w:w="1254"/>
              <w:gridCol w:w="1252"/>
              <w:gridCol w:w="3266"/>
              <w:gridCol w:w="211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2" w:hRule="atLeast"/>
                <w:tblHeader/>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固体废物类型</w:t>
                  </w:r>
                </w:p>
              </w:tc>
              <w:tc>
                <w:tcPr>
                  <w:tcW w:w="657"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产生地点</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产生环节</w:t>
                  </w:r>
                </w:p>
              </w:tc>
              <w:tc>
                <w:tcPr>
                  <w:tcW w:w="1711" w:type="pct"/>
                  <w:tcBorders>
                    <w:tl2br w:val="nil"/>
                    <w:tr2bl w:val="nil"/>
                  </w:tcBorders>
                  <w:vAlign w:val="center"/>
                </w:tcPr>
                <w:p>
                  <w:pPr>
                    <w:snapToGrid w:val="0"/>
                    <w:ind w:firstLine="210" w:firstLineChars="10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收集方式</w:t>
                  </w:r>
                </w:p>
              </w:tc>
              <w:tc>
                <w:tcPr>
                  <w:tcW w:w="110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处置方式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钻井泥浆</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钻井过程产生的泥浆岩屑、封孔时被水泥置换的钻井泥浆</w:t>
                  </w:r>
                </w:p>
              </w:tc>
              <w:tc>
                <w:tcPr>
                  <w:tcW w:w="3266" w:type="dxa"/>
                  <w:tcBorders>
                    <w:tl2br w:val="nil"/>
                    <w:tr2bl w:val="nil"/>
                  </w:tcBorders>
                  <w:vAlign w:val="center"/>
                </w:tcPr>
                <w:p>
                  <w:pPr>
                    <w:snapToGrid w:val="0"/>
                    <w:jc w:val="left"/>
                    <w:rPr>
                      <w:color w:val="000000" w:themeColor="text1"/>
                      <w:szCs w:val="21"/>
                      <w14:textFill>
                        <w14:solidFill>
                          <w14:schemeClr w14:val="tx1"/>
                        </w14:solidFill>
                      </w14:textFill>
                    </w:rPr>
                  </w:pPr>
                  <w:r>
                    <w:rPr>
                      <w:color w:val="000000" w:themeColor="text1"/>
                      <w:szCs w:val="21"/>
                      <w:lang w:eastAsia="zh-CN"/>
                      <w14:textFill>
                        <w14:solidFill>
                          <w14:schemeClr w14:val="tx1"/>
                        </w14:solidFill>
                      </w14:textFill>
                    </w:rPr>
                    <w:t>每个机台设沉淀池</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泥浆循环池及泥浆坑</w:t>
                  </w:r>
                  <w:r>
                    <w:rPr>
                      <w:rFonts w:hint="eastAsia"/>
                      <w:color w:val="000000" w:themeColor="text1"/>
                      <w:szCs w:val="21"/>
                      <w:lang w:eastAsia="zh-CN"/>
                      <w14:textFill>
                        <w14:solidFill>
                          <w14:schemeClr w14:val="tx1"/>
                        </w14:solidFill>
                      </w14:textFill>
                    </w:rPr>
                    <w:t>，机台至各个设施设导流槽。</w:t>
                  </w:r>
                  <w:r>
                    <w:rPr>
                      <w:color w:val="000000" w:themeColor="text1"/>
                      <w:szCs w:val="21"/>
                      <w:lang w:eastAsia="zh-CN"/>
                      <w14:textFill>
                        <w14:solidFill>
                          <w14:schemeClr w14:val="tx1"/>
                        </w14:solidFill>
                      </w14:textFill>
                    </w:rPr>
                    <w:t>钻井过程泥浆</w:t>
                  </w:r>
                  <w:r>
                    <w:rPr>
                      <w:rFonts w:hint="eastAsia"/>
                      <w:color w:val="000000" w:themeColor="text1"/>
                      <w:szCs w:val="21"/>
                      <w:lang w:eastAsia="zh-CN"/>
                      <w14:textFill>
                        <w14:solidFill>
                          <w14:schemeClr w14:val="tx1"/>
                        </w14:solidFill>
                      </w14:textFill>
                    </w:rPr>
                    <w:t>经</w:t>
                  </w:r>
                  <w:r>
                    <w:rPr>
                      <w:color w:val="000000" w:themeColor="text1"/>
                      <w:szCs w:val="21"/>
                      <w:lang w:eastAsia="zh-CN"/>
                      <w14:textFill>
                        <w14:solidFill>
                          <w14:schemeClr w14:val="tx1"/>
                        </w14:solidFill>
                      </w14:textFill>
                    </w:rPr>
                    <w:t>筛分网筛分</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大颗粒岩屑存于泥浆坑</w:t>
                  </w:r>
                  <w:r>
                    <w:rPr>
                      <w:rFonts w:hint="eastAsia"/>
                      <w:color w:val="000000" w:themeColor="text1"/>
                      <w:szCs w:val="21"/>
                      <w:lang w:eastAsia="zh-CN"/>
                      <w14:textFill>
                        <w14:solidFill>
                          <w14:schemeClr w14:val="tx1"/>
                        </w14:solidFill>
                      </w14:textFill>
                    </w:rPr>
                    <w:t>，剩余</w:t>
                  </w:r>
                  <w:r>
                    <w:rPr>
                      <w:color w:val="000000" w:themeColor="text1"/>
                      <w:szCs w:val="21"/>
                      <w:lang w:eastAsia="zh-CN"/>
                      <w14:textFill>
                        <w14:solidFill>
                          <w14:schemeClr w14:val="tx1"/>
                        </w14:solidFill>
                      </w14:textFill>
                    </w:rPr>
                    <w:t>泥浆排入循环池循环使用</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池体</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坑体均铺设HDPE防渗膜</w:t>
                  </w:r>
                  <w:r>
                    <w:rPr>
                      <w:rFonts w:hint="eastAsia"/>
                      <w:color w:val="000000" w:themeColor="text1"/>
                      <w:szCs w:val="21"/>
                      <w:lang w:eastAsia="zh-CN"/>
                      <w14:textFill>
                        <w14:solidFill>
                          <w14:schemeClr w14:val="tx1"/>
                        </w14:solidFill>
                      </w14:textFill>
                    </w:rPr>
                    <w:t>，</w:t>
                  </w:r>
                  <w:r>
                    <w:rPr>
                      <w:color w:val="000000" w:themeColor="text1"/>
                      <w:szCs w:val="21"/>
                      <w:lang w:eastAsia="zh-CN"/>
                      <w14:textFill>
                        <w14:solidFill>
                          <w14:schemeClr w14:val="tx1"/>
                        </w14:solidFill>
                      </w14:textFill>
                    </w:rPr>
                    <w:t>并做防溢处理</w:t>
                  </w:r>
                </w:p>
              </w:tc>
              <w:tc>
                <w:tcPr>
                  <w:tcW w:w="2115" w:type="dxa"/>
                  <w:tcBorders>
                    <w:tl2br w:val="nil"/>
                    <w:tr2bl w:val="nil"/>
                  </w:tcBorders>
                  <w:vAlign w:val="center"/>
                </w:tcPr>
                <w:p>
                  <w:pPr>
                    <w:snapToGrid w:val="0"/>
                    <w:jc w:val="left"/>
                    <w:rPr>
                      <w:color w:val="000000" w:themeColor="text1"/>
                      <w:szCs w:val="21"/>
                      <w14:textFill>
                        <w14:solidFill>
                          <w14:schemeClr w14:val="tx1"/>
                        </w14:solidFill>
                      </w14:textFill>
                    </w:rPr>
                  </w:pPr>
                  <w:r>
                    <w:rPr>
                      <w:rFonts w:hint="eastAsia"/>
                      <w:color w:val="000000" w:themeColor="text1"/>
                      <w:szCs w:val="21"/>
                      <w:lang w:eastAsia="zh-CN"/>
                      <w14:textFill>
                        <w14:solidFill>
                          <w14:schemeClr w14:val="tx1"/>
                        </w14:solidFill>
                      </w14:textFill>
                    </w:rPr>
                    <w:t>施工结束后，泥浆坑的泥浆蒸发脱水，就地填埋，地表恢复植被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岩</w:t>
                  </w:r>
                  <w:r>
                    <w:rPr>
                      <w:rFonts w:hint="eastAsia"/>
                      <w:bCs/>
                      <w:color w:val="000000" w:themeColor="text1"/>
                      <w:szCs w:val="21"/>
                      <w14:textFill>
                        <w14:solidFill>
                          <w14:schemeClr w14:val="tx1"/>
                        </w14:solidFill>
                      </w14:textFill>
                    </w:rPr>
                    <w:t>芯</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钻井机台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取芯环节</w:t>
                  </w:r>
                </w:p>
              </w:tc>
              <w:tc>
                <w:tcPr>
                  <w:tcW w:w="3266" w:type="dxa"/>
                  <w:tcBorders>
                    <w:tl2br w:val="nil"/>
                    <w:tr2bl w:val="nil"/>
                  </w:tcBorders>
                  <w:vAlign w:val="center"/>
                </w:tcPr>
                <w:p>
                  <w:pPr>
                    <w:snapToGrid w:val="0"/>
                    <w:jc w:val="left"/>
                    <w:rPr>
                      <w:bCs/>
                      <w:color w:val="000000" w:themeColor="text1"/>
                      <w:szCs w:val="21"/>
                      <w14:textFill>
                        <w14:solidFill>
                          <w14:schemeClr w14:val="tx1"/>
                        </w14:solidFill>
                      </w14:textFill>
                    </w:rPr>
                  </w:pPr>
                  <w:r>
                    <w:rPr>
                      <w:bCs/>
                      <w:color w:val="000000" w:themeColor="text1"/>
                      <w:szCs w:val="21"/>
                      <w:lang w:eastAsia="zh-CN"/>
                      <w14:textFill>
                        <w14:solidFill>
                          <w14:schemeClr w14:val="tx1"/>
                        </w14:solidFill>
                      </w14:textFill>
                    </w:rPr>
                    <w:t>钻井过程中岩芯全部集中</w:t>
                  </w:r>
                  <w:r>
                    <w:rPr>
                      <w:rFonts w:hint="eastAsia"/>
                      <w:bCs/>
                      <w:color w:val="000000" w:themeColor="text1"/>
                      <w:szCs w:val="21"/>
                      <w:lang w:eastAsia="zh-CN"/>
                      <w14:textFill>
                        <w14:solidFill>
                          <w14:schemeClr w14:val="tx1"/>
                        </w14:solidFill>
                      </w14:textFill>
                    </w:rPr>
                    <w:t>放置</w:t>
                  </w:r>
                  <w:r>
                    <w:rPr>
                      <w:bCs/>
                      <w:color w:val="000000" w:themeColor="text1"/>
                      <w:szCs w:val="21"/>
                      <w:lang w:eastAsia="zh-CN"/>
                      <w14:textFill>
                        <w14:solidFill>
                          <w14:schemeClr w14:val="tx1"/>
                        </w14:solidFill>
                      </w14:textFill>
                    </w:rPr>
                    <w:t>在岩芯箱</w:t>
                  </w:r>
                </w:p>
              </w:tc>
              <w:tc>
                <w:tcPr>
                  <w:tcW w:w="2115" w:type="dxa"/>
                  <w:tcBorders>
                    <w:tl2br w:val="nil"/>
                    <w:tr2bl w:val="nil"/>
                  </w:tcBorders>
                  <w:vAlign w:val="center"/>
                </w:tcPr>
                <w:p>
                  <w:pPr>
                    <w:snapToGrid w:val="0"/>
                    <w:jc w:val="left"/>
                    <w:rPr>
                      <w:bCs/>
                      <w:color w:val="000000" w:themeColor="text1"/>
                      <w:szCs w:val="21"/>
                      <w14:textFill>
                        <w14:solidFill>
                          <w14:schemeClr w14:val="tx1"/>
                        </w14:solidFill>
                      </w14:textFill>
                    </w:rPr>
                  </w:pPr>
                  <w:r>
                    <w:rPr>
                      <w:bCs/>
                      <w:color w:val="000000" w:themeColor="text1"/>
                      <w:szCs w:val="21"/>
                      <w:lang w:eastAsia="zh-CN"/>
                      <w14:textFill>
                        <w14:solidFill>
                          <w14:schemeClr w14:val="tx1"/>
                        </w14:solidFill>
                      </w14:textFill>
                    </w:rPr>
                    <w:t>施工结束后</w:t>
                  </w:r>
                  <w:r>
                    <w:rPr>
                      <w:rFonts w:hint="eastAsia"/>
                      <w:bCs/>
                      <w:color w:val="000000" w:themeColor="text1"/>
                      <w:szCs w:val="21"/>
                      <w:lang w:eastAsia="zh-CN"/>
                      <w14:textFill>
                        <w14:solidFill>
                          <w14:schemeClr w14:val="tx1"/>
                        </w14:solidFill>
                      </w14:textFill>
                    </w:rPr>
                    <w:t>，</w:t>
                  </w:r>
                  <w:r>
                    <w:rPr>
                      <w:rFonts w:hint="eastAsia"/>
                      <w:color w:val="000000" w:themeColor="text1"/>
                      <w:szCs w:val="21"/>
                      <w:lang w:eastAsia="zh-CN"/>
                      <w14:textFill>
                        <w14:solidFill>
                          <w14:schemeClr w14:val="tx1"/>
                        </w14:solidFill>
                      </w14:textFill>
                    </w:rPr>
                    <w:t>矿段岩芯放置在岩芯库内，后期带回分析、化验；非矿段岩芯放置在岩芯池内，就地填埋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生活垃圾</w:t>
                  </w:r>
                </w:p>
              </w:tc>
              <w:tc>
                <w:tcPr>
                  <w:tcW w:w="657" w:type="pct"/>
                  <w:tcBorders>
                    <w:tl2br w:val="nil"/>
                    <w:tr2bl w:val="nil"/>
                  </w:tcBorders>
                  <w:vAlign w:val="center"/>
                </w:tcPr>
                <w:p>
                  <w:pPr>
                    <w:snapToGrid w:val="0"/>
                    <w:jc w:val="center"/>
                    <w:rPr>
                      <w:rFonts w:hint="eastAsia" w:eastAsia="宋体"/>
                      <w:color w:val="000000" w:themeColor="text1"/>
                      <w:szCs w:val="21"/>
                      <w:lang w:eastAsia="zh-CN"/>
                      <w14:textFill>
                        <w14:solidFill>
                          <w14:schemeClr w14:val="tx1"/>
                        </w14:solidFill>
                      </w14:textFill>
                    </w:rPr>
                  </w:pPr>
                  <w:r>
                    <w:rPr>
                      <w:color w:val="000000" w:themeColor="text1"/>
                      <w:szCs w:val="21"/>
                      <w14:textFill>
                        <w14:solidFill>
                          <w14:schemeClr w14:val="tx1"/>
                        </w14:solidFill>
                      </w14:textFill>
                    </w:rPr>
                    <w:t>项目部、钻探</w:t>
                  </w:r>
                  <w:r>
                    <w:rPr>
                      <w:rFonts w:hint="eastAsia"/>
                      <w:color w:val="000000" w:themeColor="text1"/>
                      <w:szCs w:val="21"/>
                      <w:lang w:eastAsia="zh-CN"/>
                      <w14:textFill>
                        <w14:solidFill>
                          <w14:schemeClr w14:val="tx1"/>
                        </w14:solidFill>
                      </w14:textFill>
                    </w:rPr>
                    <w:t>勘查区</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施工人员办公、生活</w:t>
                  </w:r>
                </w:p>
              </w:tc>
              <w:tc>
                <w:tcPr>
                  <w:tcW w:w="3266"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钻探勘查区的生活垃圾用垃圾袋带回项目部，项目部设垃圾桶</w:t>
                  </w:r>
                </w:p>
              </w:tc>
              <w:tc>
                <w:tcPr>
                  <w:tcW w:w="2115"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定期送往乡镇垃圾堆放点，由环卫部门清理处置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2" w:hRule="atLeast"/>
                <w:jc w:val="center"/>
              </w:trPr>
              <w:tc>
                <w:tcPr>
                  <w:tcW w:w="868"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废机油</w:t>
                  </w:r>
                </w:p>
              </w:tc>
              <w:tc>
                <w:tcPr>
                  <w:tcW w:w="657" w:type="pct"/>
                  <w:tcBorders>
                    <w:tl2br w:val="nil"/>
                    <w:tr2bl w:val="nil"/>
                  </w:tcBorders>
                  <w:vAlign w:val="center"/>
                </w:tcPr>
                <w:p>
                  <w:pPr>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钻探场地</w:t>
                  </w:r>
                </w:p>
              </w:tc>
              <w:tc>
                <w:tcPr>
                  <w:tcW w:w="656" w:type="pct"/>
                  <w:tcBorders>
                    <w:tl2br w:val="nil"/>
                    <w:tr2bl w:val="nil"/>
                  </w:tcBorders>
                  <w:vAlign w:val="center"/>
                </w:tcPr>
                <w:p>
                  <w:pPr>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w:t>
                  </w:r>
                </w:p>
              </w:tc>
              <w:tc>
                <w:tcPr>
                  <w:tcW w:w="3266"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废机油收集桶</w:t>
                  </w:r>
                </w:p>
              </w:tc>
              <w:tc>
                <w:tcPr>
                  <w:tcW w:w="2115" w:type="dxa"/>
                  <w:tcBorders>
                    <w:tl2br w:val="nil"/>
                    <w:tr2bl w:val="nil"/>
                  </w:tcBorders>
                  <w:vAlign w:val="center"/>
                </w:tcPr>
                <w:p>
                  <w:pPr>
                    <w:snapToGrid w:val="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经收集后交有资质单位进行处置</w:t>
                  </w:r>
                </w:p>
              </w:tc>
            </w:tr>
          </w:tbl>
          <w:p>
            <w:pPr>
              <w:pStyle w:val="26"/>
              <w:adjustRightInd/>
              <w:spacing w:line="360" w:lineRule="auto"/>
              <w:ind w:firstLine="482" w:firstLineChars="200"/>
              <w:jc w:val="both"/>
              <w:rPr>
                <w:b/>
                <w:color w:val="000000" w:themeColor="text1"/>
                <w14:textFill>
                  <w14:solidFill>
                    <w14:schemeClr w14:val="tx1"/>
                  </w14:solidFill>
                </w14:textFill>
              </w:rPr>
            </w:pPr>
            <w:r>
              <w:rPr>
                <w:rFonts w:hint="eastAsia"/>
                <w:b/>
                <w:color w:val="000000" w:themeColor="text1"/>
                <w14:textFill>
                  <w14:solidFill>
                    <w14:schemeClr w14:val="tx1"/>
                  </w14:solidFill>
                </w14:textFill>
              </w:rPr>
              <w:t>本次评价针对固体废物收集、处置等环节提出以下污染防治措施：</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①</w:t>
            </w:r>
            <w:r>
              <w:rPr>
                <w:bCs/>
                <w:snapToGrid w:val="0"/>
                <w:color w:val="000000" w:themeColor="text1"/>
                <w:kern w:val="0"/>
                <w:sz w:val="24"/>
                <w14:textFill>
                  <w14:solidFill>
                    <w14:schemeClr w14:val="tx1"/>
                  </w14:solidFill>
                </w14:textFill>
              </w:rPr>
              <w:t>根据每个机台周围地形</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合理选择</w:t>
            </w:r>
            <w:r>
              <w:rPr>
                <w:rFonts w:hint="eastAsia"/>
                <w:bCs/>
                <w:snapToGrid w:val="0"/>
                <w:color w:val="000000" w:themeColor="text1"/>
                <w:kern w:val="0"/>
                <w:sz w:val="24"/>
                <w14:textFill>
                  <w14:solidFill>
                    <w14:schemeClr w14:val="tx1"/>
                  </w14:solidFill>
                </w14:textFill>
              </w:rPr>
              <w:t>沉淀</w:t>
            </w:r>
            <w:r>
              <w:rPr>
                <w:bCs/>
                <w:snapToGrid w:val="0"/>
                <w:color w:val="000000" w:themeColor="text1"/>
                <w:kern w:val="0"/>
                <w:sz w:val="24"/>
                <w14:textFill>
                  <w14:solidFill>
                    <w14:schemeClr w14:val="tx1"/>
                  </w14:solidFill>
                </w14:textFill>
              </w:rPr>
              <w:t>池</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循环池及泥浆坑的位置，应选在满足承载力要求的地基上，以避免地基下沉的影响，特别是不均匀或局部下沉的影响</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应避开断层、断层破碎带、溶洞区，以及天然滑坡或泥石流影响区</w:t>
            </w:r>
            <w:r>
              <w:rPr>
                <w:rFonts w:hint="eastAsia"/>
                <w:bCs/>
                <w:snapToGrid w:val="0"/>
                <w:color w:val="000000" w:themeColor="text1"/>
                <w:kern w:val="0"/>
                <w:sz w:val="24"/>
                <w14:textFill>
                  <w14:solidFill>
                    <w14:schemeClr w14:val="tx1"/>
                  </w14:solidFill>
                </w14:textFill>
              </w:rPr>
              <w:t>，</w:t>
            </w:r>
            <w:r>
              <w:rPr>
                <w:bCs/>
                <w:snapToGrid w:val="0"/>
                <w:color w:val="000000" w:themeColor="text1"/>
                <w:kern w:val="0"/>
                <w:sz w:val="24"/>
                <w14:textFill>
                  <w14:solidFill>
                    <w14:schemeClr w14:val="tx1"/>
                  </w14:solidFill>
                </w14:textFill>
              </w:rPr>
              <w:t>禁止选在江河、湖泊、水库最高水位线以下的滩地和</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"https://baike.sogou.com/lemma/ShowInnerLink.htm?lemmaId=70030824&amp;ss_c=ssc.citiao.link" \t "_blank" </w:instrText>
            </w:r>
            <w:r>
              <w:rPr>
                <w:color w:val="000000" w:themeColor="text1"/>
                <w14:textFill>
                  <w14:solidFill>
                    <w14:schemeClr w14:val="tx1"/>
                  </w14:solidFill>
                </w14:textFill>
              </w:rPr>
              <w:fldChar w:fldCharType="separate"/>
            </w:r>
            <w:r>
              <w:rPr>
                <w:bCs/>
                <w:snapToGrid w:val="0"/>
                <w:color w:val="000000" w:themeColor="text1"/>
                <w:kern w:val="0"/>
                <w:sz w:val="24"/>
                <w14:textFill>
                  <w14:solidFill>
                    <w14:schemeClr w14:val="tx1"/>
                  </w14:solidFill>
                </w14:textFill>
              </w:rPr>
              <w:t>洪泛区</w:t>
            </w:r>
            <w:r>
              <w:rPr>
                <w:bCs/>
                <w:snapToGrid w:val="0"/>
                <w:color w:val="000000" w:themeColor="text1"/>
                <w:kern w:val="0"/>
                <w:sz w:val="24"/>
                <w14:textFill>
                  <w14:solidFill>
                    <w14:schemeClr w14:val="tx1"/>
                  </w14:solidFill>
                </w14:textFill>
              </w:rPr>
              <w:fldChar w:fldCharType="end"/>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②保证机台至各个泥浆设施之间的导流槽平整通畅，</w:t>
            </w:r>
            <w:r>
              <w:rPr>
                <w:bCs/>
                <w:snapToGrid w:val="0"/>
                <w:color w:val="000000" w:themeColor="text1"/>
                <w:kern w:val="0"/>
                <w:sz w:val="24"/>
                <w14:textFill>
                  <w14:solidFill>
                    <w14:schemeClr w14:val="tx1"/>
                  </w14:solidFill>
                </w14:textFill>
              </w:rPr>
              <w:t>严格操作程序，减少钻井</w:t>
            </w:r>
            <w:r>
              <w:rPr>
                <w:rFonts w:hint="eastAsia"/>
                <w:bCs/>
                <w:snapToGrid w:val="0"/>
                <w:color w:val="000000" w:themeColor="text1"/>
                <w:kern w:val="0"/>
                <w:sz w:val="24"/>
                <w14:textFill>
                  <w14:solidFill>
                    <w14:schemeClr w14:val="tx1"/>
                  </w14:solidFill>
                </w14:textFill>
              </w:rPr>
              <w:t>泥浆</w:t>
            </w:r>
            <w:r>
              <w:rPr>
                <w:bCs/>
                <w:snapToGrid w:val="0"/>
                <w:color w:val="000000" w:themeColor="text1"/>
                <w:kern w:val="0"/>
                <w:sz w:val="24"/>
                <w14:textFill>
                  <w14:solidFill>
                    <w14:schemeClr w14:val="tx1"/>
                  </w14:solidFill>
                </w14:textFill>
              </w:rPr>
              <w:t>的跑冒滴漏</w:t>
            </w:r>
            <w:r>
              <w:rPr>
                <w:rFonts w:hint="eastAsia"/>
                <w:bCs/>
                <w:snapToGrid w:val="0"/>
                <w:color w:val="000000" w:themeColor="text1"/>
                <w:kern w:val="0"/>
                <w:sz w:val="24"/>
                <w14:textFill>
                  <w14:solidFill>
                    <w14:schemeClr w14:val="tx1"/>
                  </w14:solidFill>
                </w14:textFill>
              </w:rPr>
              <w:t>；</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③为防止暴雨季节泥浆池溢流造成土壤、地表水等的污染，泥浆池要留设一定防雨水容量；另外，在暴雨较多的季节，可以根据需要在泥浆池上游方向设临时围挡或截水沟，阻止暴雨时地表漫流和径流进入泥浆池；</w:t>
            </w:r>
          </w:p>
          <w:p>
            <w:pPr>
              <w:spacing w:line="360" w:lineRule="auto"/>
              <w:ind w:firstLine="480" w:firstLineChars="200"/>
              <w:rPr>
                <w:rFonts w:ascii="宋体" w:hAnsi="宋体" w:cs="宋体"/>
                <w:bCs/>
                <w:snapToGrid w:val="0"/>
                <w:color w:val="000000" w:themeColor="text1"/>
                <w:kern w:val="0"/>
                <w:sz w:val="24"/>
                <w14:textFill>
                  <w14:solidFill>
                    <w14:schemeClr w14:val="tx1"/>
                  </w14:solidFill>
                </w14:textFill>
              </w:rPr>
            </w:pPr>
            <w:r>
              <w:rPr>
                <w:rFonts w:hint="eastAsia" w:ascii="宋体" w:hAnsi="宋体" w:cs="宋体"/>
                <w:bCs/>
                <w:snapToGrid w:val="0"/>
                <w:color w:val="000000" w:themeColor="text1"/>
                <w:kern w:val="0"/>
                <w:sz w:val="24"/>
                <w14:textFill>
                  <w14:solidFill>
                    <w14:schemeClr w14:val="tx1"/>
                  </w14:solidFill>
                </w14:textFill>
              </w:rPr>
              <w:t>④泥浆池、岩芯池等池体、坑体的</w:t>
            </w:r>
            <w:r>
              <w:rPr>
                <w:bCs/>
                <w:snapToGrid w:val="0"/>
                <w:color w:val="000000" w:themeColor="text1"/>
                <w:kern w:val="0"/>
                <w:sz w:val="24"/>
                <w14:textFill>
                  <w14:solidFill>
                    <w14:schemeClr w14:val="tx1"/>
                  </w14:solidFill>
                </w14:textFill>
              </w:rPr>
              <w:t>HDPE</w:t>
            </w:r>
            <w:r>
              <w:rPr>
                <w:rFonts w:hint="eastAsia" w:ascii="宋体" w:hAnsi="宋体" w:cs="宋体"/>
                <w:bCs/>
                <w:snapToGrid w:val="0"/>
                <w:color w:val="000000" w:themeColor="text1"/>
                <w:kern w:val="0"/>
                <w:sz w:val="24"/>
                <w14:textFill>
                  <w14:solidFill>
                    <w14:schemeClr w14:val="tx1"/>
                  </w14:solidFill>
                </w14:textFill>
              </w:rPr>
              <w:t>防渗膜铺设作业要规范操作，基础需平坦，无不均匀沉陷，无锐石、树根等能刺穿薄膜的硬物，铺时勿使薄膜受拉，放松为好，防渗技术要求为等效粘土防渗层</w:t>
            </w:r>
            <w:r>
              <w:rPr>
                <w:bCs/>
                <w:snapToGrid w:val="0"/>
                <w:color w:val="000000" w:themeColor="text1"/>
                <w:kern w:val="0"/>
                <w:sz w:val="24"/>
                <w14:textFill>
                  <w14:solidFill>
                    <w14:schemeClr w14:val="tx1"/>
                  </w14:solidFill>
                </w14:textFill>
              </w:rPr>
              <w:t>Mb≥1.5m，K≤1×10</w:t>
            </w:r>
            <w:r>
              <w:rPr>
                <w:bCs/>
                <w:snapToGrid w:val="0"/>
                <w:color w:val="000000" w:themeColor="text1"/>
                <w:kern w:val="0"/>
                <w:sz w:val="24"/>
                <w:vertAlign w:val="superscript"/>
                <w14:textFill>
                  <w14:solidFill>
                    <w14:schemeClr w14:val="tx1"/>
                  </w14:solidFill>
                </w14:textFill>
              </w:rPr>
              <w:t>-7</w:t>
            </w:r>
            <w:r>
              <w:rPr>
                <w:bCs/>
                <w:snapToGrid w:val="0"/>
                <w:color w:val="000000" w:themeColor="text1"/>
                <w:kern w:val="0"/>
                <w:sz w:val="24"/>
                <w14:textFill>
                  <w14:solidFill>
                    <w14:schemeClr w14:val="tx1"/>
                  </w14:solidFill>
                </w14:textFill>
              </w:rPr>
              <w:t>cm/s</w:t>
            </w:r>
            <w:r>
              <w:rPr>
                <w:rFonts w:hint="eastAsia" w:ascii="宋体" w:hAnsi="宋体" w:cs="宋体"/>
                <w:bCs/>
                <w:snapToGrid w:val="0"/>
                <w:color w:val="000000" w:themeColor="text1"/>
                <w:kern w:val="0"/>
                <w:sz w:val="24"/>
                <w14:textFill>
                  <w14:solidFill>
                    <w14:schemeClr w14:val="tx1"/>
                  </w14:solidFill>
                </w14:textFill>
              </w:rPr>
              <w:t>。</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5、</w:t>
            </w:r>
            <w:r>
              <w:rPr>
                <w:rFonts w:hint="eastAsia"/>
                <w:b/>
                <w:color w:val="000000" w:themeColor="text1"/>
                <w:sz w:val="24"/>
                <w14:textFill>
                  <w14:solidFill>
                    <w14:schemeClr w14:val="tx1"/>
                  </w14:solidFill>
                </w14:textFill>
              </w:rPr>
              <w:t>土壤、地下水环境影响分析</w:t>
            </w:r>
          </w:p>
          <w:p>
            <w:pPr>
              <w:pStyle w:val="26"/>
              <w:spacing w:line="360" w:lineRule="auto"/>
              <w:ind w:firstLine="480" w:firstLineChars="200"/>
              <w:jc w:val="both"/>
              <w:outlineLvl w:val="0"/>
              <w:rPr>
                <w:rFonts w:hint="default" w:ascii="Times New Roman" w:hAnsi="Times New Roman" w:eastAsia="宋体" w:cs="Times New Roman"/>
                <w:color w:val="000000" w:themeColor="text1"/>
                <w14:textFill>
                  <w14:solidFill>
                    <w14:schemeClr w14:val="tx1"/>
                  </w14:solidFill>
                </w14:textFill>
              </w:rPr>
            </w:pPr>
            <w:r>
              <w:rPr>
                <w:rFonts w:hint="default" w:ascii="Times New Roman" w:hAnsi="Times New Roman" w:eastAsia="宋体" w:cs="Times New Roman"/>
                <w:color w:val="000000" w:themeColor="text1"/>
                <w14:textFill>
                  <w14:solidFill>
                    <w14:schemeClr w14:val="tx1"/>
                  </w14:solidFill>
                </w14:textFill>
              </w:rPr>
              <w:t>根据《环境影响评价技术导则 地下水环境》（HJ610-2016），本项目属于附录A中 C地质勘查 24、矿产资源地质勘查（包括勘查活动），地下水环境影响评价项目类别是IV类；根据《环境影响评价技术导则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26"/>
              <w:spacing w:line="360" w:lineRule="auto"/>
              <w:ind w:firstLine="482" w:firstLineChars="200"/>
              <w:jc w:val="both"/>
              <w:outlineLvl w:val="0"/>
              <w:rPr>
                <w:rFonts w:hint="default" w:ascii="Times New Roman" w:hAnsi="Times New Roman" w:eastAsia="宋体" w:cs="Times New Roman"/>
                <w:b/>
                <w:color w:val="000000" w:themeColor="text1"/>
                <w14:textFill>
                  <w14:solidFill>
                    <w14:schemeClr w14:val="tx1"/>
                  </w14:solidFill>
                </w14:textFill>
              </w:rPr>
            </w:pPr>
            <w:r>
              <w:rPr>
                <w:rFonts w:hint="default" w:ascii="Times New Roman" w:hAnsi="Times New Roman" w:eastAsia="宋体" w:cs="Times New Roman"/>
                <w:b/>
                <w:color w:val="000000" w:themeColor="text1"/>
                <w14:textFill>
                  <w14:solidFill>
                    <w14:schemeClr w14:val="tx1"/>
                  </w14:solidFill>
                </w14:textFill>
              </w:rPr>
              <w:t>本次评价防止钻探过程对地下水污染提出以下要求：</w:t>
            </w:r>
          </w:p>
          <w:p>
            <w:pPr>
              <w:spacing w:line="360" w:lineRule="auto"/>
              <w:ind w:firstLine="480" w:firstLineChars="200"/>
              <w:rPr>
                <w:rFonts w:hint="default" w:ascii="Times New Roman" w:hAnsi="Times New Roman" w:eastAsia="宋体" w:cs="Times New Roman"/>
                <w:color w:val="000000" w:themeColor="text1"/>
                <w:sz w:val="24"/>
                <w:szCs w:val="24"/>
                <w:lang w:eastAsia="zh-CN" w:bidi="ar-SA"/>
                <w14:textFill>
                  <w14:solidFill>
                    <w14:schemeClr w14:val="tx1"/>
                  </w14:solidFill>
                </w14:textFill>
              </w:rPr>
            </w:pPr>
            <w:r>
              <w:rPr>
                <w:rFonts w:hint="default" w:ascii="Times New Roman" w:hAnsi="Times New Roman" w:eastAsia="宋体" w:cs="Times New Roman"/>
                <w:color w:val="000000" w:themeColor="text1"/>
                <w:sz w:val="24"/>
                <w:szCs w:val="24"/>
                <w:lang w:eastAsia="zh-CN" w:bidi="ar-SA"/>
                <w14:textFill>
                  <w14:solidFill>
                    <w14:schemeClr w14:val="tx1"/>
                  </w14:solidFill>
                </w14:textFill>
              </w:rPr>
              <w:fldChar w:fldCharType="begin"/>
            </w:r>
            <w:r>
              <w:rPr>
                <w:rFonts w:hint="default" w:ascii="Times New Roman" w:hAnsi="Times New Roman" w:eastAsia="宋体" w:cs="Times New Roman"/>
                <w:color w:val="000000" w:themeColor="text1"/>
                <w:sz w:val="24"/>
                <w:szCs w:val="24"/>
                <w:lang w:eastAsia="zh-CN" w:bidi="ar-SA"/>
                <w14:textFill>
                  <w14:solidFill>
                    <w14:schemeClr w14:val="tx1"/>
                  </w14:solidFill>
                </w14:textFill>
              </w:rPr>
              <w:instrText xml:space="preserve"> = 1 \* GB3 \* MERGEFORMAT </w:instrText>
            </w:r>
            <w:r>
              <w:rPr>
                <w:rFonts w:hint="default" w:ascii="Times New Roman" w:hAnsi="Times New Roman" w:eastAsia="宋体" w:cs="Times New Roman"/>
                <w:color w:val="000000" w:themeColor="text1"/>
                <w:sz w:val="24"/>
                <w:szCs w:val="24"/>
                <w:lang w:eastAsia="zh-CN" w:bidi="ar-SA"/>
                <w14:textFill>
                  <w14:solidFill>
                    <w14:schemeClr w14:val="tx1"/>
                  </w14:solidFill>
                </w14:textFill>
              </w:rPr>
              <w:fldChar w:fldCharType="separate"/>
            </w:r>
            <w:r>
              <w:rPr>
                <w:rFonts w:hint="default" w:ascii="Times New Roman" w:hAnsi="Times New Roman" w:eastAsia="宋体" w:cs="Times New Roman"/>
                <w:color w:val="000000" w:themeColor="text1"/>
                <w:sz w:val="24"/>
                <w:szCs w:val="24"/>
                <w:lang w:eastAsia="zh-CN" w:bidi="ar-SA"/>
                <w14:textFill>
                  <w14:solidFill>
                    <w14:schemeClr w14:val="tx1"/>
                  </w14:solidFill>
                </w14:textFill>
              </w:rPr>
              <w:t>①</w:t>
            </w:r>
            <w:r>
              <w:rPr>
                <w:rFonts w:hint="default" w:ascii="Times New Roman" w:hAnsi="Times New Roman" w:eastAsia="宋体" w:cs="Times New Roman"/>
                <w:color w:val="000000" w:themeColor="text1"/>
                <w:sz w:val="24"/>
                <w:szCs w:val="24"/>
                <w:lang w:eastAsia="zh-CN" w:bidi="ar-SA"/>
                <w14:textFill>
                  <w14:solidFill>
                    <w14:schemeClr w14:val="tx1"/>
                  </w14:solidFill>
                </w14:textFill>
              </w:rPr>
              <w:fldChar w:fldCharType="end"/>
            </w:r>
            <w:r>
              <w:rPr>
                <w:rFonts w:hint="default" w:ascii="Times New Roman" w:hAnsi="Times New Roman" w:eastAsia="宋体" w:cs="Times New Roman"/>
                <w:color w:val="000000" w:themeColor="text1"/>
                <w:sz w:val="24"/>
                <w:szCs w:val="24"/>
                <w:lang w:eastAsia="zh-CN" w:bidi="ar-SA"/>
                <w14:textFill>
                  <w14:solidFill>
                    <w14:schemeClr w14:val="tx1"/>
                  </w14:solidFill>
                </w14:textFill>
              </w:rPr>
              <w:t>在钻具、钻孔及具有防渗层的泥浆池中运行。泥浆池下衬1mmHDPE膜防渗，渗透系数＜10</w:t>
            </w:r>
            <w:r>
              <w:rPr>
                <w:rFonts w:hint="default" w:ascii="Times New Roman" w:hAnsi="Times New Roman" w:eastAsia="宋体" w:cs="Times New Roman"/>
                <w:color w:val="000000" w:themeColor="text1"/>
                <w:sz w:val="24"/>
                <w:szCs w:val="24"/>
                <w:vertAlign w:val="superscript"/>
                <w:lang w:eastAsia="zh-CN" w:bidi="ar-SA"/>
                <w14:textFill>
                  <w14:solidFill>
                    <w14:schemeClr w14:val="tx1"/>
                  </w14:solidFill>
                </w14:textFill>
              </w:rPr>
              <w:t>-7</w:t>
            </w:r>
            <w:r>
              <w:rPr>
                <w:rFonts w:hint="default" w:ascii="Times New Roman" w:hAnsi="Times New Roman" w:eastAsia="宋体" w:cs="Times New Roman"/>
                <w:color w:val="000000" w:themeColor="text1"/>
                <w:sz w:val="24"/>
                <w:szCs w:val="24"/>
                <w:lang w:eastAsia="zh-CN" w:bidi="ar-SA"/>
                <w14:textFill>
                  <w14:solidFill>
                    <w14:schemeClr w14:val="tx1"/>
                  </w14:solidFill>
                </w14:textFill>
              </w:rPr>
              <w:t>cm/s，防止污染物下渗进入地下水系统造成污染。</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fldChar w:fldCharType="begin"/>
            </w:r>
            <w:r>
              <w:rPr>
                <w:rFonts w:hint="default" w:ascii="Times New Roman" w:hAnsi="Times New Roman" w:eastAsia="宋体" w:cs="Times New Roman"/>
                <w:color w:val="000000" w:themeColor="text1"/>
                <w:sz w:val="24"/>
                <w:szCs w:val="24"/>
                <w:lang w:eastAsia="zh-CN"/>
                <w14:textFill>
                  <w14:solidFill>
                    <w14:schemeClr w14:val="tx1"/>
                  </w14:solidFill>
                </w14:textFill>
              </w:rPr>
              <w:instrText xml:space="preserve"> = 2 \* GB3 \* MERGEFORMAT </w:instrText>
            </w:r>
            <w:r>
              <w:rPr>
                <w:rFonts w:hint="default" w:ascii="Times New Roman" w:hAnsi="Times New Roman" w:eastAsia="宋体" w:cs="Times New Roman"/>
                <w:color w:val="000000" w:themeColor="text1"/>
                <w:sz w:val="24"/>
                <w:szCs w:val="24"/>
                <w14:textFill>
                  <w14:solidFill>
                    <w14:schemeClr w14:val="tx1"/>
                  </w14:solidFill>
                </w14:textFill>
              </w:rPr>
              <w:fldChar w:fldCharType="separate"/>
            </w:r>
            <w:r>
              <w:rPr>
                <w:rFonts w:hint="default" w:ascii="Times New Roman" w:hAnsi="Times New Roman" w:eastAsia="宋体" w:cs="Times New Roman"/>
                <w:color w:val="000000" w:themeColor="text1"/>
                <w:sz w:val="24"/>
                <w:szCs w:val="24"/>
                <w:lang w:eastAsia="zh-CN"/>
                <w14:textFill>
                  <w14:solidFill>
                    <w14:schemeClr w14:val="tx1"/>
                  </w14:solidFill>
                </w14:textFill>
              </w:rPr>
              <w:t>②</w:t>
            </w:r>
            <w:r>
              <w:rPr>
                <w:rFonts w:hint="default" w:ascii="Times New Roman" w:hAnsi="Times New Roman" w:eastAsia="宋体" w:cs="Times New Roman"/>
                <w:color w:val="000000" w:themeColor="text1"/>
                <w:sz w:val="24"/>
                <w:szCs w:val="24"/>
                <w14:textFill>
                  <w14:solidFill>
                    <w14:schemeClr w14:val="tx1"/>
                  </w14:solidFill>
                </w14:textFill>
              </w:rPr>
              <w:fldChar w:fldCharType="end"/>
            </w:r>
            <w:r>
              <w:rPr>
                <w:rFonts w:hint="default" w:ascii="Times New Roman" w:hAnsi="Times New Roman" w:eastAsia="宋体" w:cs="Times New Roman"/>
                <w:color w:val="000000" w:themeColor="text1"/>
                <w:sz w:val="24"/>
                <w:szCs w:val="24"/>
                <w:lang w:eastAsia="zh-CN"/>
                <w14:textFill>
                  <w14:solidFill>
                    <w14:schemeClr w14:val="tx1"/>
                  </w14:solidFill>
                </w14:textFill>
              </w:rPr>
              <w:t>施工工程在固井、下套管时必须严格按照操作规范进行作业，可有效避免钻井液在含水层中的漏失，防止因固井质量问题或套管破裂、报废等原因使泥浆窜入含水层而污染地下水。</w:t>
            </w:r>
          </w:p>
          <w:p>
            <w:pPr>
              <w:pStyle w:val="26"/>
              <w:spacing w:line="360" w:lineRule="auto"/>
              <w:ind w:firstLine="480" w:firstLineChars="200"/>
              <w:jc w:val="both"/>
              <w:outlineLvl w:val="0"/>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fldChar w:fldCharType="begin"/>
            </w:r>
            <w:r>
              <w:rPr>
                <w:rFonts w:hint="default" w:ascii="Times New Roman" w:hAnsi="Times New Roman" w:cs="Times New Roman"/>
                <w:color w:val="000000" w:themeColor="text1"/>
                <w14:textFill>
                  <w14:solidFill>
                    <w14:schemeClr w14:val="tx1"/>
                  </w14:solidFill>
                </w14:textFill>
              </w:rPr>
              <w:instrText xml:space="preserve"> = 3 \* GB3 \* MERGEFORMAT </w:instrText>
            </w:r>
            <w:r>
              <w:rPr>
                <w:rFonts w:hint="default" w:ascii="Times New Roman" w:hAnsi="Times New Roman" w:cs="Times New Roman"/>
                <w:color w:val="000000" w:themeColor="text1"/>
                <w14:textFill>
                  <w14:solidFill>
                    <w14:schemeClr w14:val="tx1"/>
                  </w14:solidFill>
                </w14:textFill>
              </w:rPr>
              <w:fldChar w:fldCharType="separate"/>
            </w:r>
            <w:r>
              <w:rPr>
                <w:rFonts w:hint="default" w:ascii="Times New Roman" w:hAnsi="Times New Roman" w:cs="Times New Roman"/>
                <w:color w:val="000000" w:themeColor="text1"/>
                <w14:textFill>
                  <w14:solidFill>
                    <w14:schemeClr w14:val="tx1"/>
                  </w14:solidFill>
                </w14:textFill>
              </w:rPr>
              <w:t>③</w:t>
            </w:r>
            <w:r>
              <w:rPr>
                <w:rFonts w:hint="default" w:ascii="Times New Roman" w:hAnsi="Times New Roman" w:cs="Times New Roman"/>
                <w:color w:val="000000" w:themeColor="text1"/>
                <w14:textFill>
                  <w14:solidFill>
                    <w14:schemeClr w14:val="tx1"/>
                  </w14:solidFill>
                </w14:textFill>
              </w:rPr>
              <w:fldChar w:fldCharType="end"/>
            </w:r>
            <w:r>
              <w:rPr>
                <w:rFonts w:hint="default" w:ascii="Times New Roman" w:hAnsi="Times New Roman" w:cs="Times New Roman"/>
                <w:color w:val="000000" w:themeColor="text1"/>
                <w14:textFill>
                  <w14:solidFill>
                    <w14:schemeClr w14:val="tx1"/>
                  </w14:solidFill>
                </w14:textFill>
              </w:rPr>
              <w:t>终孔后，全孔封孔。</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6、</w:t>
            </w:r>
            <w:r>
              <w:rPr>
                <w:rFonts w:hint="eastAsia"/>
                <w:b/>
                <w:color w:val="000000" w:themeColor="text1"/>
                <w:sz w:val="24"/>
                <w14:textFill>
                  <w14:solidFill>
                    <w14:schemeClr w14:val="tx1"/>
                  </w14:solidFill>
                </w14:textFill>
              </w:rPr>
              <w:t>辐射环境影响分析</w:t>
            </w:r>
          </w:p>
          <w:p>
            <w:pPr>
              <w:spacing w:line="360" w:lineRule="auto"/>
              <w:ind w:firstLine="480" w:firstLineChars="200"/>
              <w:rPr>
                <w:rFonts w:hint="eastAsia"/>
                <w:color w:val="000000" w:themeColor="text1"/>
                <w:sz w:val="24"/>
                <w14:textFill>
                  <w14:solidFill>
                    <w14:schemeClr w14:val="tx1"/>
                  </w14:solidFill>
                </w14:textFill>
              </w:rPr>
            </w:pPr>
            <w:r>
              <w:rPr>
                <w:color w:val="000000" w:themeColor="text1"/>
                <w:sz w:val="24"/>
                <w14:textFill>
                  <w14:solidFill>
                    <w14:schemeClr w14:val="tx1"/>
                  </w14:solidFill>
                </w14:textFill>
              </w:rPr>
              <w:t>本项目</w:t>
            </w:r>
            <w:r>
              <w:rPr>
                <w:rFonts w:hint="eastAsia"/>
                <w:color w:val="000000" w:themeColor="text1"/>
                <w:sz w:val="24"/>
                <w14:textFill>
                  <w14:solidFill>
                    <w14:schemeClr w14:val="tx1"/>
                  </w14:solidFill>
                </w14:textFill>
              </w:rPr>
              <w:t>铀矿</w:t>
            </w:r>
            <w:r>
              <w:rPr>
                <w:color w:val="000000" w:themeColor="text1"/>
                <w:sz w:val="24"/>
                <w14:textFill>
                  <w14:solidFill>
                    <w14:schemeClr w14:val="tx1"/>
                  </w14:solidFill>
                </w14:textFill>
              </w:rPr>
              <w:t>勘查工作中，地质钻探施工采用湿法钻探工艺，其施工过程中无放射性粉尘产生，不会对附近公众产生浸没外照射、吸入粉尘内照射、地表沉积外照射；钻探施工过程中产生的少量设备冲洗废水主要用于钻井液配置，无液态放射性流出物产生，放射性核素不会向</w:t>
            </w:r>
            <w:r>
              <w:rPr>
                <w:rFonts w:hint="eastAsia"/>
                <w:color w:val="000000" w:themeColor="text1"/>
                <w:sz w:val="24"/>
                <w:lang w:eastAsia="zh-CN"/>
                <w14:textFill>
                  <w14:solidFill>
                    <w14:schemeClr w14:val="tx1"/>
                  </w14:solidFill>
                </w14:textFill>
              </w:rPr>
              <w:t>勘查区</w:t>
            </w:r>
            <w:r>
              <w:rPr>
                <w:color w:val="000000" w:themeColor="text1"/>
                <w:sz w:val="24"/>
                <w14:textFill>
                  <w14:solidFill>
                    <w14:schemeClr w14:val="tx1"/>
                  </w14:solidFill>
                </w14:textFill>
              </w:rPr>
              <w:t>周边植物、动物发生转移，不会通过食入途径而对附近公众产生内照射；该项目对公众照射途径主要为吸入氡及其子体内照射，本项目钻孔孔径（仅为122mm左右）较小、钻孔深度较浅，钻孔中含矿层长度远小于钻孔深度（仅为几米~十几米），钻孔岩石表面氡气析出量较少，采用湿法钻探后，由于氡气溶于水、且氡气在水中扩散系数较小（8.2×10</w:t>
            </w:r>
            <w:r>
              <w:rPr>
                <w:color w:val="000000" w:themeColor="text1"/>
                <w:sz w:val="24"/>
                <w:vertAlign w:val="superscript"/>
                <w14:textFill>
                  <w14:solidFill>
                    <w14:schemeClr w14:val="tx1"/>
                  </w14:solidFill>
                </w14:textFill>
              </w:rPr>
              <w:t>-10</w:t>
            </w:r>
            <w:r>
              <w:rPr>
                <w:color w:val="000000" w:themeColor="text1"/>
                <w:sz w:val="24"/>
                <w14:textFill>
                  <w14:solidFill>
                    <w14:schemeClr w14:val="tx1"/>
                  </w14:solidFill>
                </w14:textFill>
              </w:rPr>
              <w:t>m</w:t>
            </w:r>
            <w:r>
              <w:rPr>
                <w:color w:val="000000" w:themeColor="text1"/>
                <w:sz w:val="24"/>
                <w:vertAlign w:val="superscript"/>
                <w14:textFill>
                  <w14:solidFill>
                    <w14:schemeClr w14:val="tx1"/>
                  </w14:solidFill>
                </w14:textFill>
              </w:rPr>
              <w:t>2</w:t>
            </w:r>
            <w:r>
              <w:rPr>
                <w:color w:val="000000" w:themeColor="text1"/>
                <w:sz w:val="24"/>
                <w14:textFill>
                  <w14:solidFill>
                    <w14:schemeClr w14:val="tx1"/>
                  </w14:solidFill>
                </w14:textFill>
              </w:rPr>
              <w:t>/s），钻孔含矿段岩石表面产生的氡气扩散至地表的量极少。由于本项目钻探区域位于农村地区，居民区位于钻探区域50m外，在钻孔附近空气稀释和氡气自发衰变（半衰期3.825d）作用下，钻探区域50m外环境空气中氡浓度已降至环境本底水平，对公众基本上不产生辐射影响。</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7、</w:t>
            </w:r>
            <w:r>
              <w:rPr>
                <w:rFonts w:hint="eastAsia"/>
                <w:b/>
                <w:color w:val="000000" w:themeColor="text1"/>
                <w:sz w:val="24"/>
                <w14:textFill>
                  <w14:solidFill>
                    <w14:schemeClr w14:val="tx1"/>
                  </w14:solidFill>
                </w14:textFill>
              </w:rPr>
              <w:t>生态环境影响分析</w:t>
            </w:r>
          </w:p>
          <w:p>
            <w:pPr>
              <w:pStyle w:val="26"/>
              <w:adjustRightInd/>
              <w:spacing w:line="360" w:lineRule="auto"/>
              <w:jc w:val="both"/>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.1</w:t>
            </w:r>
            <w:r>
              <w:rPr>
                <w:rFonts w:hint="eastAsia" w:ascii="Times New Roman" w:hAnsi="Times New Roman" w:cs="Times New Roman"/>
                <w:b/>
                <w:bCs/>
                <w:color w:val="000000" w:themeColor="text1"/>
                <w:lang w:val="en-US" w:eastAsia="zh-CN"/>
                <w14:textFill>
                  <w14:solidFill>
                    <w14:schemeClr w14:val="tx1"/>
                  </w14:solidFill>
                </w14:textFill>
              </w:rPr>
              <w:t>评价等级判定</w:t>
            </w:r>
          </w:p>
          <w:p>
            <w:pPr>
              <w:spacing w:line="360" w:lineRule="auto"/>
              <w:ind w:firstLine="480" w:firstLineChars="200"/>
              <w:contextualSpacing/>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项目总占地面积约</w:t>
            </w:r>
            <w:r>
              <w:rPr>
                <w:rFonts w:hint="eastAsia"/>
                <w:bCs/>
                <w:color w:val="000000" w:themeColor="text1"/>
                <w:sz w:val="24"/>
                <w:lang w:val="en-US" w:eastAsia="zh-CN"/>
                <w14:textFill>
                  <w14:solidFill>
                    <w14:schemeClr w14:val="tx1"/>
                  </w14:solidFill>
                </w14:textFill>
              </w:rPr>
              <w:t>0.0447</w:t>
            </w:r>
            <w:r>
              <w:rPr>
                <w:rFonts w:hint="eastAsia"/>
                <w:bCs/>
                <w:color w:val="000000" w:themeColor="text1"/>
                <w:sz w:val="24"/>
                <w14:textFill>
                  <w14:solidFill>
                    <w14:schemeClr w14:val="tx1"/>
                  </w14:solidFill>
                </w14:textFill>
              </w:rPr>
              <w:t>k</w:t>
            </w:r>
            <w:r>
              <w:rPr>
                <w:bCs/>
                <w:color w:val="000000" w:themeColor="text1"/>
                <w:sz w:val="24"/>
                <w14:textFill>
                  <w14:solidFill>
                    <w14:schemeClr w14:val="tx1"/>
                  </w14:solidFill>
                </w14:textFill>
              </w:rPr>
              <w:t>m</w:t>
            </w:r>
            <w:r>
              <w:rPr>
                <w:bCs/>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，均为施工临时占地，占地小于2km</w:t>
            </w:r>
            <w:r>
              <w:rPr>
                <w:rFonts w:hint="eastAsia"/>
                <w:color w:val="000000" w:themeColor="text1"/>
                <w:sz w:val="24"/>
                <w:vertAlign w:val="superscript"/>
                <w14:textFill>
                  <w14:solidFill>
                    <w14:schemeClr w14:val="tx1"/>
                  </w14:solidFill>
                </w14:textFill>
              </w:rPr>
              <w:t>2</w:t>
            </w:r>
            <w:r>
              <w:rPr>
                <w:rFonts w:hint="eastAsia"/>
                <w:color w:val="000000" w:themeColor="text1"/>
                <w:sz w:val="24"/>
                <w14:textFill>
                  <w14:solidFill>
                    <w14:schemeClr w14:val="tx1"/>
                  </w14:solidFill>
                </w14:textFill>
              </w:rPr>
              <w:t>，影响区域不涉及自然保护区、自然遗产地、风景名胜区、森林公园、地质公园、重要湿地和珍稀濒危野生动植物天然集中分布区等生态敏感区，生态敏感性属一般区域。依据HJ19-2011《环境影响评价技术导则—生态影响》分级规定，生态评价工作等级判定为三级。</w:t>
            </w:r>
          </w:p>
          <w:p>
            <w:pPr>
              <w:pStyle w:val="26"/>
              <w:adjustRightInd/>
              <w:spacing w:line="360" w:lineRule="auto"/>
              <w:jc w:val="both"/>
              <w:rPr>
                <w:rFonts w:hint="default" w:ascii="Times New Roman" w:hAnsi="Times New Roman" w:eastAsia="宋体" w:cs="Times New Roman"/>
                <w:b/>
                <w:bCs/>
                <w:color w:val="000000" w:themeColor="text1"/>
                <w:lang w:val="en-US" w:eastAsia="zh-CN"/>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7</w:t>
            </w:r>
            <w:r>
              <w:rPr>
                <w:rFonts w:ascii="Times New Roman" w:hAnsi="Times New Roman" w:cs="Times New Roman"/>
                <w:b/>
                <w:bCs/>
                <w:color w:val="000000" w:themeColor="text1"/>
                <w14:textFill>
                  <w14:solidFill>
                    <w14:schemeClr w14:val="tx1"/>
                  </w14:solidFill>
                </w14:textFill>
              </w:rPr>
              <w:t>.</w:t>
            </w:r>
            <w:r>
              <w:rPr>
                <w:rFonts w:hint="eastAsia" w:ascii="Times New Roman" w:hAnsi="Times New Roman" w:cs="Times New Roman"/>
                <w:b/>
                <w:bCs/>
                <w:color w:val="000000" w:themeColor="text1"/>
                <w:lang w:val="en-US" w:eastAsia="zh-CN"/>
                <w14:textFill>
                  <w14:solidFill>
                    <w14:schemeClr w14:val="tx1"/>
                  </w14:solidFill>
                </w14:textFill>
              </w:rPr>
              <w:t>2生态环境影响分析</w:t>
            </w:r>
          </w:p>
          <w:p>
            <w:pPr>
              <w:pStyle w:val="26"/>
              <w:spacing w:line="360" w:lineRule="auto"/>
              <w:ind w:firstLine="480" w:firstLineChars="200"/>
              <w:jc w:val="both"/>
              <w:rPr>
                <w:bCs/>
                <w:color w:val="000000" w:themeColor="text1"/>
                <w14:textFill>
                  <w14:solidFill>
                    <w14:schemeClr w14:val="tx1"/>
                  </w14:solidFill>
                </w14:textFill>
              </w:rPr>
            </w:pPr>
            <w:r>
              <w:rPr>
                <w:rFonts w:hint="eastAsia"/>
                <w:bCs/>
                <w:color w:val="000000" w:themeColor="text1"/>
                <w14:textFill>
                  <w14:solidFill>
                    <w14:schemeClr w14:val="tx1"/>
                  </w14:solidFill>
                </w14:textFill>
              </w:rPr>
              <w:t>本项目对生态环境的影响主要包括工程临时占地对土地利用、植被、动物、景观、农业等的影响。</w:t>
            </w:r>
          </w:p>
          <w:p>
            <w:pPr>
              <w:keepNext w:val="0"/>
              <w:keepLines w:val="0"/>
              <w:widowControl/>
              <w:suppressLineNumbers w:val="0"/>
              <w:spacing w:line="360" w:lineRule="auto"/>
              <w:jc w:val="left"/>
              <w:rPr>
                <w:rFonts w:hint="default"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7.2.1土地利用影响分析</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本项目平整钻孔场地占用土地和开挖将会对原地貌造成扰动，并破坏占地范围内的地表植被</w:t>
            </w:r>
            <w:r>
              <w:rPr>
                <w:rFonts w:hint="eastAsia" w:cs="Times New Roman"/>
                <w:color w:val="000000" w:themeColor="text1"/>
                <w:kern w:val="0"/>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年拟共设钻孔</w:t>
            </w:r>
            <w:r>
              <w:rPr>
                <w:rFonts w:hint="eastAsia" w:cs="Times New Roman"/>
                <w:color w:val="000000" w:themeColor="text1"/>
                <w:kern w:val="0"/>
                <w:sz w:val="24"/>
                <w:szCs w:val="24"/>
                <w:lang w:val="en-US" w:eastAsia="zh-CN" w:bidi="ar-SA"/>
                <w14:textFill>
                  <w14:solidFill>
                    <w14:schemeClr w14:val="tx1"/>
                  </w14:solidFill>
                </w14:textFill>
              </w:rPr>
              <w:t>58</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个，202</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3-2026</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年预计设钻孔</w:t>
            </w:r>
            <w:r>
              <w:rPr>
                <w:rFonts w:hint="eastAsia" w:cs="Times New Roman"/>
                <w:color w:val="000000" w:themeColor="text1"/>
                <w:kern w:val="0"/>
                <w:sz w:val="24"/>
                <w:szCs w:val="24"/>
                <w:lang w:val="en-US" w:eastAsia="zh-CN" w:bidi="ar-SA"/>
                <w14:textFill>
                  <w14:solidFill>
                    <w14:schemeClr w14:val="tx1"/>
                  </w14:solidFill>
                </w14:textFill>
              </w:rPr>
              <w:t>240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个，平均每个钻孔场地占地</w:t>
            </w:r>
            <w:r>
              <w:rPr>
                <w:rFonts w:hint="eastAsia" w:ascii="Times New Roman" w:hAnsi="Times New Roman" w:cs="Times New Roman"/>
                <w:color w:val="000000" w:themeColor="text1"/>
                <w:kern w:val="0"/>
                <w:sz w:val="24"/>
                <w:szCs w:val="24"/>
                <w:lang w:val="en-US" w:eastAsia="zh-CN" w:bidi="ar-SA"/>
                <w14:textFill>
                  <w14:solidFill>
                    <w14:schemeClr w14:val="tx1"/>
                  </w14:solidFill>
                </w14:textFill>
              </w:rPr>
              <w:t>15</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0m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w:t>
            </w:r>
            <w:r>
              <w:rPr>
                <w:rFonts w:hint="eastAsia" w:cs="Times New Roman"/>
                <w:color w:val="000000" w:themeColor="text1"/>
                <w:kern w:val="0"/>
                <w:sz w:val="24"/>
                <w:szCs w:val="24"/>
                <w:lang w:val="en-US" w:eastAsia="zh-CN" w:bidi="ar-SA"/>
                <w14:textFill>
                  <w14:solidFill>
                    <w14:schemeClr w14:val="tx1"/>
                  </w14:solidFill>
                </w14:textFill>
              </w:rPr>
              <w:t>2022年钻孔占地面积8700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lang w:val="en-US" w:eastAsia="zh-CN" w:bidi="ar-SA"/>
                <w14:textFill>
                  <w14:solidFill>
                    <w14:schemeClr w14:val="tx1"/>
                  </w14:solidFill>
                </w14:textFill>
              </w:rPr>
              <w:t>，2023-2026年钻孔占地面积36000</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2</w:t>
            </w:r>
            <w:r>
              <w:rPr>
                <w:rFonts w:hint="eastAsia" w:cs="Times New Roman"/>
                <w:color w:val="000000" w:themeColor="text1"/>
                <w:kern w:val="0"/>
                <w:sz w:val="24"/>
                <w:szCs w:val="24"/>
                <w:vertAlign w:val="baseline"/>
                <w:lang w:val="en-US" w:eastAsia="zh-CN" w:bidi="ar-SA"/>
                <w14:textFill>
                  <w14:solidFill>
                    <w14:schemeClr w14:val="tx1"/>
                  </w14:solidFill>
                </w14:textFill>
              </w:rPr>
              <w:t>。</w:t>
            </w:r>
          </w:p>
          <w:p>
            <w:pPr>
              <w:keepNext w:val="0"/>
              <w:keepLines w:val="0"/>
              <w:widowControl/>
              <w:suppressLineNumbers w:val="0"/>
              <w:spacing w:line="360" w:lineRule="auto"/>
              <w:ind w:firstLine="480" w:firstLineChars="200"/>
              <w:jc w:val="left"/>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根据计划安排，</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cs="Times New Roman"/>
                <w:color w:val="000000" w:themeColor="text1"/>
                <w:kern w:val="0"/>
                <w:sz w:val="24"/>
                <w:szCs w:val="24"/>
                <w:lang w:val="en-US" w:eastAsia="zh-CN" w:bidi="ar-SA"/>
                <w14:textFill>
                  <w14:solidFill>
                    <w14:schemeClr w14:val="tx1"/>
                  </w14:solidFill>
                </w14:textFill>
              </w:rPr>
              <w:t>2</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年的钻孔坐标已初步确定，</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202</w:t>
            </w:r>
            <w:r>
              <w:rPr>
                <w:rFonts w:hint="eastAsia" w:cs="Times New Roman"/>
                <w:color w:val="000000" w:themeColor="text1"/>
                <w:kern w:val="0"/>
                <w:sz w:val="24"/>
                <w:szCs w:val="24"/>
                <w:lang w:val="en-US" w:eastAsia="zh-CN" w:bidi="ar-SA"/>
                <w14:textFill>
                  <w14:solidFill>
                    <w14:schemeClr w14:val="tx1"/>
                  </w14:solidFill>
                </w14:textFill>
              </w:rPr>
              <w:t>3-2026</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年的尚未确定</w:t>
            </w:r>
            <w:r>
              <w:rPr>
                <w:rFonts w:hint="eastAsia" w:cs="Times New Roman"/>
                <w:color w:val="000000" w:themeColor="text1"/>
                <w:kern w:val="0"/>
                <w:sz w:val="24"/>
                <w:szCs w:val="24"/>
                <w:lang w:val="en-US" w:eastAsia="zh-CN" w:bidi="ar-SA"/>
                <w14:textFill>
                  <w14:solidFill>
                    <w14:schemeClr w14:val="tx1"/>
                  </w14:solidFill>
                </w14:textFill>
              </w:rPr>
              <w:t>；</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20</w:t>
            </w:r>
            <w:r>
              <w:rPr>
                <w:rFonts w:hint="eastAsia" w:cs="Times New Roman"/>
                <w:color w:val="000000" w:themeColor="text1"/>
                <w:kern w:val="0"/>
                <w:sz w:val="24"/>
                <w:szCs w:val="24"/>
                <w:lang w:val="en-US" w:eastAsia="zh-CN" w:bidi="ar-SA"/>
                <w14:textFill>
                  <w14:solidFill>
                    <w14:schemeClr w14:val="tx1"/>
                  </w14:solidFill>
                </w14:textFill>
              </w:rPr>
              <w:t>22</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年拟布设钻孔在勘查中也会根据实际情况进行调整。所以，本次评价根据</w:t>
            </w:r>
            <w:r>
              <w:rPr>
                <w:rFonts w:hint="eastAsia" w:cs="Times New Roman"/>
                <w:color w:val="000000" w:themeColor="text1"/>
                <w:kern w:val="0"/>
                <w:sz w:val="24"/>
                <w:szCs w:val="24"/>
                <w:lang w:val="en-US" w:eastAsia="zh-CN" w:bidi="ar-SA"/>
                <w14:textFill>
                  <w14:solidFill>
                    <w14:schemeClr w14:val="tx1"/>
                  </w14:solidFill>
                </w14:textFill>
              </w:rPr>
              <w:t>整个</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工作内植被分布情况进行定性分析。</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（1）陕西省区域</w:t>
            </w:r>
          </w:p>
          <w:p>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勘查区涉及陕西省</w:t>
            </w:r>
            <w:r>
              <w:rPr>
                <w:rFonts w:hint="eastAsia"/>
                <w:color w:val="000000" w:themeColor="text1"/>
                <w:sz w:val="24"/>
                <w:lang w:val="en-US" w:eastAsia="zh-CN"/>
                <w14:textFill>
                  <w14:solidFill>
                    <w14:schemeClr w14:val="tx1"/>
                  </w14:solidFill>
                </w14:textFill>
              </w:rPr>
              <w:t>榆林市、铜川市、咸阳市、渭南市、宝鸡市、延安市；根据《陕西省生态功能区划》，项目勘查区属长城沿线风沙草原生态区、黄土高原农牧生态区、渭河两侧黄土台塬农业生态功能区、关中平原城乡一体化生态功能区。</w:t>
            </w: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结合土地类型分布图等相关资料调查情况，该</w:t>
            </w:r>
            <w:r>
              <w:rPr>
                <w:rFonts w:hint="eastAsia" w:cs="Times New Roman"/>
                <w:b w:val="0"/>
                <w:bCs w:val="0"/>
                <w:color w:val="000000" w:themeColor="text1"/>
                <w:kern w:val="0"/>
                <w:sz w:val="24"/>
                <w:szCs w:val="24"/>
                <w:lang w:val="en-US" w:eastAsia="zh-CN" w:bidi="ar-SA"/>
                <w14:textFill>
                  <w14:solidFill>
                    <w14:schemeClr w14:val="tx1"/>
                  </w14:solidFill>
                </w14:textFill>
              </w:rPr>
              <w:t>勘查区</w:t>
            </w: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内涉及的土地类型主要为耕地、草地以及少量林地等。</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（2）甘肃省区域</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勘查区涉及甘肃省平凉市、庆阳市，</w:t>
            </w:r>
            <w:r>
              <w:rPr>
                <w:rFonts w:hint="eastAsia"/>
                <w:color w:val="000000" w:themeColor="text1"/>
                <w:sz w:val="24"/>
                <w:lang w:val="en-US" w:eastAsia="zh-CN"/>
                <w14:textFill>
                  <w14:solidFill>
                    <w14:schemeClr w14:val="tx1"/>
                  </w14:solidFill>
                </w14:textFill>
              </w:rPr>
              <w:t>根据《甘肃省生态功能区划》，项目勘查区域属子午岭次生林水源涵养生态功能区、黄土残塬旱作农业强烈水土流失生态功能区、环县黄土丘陵滩地强烈水土流失牧农生态功能区、泾河谷地城镇与灌溉农业区、华亭农业生态功能区。结合土地类型分布图等相关资料调查情况，该勘查区内涉及的土地类型主要为耕地、草地以及少量林地等。</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（3）内蒙古自治区区域</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勘查区涉及内蒙古自治区鄂尔多斯市的鄂托克前旗和乌审旗，</w:t>
            </w:r>
            <w:r>
              <w:rPr>
                <w:rFonts w:hint="eastAsia"/>
                <w:color w:val="000000" w:themeColor="text1"/>
                <w:sz w:val="24"/>
                <w:lang w:val="en-US" w:eastAsia="zh-CN"/>
                <w14:textFill>
                  <w14:solidFill>
                    <w14:schemeClr w14:val="tx1"/>
                  </w14:solidFill>
                </w14:textFill>
              </w:rPr>
              <w:t>根据《内蒙古自治区生态功能区划》，该区域</w:t>
            </w:r>
            <w:r>
              <w:rPr>
                <w:rFonts w:hint="eastAsia"/>
                <w:bCs/>
                <w:color w:val="000000" w:themeColor="text1"/>
                <w:sz w:val="24"/>
                <w:lang w:val="en-US" w:eastAsia="zh-CN"/>
                <w14:textFill>
                  <w14:solidFill>
                    <w14:schemeClr w14:val="tx1"/>
                  </w14:solidFill>
                </w14:textFill>
              </w:rPr>
              <w:t>属于防风固沙区。</w:t>
            </w:r>
            <w:r>
              <w:rPr>
                <w:rFonts w:hint="eastAsia"/>
                <w:color w:val="000000" w:themeColor="text1"/>
                <w:sz w:val="24"/>
                <w:lang w:val="en-US" w:eastAsia="zh-CN"/>
                <w14:textFill>
                  <w14:solidFill>
                    <w14:schemeClr w14:val="tx1"/>
                  </w14:solidFill>
                </w14:textFill>
              </w:rPr>
              <w:t>结合土地类型分布图等相关资料调查情况，该勘查区内涉及的土地类型主要为草地、戈壁荒漠等。</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（4）宁夏回族自治区区域</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涉及宁夏回族自治区的银川市、吴忠市、固原市，根据《宁夏回族自治区生态功能区划》，该区域属银吴平原引黄灌溉农田生态亚区，毛乌素沙地边缘灵盐陶台地荒漠草原生态亚区，中部低山、丘陵、平原水旱混合农业开发生态亚区。结合土地类型分布图等相关资料调查情况，该勘查区内涉及的土地类型主要为耕地、草地等。</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（5）山西省区域</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涉及山西省吕梁市和临汾市区域，根据《山西省生态功能区划》，该区域属于晋西离柳煤焦业开发与农林牧业及水土保持生态功能区、晋西南部黄土塬农林牧业与水土保持生态功能区、管涔山汾河源头水源涵养与生物多样性保护生态功能区。结合土地类型分布图等相关资料调查情况，该勘查区内涉及的土地类型主要为耕地、草地以及少量林地等。</w:t>
            </w:r>
          </w:p>
          <w:p>
            <w:pPr>
              <w:keepNext w:val="0"/>
              <w:keepLines w:val="0"/>
              <w:pageBreakBefore w:val="0"/>
              <w:widowControl w:val="0"/>
              <w:kinsoku/>
              <w:wordWrap/>
              <w:overflowPunct/>
              <w:topLinePunct w:val="0"/>
              <w:autoSpaceDE/>
              <w:autoSpaceDN/>
              <w:bidi w:val="0"/>
              <w:adjustRightInd/>
              <w:snapToGrid/>
              <w:jc w:val="center"/>
              <w:textAlignment w:val="auto"/>
              <w:rPr>
                <w:rFonts w:hint="eastAsia" w:eastAsiaTheme="minorEastAsia"/>
                <w:color w:val="000000" w:themeColor="text1"/>
                <w:lang w:val="en-US" w:eastAsia="zh-CN"/>
                <w14:textFill>
                  <w14:solidFill>
                    <w14:schemeClr w14:val="tx1"/>
                  </w14:solidFill>
                </w14:textFill>
              </w:rPr>
            </w:pPr>
            <w:r>
              <w:rPr>
                <w:rFonts w:hint="eastAsia" w:eastAsiaTheme="minorEastAsia"/>
                <w:color w:val="000000" w:themeColor="text1"/>
                <w:lang w:val="en-US" w:eastAsia="zh-CN"/>
                <w14:textFill>
                  <w14:solidFill>
                    <w14:schemeClr w14:val="tx1"/>
                  </w14:solidFill>
                </w14:textFill>
              </w:rPr>
              <w:drawing>
                <wp:inline distT="0" distB="0" distL="114300" distR="114300">
                  <wp:extent cx="4320540" cy="3288030"/>
                  <wp:effectExtent l="0" t="0" r="10160" b="1270"/>
                  <wp:docPr id="6" name="图片 6" descr="地表水分布图_页面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地表水分布图_页面_3"/>
                          <pic:cNvPicPr>
                            <a:picLocks noChangeAspect="1"/>
                          </pic:cNvPicPr>
                        </pic:nvPicPr>
                        <pic:blipFill>
                          <a:blip r:embed="rId24"/>
                          <a:srcRect l="14711" t="25385" r="14147" b="36328"/>
                          <a:stretch>
                            <a:fillRect/>
                          </a:stretch>
                        </pic:blipFill>
                        <pic:spPr>
                          <a:xfrm>
                            <a:off x="0" y="0"/>
                            <a:ext cx="4320540" cy="3288030"/>
                          </a:xfrm>
                          <a:prstGeom prst="rect">
                            <a:avLst/>
                          </a:prstGeom>
                        </pic:spPr>
                      </pic:pic>
                    </a:graphicData>
                  </a:graphic>
                </wp:inline>
              </w:drawing>
            </w:r>
          </w:p>
          <w:p>
            <w:pPr>
              <w:pStyle w:val="4"/>
              <w:keepNext/>
              <w:keepLines/>
              <w:pageBreakBefore w:val="0"/>
              <w:widowControl w:val="0"/>
              <w:tabs>
                <w:tab w:val="left" w:pos="2940"/>
              </w:tabs>
              <w:kinsoku/>
              <w:wordWrap/>
              <w:overflowPunct/>
              <w:topLinePunct w:val="0"/>
              <w:autoSpaceDE/>
              <w:autoSpaceDN/>
              <w:bidi w:val="0"/>
              <w:adjustRightInd/>
              <w:snapToGrid/>
              <w:spacing w:before="0" w:after="0" w:line="240" w:lineRule="auto"/>
              <w:jc w:val="center"/>
              <w:textAlignment w:val="auto"/>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t>图8-1  本项目土地利用类型示意图</w:t>
            </w:r>
          </w:p>
          <w:p>
            <w:pPr>
              <w:pStyle w:val="26"/>
              <w:adjustRightInd/>
              <w:spacing w:line="360" w:lineRule="auto"/>
              <w:ind w:firstLine="480" w:firstLineChars="200"/>
              <w:jc w:val="both"/>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14:textFill>
                  <w14:solidFill>
                    <w14:schemeClr w14:val="tx1"/>
                  </w14:solidFill>
                </w14:textFill>
              </w:rPr>
              <w:t>综上所述，根据本项目</w:t>
            </w:r>
            <w:r>
              <w:rPr>
                <w:rFonts w:hint="eastAsia" w:ascii="Times New Roman" w:hAnsi="Times New Roman" w:cs="Times New Roman"/>
                <w:color w:val="000000" w:themeColor="text1"/>
                <w:lang w:eastAsia="zh-CN"/>
                <w14:textFill>
                  <w14:solidFill>
                    <w14:schemeClr w14:val="tx1"/>
                  </w14:solidFill>
                </w14:textFill>
              </w:rPr>
              <w:t>勘查区</w:t>
            </w:r>
            <w:r>
              <w:rPr>
                <w:rFonts w:hint="default" w:ascii="Times New Roman" w:hAnsi="Times New Roman" w:cs="Times New Roman"/>
                <w:color w:val="000000" w:themeColor="text1"/>
                <w14:textFill>
                  <w14:solidFill>
                    <w14:schemeClr w14:val="tx1"/>
                  </w14:solidFill>
                </w14:textFill>
              </w:rPr>
              <w:t>内土地利用现状调查情况，本项目临时占地类型可能包括以下几种类型：草地、</w:t>
            </w:r>
            <w:r>
              <w:rPr>
                <w:rFonts w:hint="default" w:ascii="Times New Roman" w:hAnsi="Times New Roman" w:cs="Times New Roman"/>
                <w:color w:val="000000" w:themeColor="text1"/>
                <w:lang w:val="en-US" w:eastAsia="zh-CN"/>
                <w14:textFill>
                  <w14:solidFill>
                    <w14:schemeClr w14:val="tx1"/>
                  </w14:solidFill>
                </w14:textFill>
              </w:rPr>
              <w:t>林地</w:t>
            </w:r>
            <w:r>
              <w:rPr>
                <w:rFonts w:hint="eastAsia" w:ascii="Times New Roman" w:hAnsi="Times New Roman" w:cs="Times New Roman"/>
                <w:color w:val="000000" w:themeColor="text1"/>
                <w:lang w:val="en-US" w:eastAsia="zh-CN"/>
                <w14:textFill>
                  <w14:solidFill>
                    <w14:schemeClr w14:val="tx1"/>
                  </w14:solidFill>
                </w14:textFill>
              </w:rPr>
              <w:t>、耕地和</w:t>
            </w:r>
            <w:r>
              <w:rPr>
                <w:rFonts w:hint="default" w:ascii="Times New Roman" w:hAnsi="Times New Roman" w:cs="Times New Roman"/>
                <w:color w:val="000000" w:themeColor="text1"/>
                <w14:textFill>
                  <w14:solidFill>
                    <w14:schemeClr w14:val="tx1"/>
                  </w14:solidFill>
                </w14:textFill>
              </w:rPr>
              <w:t>戈壁</w:t>
            </w:r>
            <w:r>
              <w:rPr>
                <w:rFonts w:hint="eastAsia" w:ascii="Times New Roman" w:hAnsi="Times New Roman" w:cs="Times New Roman"/>
                <w:color w:val="000000" w:themeColor="text1"/>
                <w:lang w:val="en-US" w:eastAsia="zh-CN"/>
                <w14:textFill>
                  <w14:solidFill>
                    <w14:schemeClr w14:val="tx1"/>
                  </w14:solidFill>
                </w14:textFill>
              </w:rPr>
              <w:t>沙漠</w:t>
            </w:r>
            <w:r>
              <w:rPr>
                <w:rFonts w:hint="default" w:ascii="Times New Roman" w:hAnsi="Times New Roman" w:cs="Times New Roman"/>
                <w:color w:val="000000" w:themeColor="text1"/>
                <w14:textFill>
                  <w14:solidFill>
                    <w14:schemeClr w14:val="tx1"/>
                  </w14:solidFill>
                </w14:textFill>
              </w:rPr>
              <w:t>等，钻探施工会改变上述土地利用功能，破坏占用土地上的植被，但施工结束后，伴随场地平整和植被恢复措施的落实，临时占地可基本恢复原土地利用类型，对评价区域土地利用类型影响较小。</w:t>
            </w:r>
          </w:p>
          <w:p>
            <w:pPr>
              <w:keepNext w:val="0"/>
              <w:keepLines w:val="0"/>
              <w:widowControl/>
              <w:suppressLineNumbers w:val="0"/>
              <w:spacing w:line="360" w:lineRule="auto"/>
              <w:jc w:val="left"/>
              <w:rPr>
                <w:rFonts w:hint="eastAsia"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7.2.2植被影响分析</w:t>
            </w:r>
          </w:p>
          <w:p>
            <w:pPr>
              <w:spacing w:line="360" w:lineRule="auto"/>
              <w:ind w:firstLine="48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对植被的影响主要是临时占地范围内原有植物的剥离、清理及占压，在钻探施工过程中，钻前工程会清理井场施工范围内植物的地上部分与根系，施工作业带的植被由于挖掘土石的堆放、人员的践踏、施工车辆和机具的碾压而受到不同程度的破坏。所以，钻探工程对植被的影响在评价区域内呈点状分布。</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因本项目占地均为临时占地，施工结束采取植被恢复措施后，经过一个完整的植被生长期，占地范围内的植被均可得到恢复，对评价区域植被影响较小。</w:t>
            </w:r>
          </w:p>
          <w:p>
            <w:pPr>
              <w:keepNext w:val="0"/>
              <w:keepLines w:val="0"/>
              <w:widowControl/>
              <w:suppressLineNumbers w:val="0"/>
              <w:spacing w:line="360" w:lineRule="auto"/>
              <w:jc w:val="left"/>
              <w:rPr>
                <w:rFonts w:hint="eastAsia"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7.2.3动物影响分析</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施工期对动物的影响主要是运输、施工噪声、人为活动对该区动物栖息活动会产生一定的干扰，本项目钻探施工临时占地范围小，施工时间短，对野生动物的影响不大。</w:t>
            </w:r>
          </w:p>
          <w:p>
            <w:pPr>
              <w:pStyle w:val="26"/>
              <w:spacing w:line="360" w:lineRule="auto"/>
              <w:jc w:val="both"/>
              <w:rPr>
                <w:rFonts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7.2.4农业影响分析</w:t>
            </w:r>
          </w:p>
          <w:p>
            <w:pPr>
              <w:keepNext w:val="0"/>
              <w:keepLines w:val="0"/>
              <w:widowControl/>
              <w:suppressLineNumbers w:val="0"/>
              <w:spacing w:line="360" w:lineRule="auto"/>
              <w:ind w:firstLine="480" w:firstLineChars="200"/>
              <w:jc w:val="left"/>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本次评价要求钻探工程避让勘查区内基本农田，对一般耕地等尽量采取避让措施。若根据实际情况需占用耕地，应尽量将施工期安排在非耕作期，施工结束后及时进行复垦。因本项目属于勘探工程，且单个钻探工程施工期均比较短，若避开耕作期，施工结束后及时采取复垦措施，基本不会对评价区域农业产生影响。</w:t>
            </w:r>
          </w:p>
          <w:p>
            <w:pPr>
              <w:keepNext w:val="0"/>
              <w:keepLines w:val="0"/>
              <w:widowControl/>
              <w:suppressLineNumbers w:val="0"/>
              <w:spacing w:line="360" w:lineRule="auto"/>
              <w:jc w:val="left"/>
              <w:rPr>
                <w:rFonts w:hint="eastAsia" w:cs="Times New Roman"/>
                <w:color w:val="000000" w:themeColor="text1"/>
                <w:kern w:val="0"/>
                <w:sz w:val="24"/>
                <w:szCs w:val="24"/>
                <w:lang w:val="en-US" w:eastAsia="zh-CN" w:bidi="ar-SA"/>
                <w14:textFill>
                  <w14:solidFill>
                    <w14:schemeClr w14:val="tx1"/>
                  </w14:solidFill>
                </w14:textFill>
              </w:rPr>
            </w:pPr>
            <w:r>
              <w:rPr>
                <w:rFonts w:hint="eastAsia" w:cs="Times New Roman"/>
                <w:color w:val="000000" w:themeColor="text1"/>
                <w:kern w:val="0"/>
                <w:sz w:val="24"/>
                <w:szCs w:val="24"/>
                <w:lang w:val="en-US" w:eastAsia="zh-CN" w:bidi="ar-SA"/>
                <w14:textFill>
                  <w14:solidFill>
                    <w14:schemeClr w14:val="tx1"/>
                  </w14:solidFill>
                </w14:textFill>
              </w:rPr>
              <w:t>7.2.5景观影响分析</w:t>
            </w:r>
          </w:p>
          <w:p>
            <w:pPr>
              <w:pStyle w:val="26"/>
              <w:spacing w:line="360" w:lineRule="auto"/>
              <w:ind w:firstLine="480" w:firstLineChars="200"/>
              <w:jc w:val="both"/>
              <w:rPr>
                <w:color w:val="000000" w:themeColor="text1"/>
                <w14:textFill>
                  <w14:solidFill>
                    <w14:schemeClr w14:val="tx1"/>
                  </w14:solidFill>
                </w14:textFill>
              </w:rPr>
            </w:pPr>
            <w:r>
              <w:rPr>
                <w:rFonts w:hint="eastAsia"/>
                <w:color w:val="000000" w:themeColor="text1"/>
                <w14:textFill>
                  <w14:solidFill>
                    <w14:schemeClr w14:val="tx1"/>
                  </w14:solidFill>
                </w14:textFill>
              </w:rPr>
              <w:t>施工期会暂时新增评价区域工业景观类型，改变局部原有地形地貌及自然景观，对自然景观产生短期影响。因勘查区一般地处山区或远离城乡居住区的郊区，产生的视觉景观影响较小。伴随施工结束后的植被恢复，将恢复原有景观类型，对景观的影响将逐步减缓并消失。</w:t>
            </w:r>
          </w:p>
          <w:p>
            <w:pPr>
              <w:pStyle w:val="26"/>
              <w:adjustRightInd/>
              <w:spacing w:line="360" w:lineRule="auto"/>
              <w:jc w:val="both"/>
              <w:rPr>
                <w:rFonts w:ascii="Times New Roman" w:hAnsi="Times New Roman" w:cs="Times New Roman"/>
                <w:b w:val="0"/>
                <w:bCs w:val="0"/>
                <w:color w:val="000000" w:themeColor="text1"/>
                <w14:textFill>
                  <w14:solidFill>
                    <w14:schemeClr w14:val="tx1"/>
                  </w14:solidFill>
                </w14:textFill>
              </w:rPr>
            </w:pPr>
            <w:r>
              <w:rPr>
                <w:rFonts w:hint="eastAsia" w:ascii="Times New Roman" w:hAnsi="Times New Roman" w:cs="Times New Roman"/>
                <w:b w:val="0"/>
                <w:bCs w:val="0"/>
                <w:color w:val="000000" w:themeColor="text1"/>
                <w14:textFill>
                  <w14:solidFill>
                    <w14:schemeClr w14:val="tx1"/>
                  </w14:solidFill>
                </w14:textFill>
              </w:rPr>
              <w:t>7</w:t>
            </w:r>
            <w:r>
              <w:rPr>
                <w:rFonts w:ascii="Times New Roman" w:hAnsi="Times New Roman" w:cs="Times New Roman"/>
                <w:b w:val="0"/>
                <w:bCs w:val="0"/>
                <w:color w:val="000000" w:themeColor="text1"/>
                <w14:textFill>
                  <w14:solidFill>
                    <w14:schemeClr w14:val="tx1"/>
                  </w14:solidFill>
                </w14:textFill>
              </w:rPr>
              <w:t>.</w:t>
            </w:r>
            <w:r>
              <w:rPr>
                <w:rFonts w:hint="eastAsia" w:ascii="Times New Roman" w:hAnsi="Times New Roman" w:cs="Times New Roman"/>
                <w:b w:val="0"/>
                <w:bCs w:val="0"/>
                <w:color w:val="000000" w:themeColor="text1"/>
                <w:lang w:val="en-US" w:eastAsia="zh-CN"/>
                <w14:textFill>
                  <w14:solidFill>
                    <w14:schemeClr w14:val="tx1"/>
                  </w14:solidFill>
                </w14:textFill>
              </w:rPr>
              <w:t>2.6</w:t>
            </w:r>
            <w:r>
              <w:rPr>
                <w:rFonts w:ascii="Times New Roman" w:hAnsi="Times New Roman" w:cs="Times New Roman"/>
                <w:b w:val="0"/>
                <w:bCs w:val="0"/>
                <w:color w:val="000000" w:themeColor="text1"/>
                <w14:textFill>
                  <w14:solidFill>
                    <w14:schemeClr w14:val="tx1"/>
                  </w14:solidFill>
                </w14:textFill>
              </w:rPr>
              <w:t>环境敏感区影响分析</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val="0"/>
              <w:overflowPunct/>
              <w:topLinePunct w:val="0"/>
              <w:autoSpaceDE w:val="0"/>
              <w:autoSpaceDN w:val="0"/>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cs="Times New Roman"/>
                <w:color w:val="000000" w:themeColor="text1"/>
                <w:sz w:val="24"/>
                <w:lang w:val="en-US"/>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本项目勘查区内涉及的生态环境敏感区见表5-6，由表可知：</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内涉及陕西省区域，ZKX1-4钻孔距陕西子午岭国家级自然保护区最近，距离为3.4km；ZKX2-5钻孔距陕西省龙门洞森林公园最近，距离为104km；ZKH2-6钻孔距陕西耀州照金丹霞国家地质公园最近，距离为35.8km；ZKH2-7钻孔距旬邑马栏河国家湿地公园最近，距离为28.9km；ZKB251-3钻孔距陕西泾河湿地最近，距离为2.4km；ZKX8-1钻孔距李家川水库水源地最近，距离为3.2km；ZKH2-6钻孔距唐玉华宫风景名胜区最近，距离为16.21km；ZKB180-2钻孔距彬县大佛寺石窟最近，距离为27.1km；ZKG333-1钻孔距千河国家级水产种质资源保护区最近，距离8.7km。</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内涉及甘肃省区域，ZKG102-1钻孔距甘肃太统一崆峒山国家级自然保护区最近，距离为30.9km；ZKG102-1钻孔距华亭县米家沟省级森林公园最近，距离为14.5km；ZKC1-1钻孔距崇信龙泉省级地质公园最近，距离为3.5km；ZKC1-1钻孔距崇信崇信龙泉寺－五龙山风景名胜区最近，距离为3.4km；ZKC1-1钻孔距崇信县县城水源地最近，距离为2.4km。</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eastAsia"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勘查区内涉及内蒙自治区区域，ZKY1-8钻孔距内蒙古萨拉乌苏国家湿地公园最近，距离为77.0km。</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cs="Times New Roman"/>
                <w:color w:val="000000" w:themeColor="text1"/>
                <w:sz w:val="24"/>
                <w:lang w:val="en-US"/>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勘查区内涉及宁夏回族自治区区域，ZKY2-2钻孔距哈巴湖国家级自然保护区最近，距离为3.6km；ZKY2-2钻孔距宁夏花马寺国家森林公园最近，距离为20.5km；ZKY1-5钻孔距灵武国家地质公园最近，距离为44.2km；ZKZ9-2钻孔与冯庄水源地其最近，距离为9.1km。</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由于2022年钻孔作业未布置在山西省区域，因此对山西省生态环境敏感目标无影响</w:t>
            </w:r>
          </w:p>
          <w:p>
            <w:pPr>
              <w:keepNext w:val="0"/>
              <w:keepLines w:val="0"/>
              <w:pageBreakBefore w:val="0"/>
              <w:widowControl/>
              <w:suppressLineNumbers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综上所述，2022年拟设钻孔距勘查区域内生态环境敏感目标较远，钻探施工对生态环境的影响较小。</w:t>
            </w:r>
          </w:p>
          <w:p>
            <w:pPr>
              <w:pStyle w:val="28"/>
              <w:numPr>
                <w:ilvl w:val="0"/>
                <w:numId w:val="0"/>
              </w:numPr>
              <w:spacing w:line="360" w:lineRule="auto"/>
              <w:ind w:leftChars="0" w:firstLine="462" w:firstLineChars="200"/>
              <w:rPr>
                <w:rFonts w:hint="eastAsia"/>
                <w:b/>
                <w:color w:val="000000" w:themeColor="text1"/>
                <w:sz w:val="24"/>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年拟布设钻孔在勘查中会根据实际情况进行调整，同时</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钻孔位置尚未确定。因此，评价要求</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2</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年钻孔调整以及</w:t>
            </w:r>
            <w:r>
              <w:rPr>
                <w:rFonts w:hint="default" w:ascii="Times New Roman" w:hAnsi="Times New Roman" w:eastAsia="宋体" w:cs="Times New Roman"/>
                <w:b/>
                <w:bCs/>
                <w:color w:val="000000" w:themeColor="text1"/>
                <w:kern w:val="0"/>
                <w:sz w:val="23"/>
                <w:szCs w:val="23"/>
                <w:lang w:val="en-US" w:eastAsia="zh-CN" w:bidi="ar"/>
                <w14:textFill>
                  <w14:solidFill>
                    <w14:schemeClr w14:val="tx1"/>
                  </w14:solidFill>
                </w14:textFill>
              </w:rPr>
              <w:t>202</w:t>
            </w:r>
            <w:r>
              <w:rPr>
                <w:rFonts w:hint="eastAsia" w:ascii="Times New Roman" w:hAnsi="Times New Roman" w:eastAsia="宋体" w:cs="Times New Roman"/>
                <w:b/>
                <w:bCs/>
                <w:color w:val="000000" w:themeColor="text1"/>
                <w:kern w:val="0"/>
                <w:sz w:val="23"/>
                <w:szCs w:val="23"/>
                <w:lang w:val="en-US" w:eastAsia="zh-CN" w:bidi="ar"/>
                <w14:textFill>
                  <w14:solidFill>
                    <w14:schemeClr w14:val="tx1"/>
                  </w14:solidFill>
                </w14:textFill>
              </w:rPr>
              <w:t>3-2026年</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拟布设的钻孔具体施工时，应对</w:t>
            </w:r>
            <w:r>
              <w:rPr>
                <w:rFonts w:hint="eastAsia" w:ascii="宋体" w:hAnsi="宋体" w:cs="宋体"/>
                <w:b/>
                <w:bCs/>
                <w:color w:val="000000" w:themeColor="text1"/>
                <w:kern w:val="0"/>
                <w:sz w:val="23"/>
                <w:szCs w:val="23"/>
                <w:lang w:val="en-US" w:eastAsia="zh-CN" w:bidi="ar"/>
                <w14:textFill>
                  <w14:solidFill>
                    <w14:schemeClr w14:val="tx1"/>
                  </w14:solidFill>
                </w14:textFill>
              </w:rPr>
              <w:t>勘查区</w:t>
            </w:r>
            <w:r>
              <w:rPr>
                <w:rFonts w:hint="eastAsia" w:ascii="宋体" w:hAnsi="宋体" w:eastAsia="宋体" w:cs="宋体"/>
                <w:b/>
                <w:bCs/>
                <w:color w:val="000000" w:themeColor="text1"/>
                <w:kern w:val="0"/>
                <w:sz w:val="23"/>
                <w:szCs w:val="23"/>
                <w:lang w:val="en-US" w:eastAsia="zh-CN" w:bidi="ar"/>
                <w14:textFill>
                  <w14:solidFill>
                    <w14:schemeClr w14:val="tx1"/>
                  </w14:solidFill>
                </w14:textFill>
              </w:rPr>
              <w:t>内环境敏感区的进行避让。</w:t>
            </w:r>
          </w:p>
          <w:p>
            <w:pPr>
              <w:pStyle w:val="28"/>
              <w:numPr>
                <w:ilvl w:val="0"/>
                <w:numId w:val="0"/>
              </w:numPr>
              <w:spacing w:line="360" w:lineRule="auto"/>
              <w:ind w:leftChars="0"/>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8、</w:t>
            </w:r>
            <w:r>
              <w:rPr>
                <w:b/>
                <w:color w:val="000000" w:themeColor="text1"/>
                <w:sz w:val="24"/>
                <w14:textFill>
                  <w14:solidFill>
                    <w14:schemeClr w14:val="tx1"/>
                  </w14:solidFill>
                </w14:textFill>
              </w:rPr>
              <w:t>环境风险</w:t>
            </w:r>
            <w:r>
              <w:rPr>
                <w:rFonts w:hint="eastAsia"/>
                <w:b/>
                <w:color w:val="000000" w:themeColor="text1"/>
                <w:sz w:val="24"/>
                <w14:textFill>
                  <w14:solidFill>
                    <w14:schemeClr w14:val="tx1"/>
                  </w14:solidFill>
                </w14:textFill>
              </w:rPr>
              <w:t>评价</w:t>
            </w:r>
          </w:p>
          <w:p>
            <w:pPr>
              <w:pStyle w:val="26"/>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16" w:name="_Toc15047099"/>
            <w:r>
              <w:rPr>
                <w:rFonts w:hint="eastAsia" w:ascii="Times New Roman" w:hAnsi="Times New Roman" w:cs="Times New Roman"/>
                <w:b/>
                <w:bCs/>
                <w:color w:val="000000" w:themeColor="text1"/>
                <w14:textFill>
                  <w14:solidFill>
                    <w14:schemeClr w14:val="tx1"/>
                  </w14:solidFill>
                </w14:textFill>
              </w:rPr>
              <w:t>8.1风险调查</w:t>
            </w:r>
            <w:bookmarkEnd w:id="16"/>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根据《建设项目环境风险评价技术导则》（HJ169-2018）附录B可知，铀矿地质勘探项目涉及的危险物质为柴油发电机使用的</w:t>
            </w:r>
            <w:r>
              <w:rPr>
                <w:rFonts w:hint="eastAsia"/>
                <w:color w:val="000000" w:themeColor="text1"/>
                <w:sz w:val="24"/>
                <w14:textFill>
                  <w14:solidFill>
                    <w14:schemeClr w14:val="tx1"/>
                  </w14:solidFill>
                </w14:textFill>
              </w:rPr>
              <w:t>油类物质（柴油），主要风险源为井场储存柴油油料区</w:t>
            </w:r>
            <w:r>
              <w:rPr>
                <w:rFonts w:hint="eastAsia"/>
                <w:snapToGrid w:val="0"/>
                <w:color w:val="000000" w:themeColor="text1"/>
                <w:kern w:val="0"/>
                <w:sz w:val="24"/>
                <w14:textFill>
                  <w14:solidFill>
                    <w14:schemeClr w14:val="tx1"/>
                  </w14:solidFill>
                </w14:textFill>
              </w:rPr>
              <w:t>。</w:t>
            </w:r>
          </w:p>
          <w:p>
            <w:pPr>
              <w:pStyle w:val="26"/>
              <w:adjustRightInd/>
              <w:spacing w:line="360" w:lineRule="auto"/>
              <w:jc w:val="both"/>
              <w:rPr>
                <w:rFonts w:ascii="Times New Roman" w:hAnsi="Times New Roman" w:cs="Times New Roman"/>
                <w:b/>
                <w:bCs/>
                <w:color w:val="000000" w:themeColor="text1"/>
                <w14:textFill>
                  <w14:solidFill>
                    <w14:schemeClr w14:val="tx1"/>
                  </w14:solidFill>
                </w14:textFill>
              </w:rPr>
            </w:pPr>
            <w:bookmarkStart w:id="17" w:name="_Toc16675491"/>
            <w:r>
              <w:rPr>
                <w:rFonts w:hint="eastAsia" w:ascii="Times New Roman" w:hAnsi="Times New Roman" w:cs="Times New Roman"/>
                <w:b/>
                <w:bCs/>
                <w:color w:val="000000" w:themeColor="text1"/>
                <w14:textFill>
                  <w14:solidFill>
                    <w14:schemeClr w14:val="tx1"/>
                  </w14:solidFill>
                </w14:textFill>
              </w:rPr>
              <w:t>8.2环境敏感目标</w:t>
            </w:r>
            <w:bookmarkEnd w:id="17"/>
            <w:r>
              <w:rPr>
                <w:rFonts w:hint="eastAsia" w:ascii="Times New Roman" w:hAnsi="Times New Roman" w:cs="Times New Roman"/>
                <w:b/>
                <w:bCs/>
                <w:color w:val="000000" w:themeColor="text1"/>
                <w14:textFill>
                  <w14:solidFill>
                    <w14:schemeClr w14:val="tx1"/>
                  </w14:solidFill>
                </w14:textFill>
              </w:rPr>
              <w:t>调查</w:t>
            </w:r>
          </w:p>
          <w:p>
            <w:pPr>
              <w:adjustRightInd w:val="0"/>
              <w:spacing w:line="360" w:lineRule="auto"/>
              <w:ind w:firstLine="480" w:firstLineChars="200"/>
              <w:rPr>
                <w:snapToGrid w:val="0"/>
                <w:color w:val="000000" w:themeColor="text1"/>
                <w:kern w:val="0"/>
                <w:sz w:val="24"/>
                <w14:textFill>
                  <w14:solidFill>
                    <w14:schemeClr w14:val="tx1"/>
                  </w14:solidFill>
                </w14:textFill>
              </w:rPr>
            </w:pPr>
            <w:r>
              <w:rPr>
                <w:rFonts w:hint="eastAsia"/>
                <w:snapToGrid w:val="0"/>
                <w:color w:val="000000" w:themeColor="text1"/>
                <w:kern w:val="0"/>
                <w:sz w:val="24"/>
                <w14:textFill>
                  <w14:solidFill>
                    <w14:schemeClr w14:val="tx1"/>
                  </w14:solidFill>
                </w14:textFill>
              </w:rPr>
              <w:t>项目柴油储区可能的影响途径为大气、地表水、地下水等，本项目环境风险评价范围敏感分布情况见详见表</w:t>
            </w:r>
            <w:r>
              <w:rPr>
                <w:rFonts w:hint="eastAsia"/>
                <w:snapToGrid w:val="0"/>
                <w:color w:val="000000" w:themeColor="text1"/>
                <w:kern w:val="0"/>
                <w:sz w:val="24"/>
                <w:lang w:val="en-US" w:eastAsia="zh-CN"/>
                <w14:textFill>
                  <w14:solidFill>
                    <w14:schemeClr w14:val="tx1"/>
                  </w14:solidFill>
                </w14:textFill>
              </w:rPr>
              <w:t>5-7</w:t>
            </w:r>
            <w:r>
              <w:rPr>
                <w:rFonts w:hint="eastAsia"/>
                <w:snapToGrid w:val="0"/>
                <w:color w:val="000000" w:themeColor="text1"/>
                <w:kern w:val="0"/>
                <w:sz w:val="24"/>
                <w14:textFill>
                  <w14:solidFill>
                    <w14:schemeClr w14:val="tx1"/>
                  </w14:solidFill>
                </w14:textFill>
              </w:rPr>
              <w:t>。</w:t>
            </w:r>
          </w:p>
          <w:p>
            <w:pPr>
              <w:pStyle w:val="2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8.3评价等级判定</w:t>
            </w:r>
          </w:p>
          <w:p>
            <w:pPr>
              <w:pStyle w:val="28"/>
              <w:numPr>
                <w:ilvl w:val="0"/>
                <w:numId w:val="1"/>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风险潜势初判</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）附录C，本项目危险物质数量与临界量比值（Q）：</w:t>
            </w:r>
          </w:p>
          <w:p>
            <w:pPr>
              <w:spacing w:line="360" w:lineRule="auto"/>
              <w:jc w:val="center"/>
              <w:rPr>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0" distR="0">
                  <wp:extent cx="1470660" cy="377190"/>
                  <wp:effectExtent l="0" t="0" r="7620" b="381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5" cstate="screen">
                            <a:extLst>
                              <a:ext uri="{28A0092B-C50C-407E-A947-70E740481C1C}">
                                <a14:useLocalDpi xmlns:a14="http://schemas.microsoft.com/office/drawing/2010/main" val="0"/>
                              </a:ext>
                            </a:extLst>
                          </a:blip>
                          <a:stretch>
                            <a:fillRect/>
                          </a:stretch>
                        </pic:blipFill>
                        <pic:spPr>
                          <a:xfrm>
                            <a:off x="0" y="0"/>
                            <a:ext cx="1558430" cy="400139"/>
                          </a:xfrm>
                          <a:prstGeom prst="rect">
                            <a:avLst/>
                          </a:prstGeom>
                        </pic:spPr>
                      </pic:pic>
                    </a:graphicData>
                  </a:graphic>
                </wp:inline>
              </w:drawing>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式中：q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n</w:t>
            </w:r>
            <w:r>
              <w:rPr>
                <w:rFonts w:hint="eastAsia"/>
                <w:color w:val="000000" w:themeColor="text1"/>
                <w:sz w:val="24"/>
                <w14:textFill>
                  <w14:solidFill>
                    <w14:schemeClr w14:val="tx1"/>
                  </w14:solidFill>
                </w14:textFill>
              </w:rPr>
              <w:t>——每种危险物质的最大存在重量，t；</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1</w:t>
            </w:r>
            <w:r>
              <w:rPr>
                <w:rFonts w:hint="eastAsia"/>
                <w:color w:val="000000" w:themeColor="text1"/>
                <w:sz w:val="24"/>
                <w14:textFill>
                  <w14:solidFill>
                    <w14:schemeClr w14:val="tx1"/>
                  </w14:solidFill>
                </w14:textFill>
              </w:rPr>
              <w:t>，Q</w:t>
            </w:r>
            <w:r>
              <w:rPr>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，…，Q</w:t>
            </w:r>
            <w:r>
              <w:rPr>
                <w:rFonts w:hint="eastAsia"/>
                <w:color w:val="000000" w:themeColor="text1"/>
                <w:sz w:val="24"/>
                <w:vertAlign w:val="subscript"/>
                <w14:textFill>
                  <w14:solidFill>
                    <w14:schemeClr w14:val="tx1"/>
                  </w14:solidFill>
                </w14:textFill>
              </w:rPr>
              <w:t>3</w:t>
            </w:r>
            <w:r>
              <w:rPr>
                <w:rFonts w:hint="eastAsia"/>
                <w:color w:val="000000" w:themeColor="text1"/>
                <w:sz w:val="24"/>
                <w14:textFill>
                  <w14:solidFill>
                    <w14:schemeClr w14:val="tx1"/>
                  </w14:solidFill>
                </w14:textFill>
              </w:rPr>
              <w:t>——每种危险物质的临界量，t；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当Q＜1时，该项目环境风险潜势为Ⅰ。</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当Q≥1时，将Q值划分为：（1）1≤Q＜10；（2）10≤Q＜100；（3）Q≥100。</w:t>
            </w:r>
          </w:p>
          <w:p>
            <w:pPr>
              <w:spacing w:line="360" w:lineRule="auto"/>
              <w:ind w:firstLine="480" w:firstLineChars="200"/>
              <w:rPr>
                <w:color w:val="000000" w:themeColor="text1"/>
                <w:sz w:val="24"/>
                <w14:textFill>
                  <w14:solidFill>
                    <w14:schemeClr w14:val="tx1"/>
                  </w14:solidFill>
                </w14:textFill>
              </w:rPr>
            </w:pPr>
            <w:r>
              <w:rPr>
                <w:rFonts w:hint="eastAsia" w:ascii="宋体" w:cs="宋体"/>
                <w:color w:val="000000" w:themeColor="text1"/>
                <w:kern w:val="0"/>
                <w:sz w:val="24"/>
                <w14:textFill>
                  <w14:solidFill>
                    <w14:schemeClr w14:val="tx1"/>
                  </w14:solidFill>
                </w14:textFill>
              </w:rPr>
              <w:t>本项目为铀矿钻探项目，钻探时</w:t>
            </w:r>
            <w:r>
              <w:rPr>
                <w:rFonts w:hint="eastAsia" w:ascii="宋体" w:hAnsi="宋体" w:cs="宋体"/>
                <w:color w:val="000000" w:themeColor="text1"/>
                <w:kern w:val="0"/>
                <w:sz w:val="24"/>
                <w:lang w:bidi="ar"/>
                <w14:textFill>
                  <w14:solidFill>
                    <w14:schemeClr w14:val="tx1"/>
                  </w14:solidFill>
                </w14:textFill>
              </w:rPr>
              <w:t>以柴油作为燃料。经调查，钻探一般为单井进行，一口井钻完再进行下一口，不同时钻探多口井，井场设油料区临时储存柴油，</w:t>
            </w:r>
            <w:r>
              <w:rPr>
                <w:rFonts w:hint="eastAsia"/>
                <w:color w:val="000000" w:themeColor="text1"/>
                <w:sz w:val="24"/>
                <w14:textFill>
                  <w14:solidFill>
                    <w14:schemeClr w14:val="tx1"/>
                  </w14:solidFill>
                </w14:textFill>
              </w:rPr>
              <w:t>油料区柴油储存量为3-5桶（160kg/桶），按最大储存量5桶计算，则最大存在量0.8t。</w:t>
            </w:r>
          </w:p>
          <w:p>
            <w:pPr>
              <w:spacing w:line="240" w:lineRule="auto"/>
              <w:jc w:val="center"/>
              <w:rPr>
                <w:b w:val="0"/>
                <w:bCs w:val="0"/>
                <w:color w:val="000000" w:themeColor="text1"/>
                <w:sz w:val="24"/>
                <w14:textFill>
                  <w14:solidFill>
                    <w14:schemeClr w14:val="tx1"/>
                  </w14:solidFill>
                </w14:textFill>
              </w:rPr>
            </w:pPr>
            <w:r>
              <w:rPr>
                <w:rFonts w:hint="eastAsia"/>
                <w:b w:val="0"/>
                <w:bCs w:val="0"/>
                <w:color w:val="000000" w:themeColor="text1"/>
                <w:sz w:val="24"/>
                <w14:textFill>
                  <w14:solidFill>
                    <w14:schemeClr w14:val="tx1"/>
                  </w14:solidFill>
                </w14:textFill>
              </w:rPr>
              <w:t>表</w:t>
            </w:r>
            <w:r>
              <w:rPr>
                <w:b w:val="0"/>
                <w:bCs w:val="0"/>
                <w:color w:val="000000" w:themeColor="text1"/>
                <w:sz w:val="24"/>
                <w14:textFill>
                  <w14:solidFill>
                    <w14:schemeClr w14:val="tx1"/>
                  </w14:solidFill>
                </w14:textFill>
              </w:rPr>
              <w:t>8-</w:t>
            </w:r>
            <w:r>
              <w:rPr>
                <w:rFonts w:hint="eastAsia"/>
                <w:b w:val="0"/>
                <w:bCs w:val="0"/>
                <w:color w:val="000000" w:themeColor="text1"/>
                <w:sz w:val="24"/>
                <w:lang w:val="en-US" w:eastAsia="zh-CN"/>
                <w14:textFill>
                  <w14:solidFill>
                    <w14:schemeClr w14:val="tx1"/>
                  </w14:solidFill>
                </w14:textFill>
              </w:rPr>
              <w:t>8</w:t>
            </w:r>
            <w:r>
              <w:rPr>
                <w:rFonts w:hint="eastAsia"/>
                <w:b w:val="0"/>
                <w:bCs w:val="0"/>
                <w:color w:val="000000" w:themeColor="text1"/>
                <w:sz w:val="24"/>
                <w14:textFill>
                  <w14:solidFill>
                    <w14:schemeClr w14:val="tx1"/>
                  </w14:solidFill>
                </w14:textFill>
              </w:rPr>
              <w:t xml:space="preserve">  </w:t>
            </w:r>
            <w:r>
              <w:rPr>
                <w:b w:val="0"/>
                <w:bCs w:val="0"/>
                <w:color w:val="000000" w:themeColor="text1"/>
                <w:sz w:val="24"/>
                <w14:textFill>
                  <w14:solidFill>
                    <w14:schemeClr w14:val="tx1"/>
                  </w14:solidFill>
                </w14:textFill>
              </w:rPr>
              <w:t xml:space="preserve"> </w:t>
            </w:r>
            <w:r>
              <w:rPr>
                <w:rFonts w:hint="eastAsia"/>
                <w:b w:val="0"/>
                <w:bCs w:val="0"/>
                <w:color w:val="000000" w:themeColor="text1"/>
                <w:sz w:val="24"/>
                <w14:textFill>
                  <w14:solidFill>
                    <w14:schemeClr w14:val="tx1"/>
                  </w14:solidFill>
                </w14:textFill>
              </w:rPr>
              <w:t>建设项目</w:t>
            </w:r>
            <w:r>
              <w:rPr>
                <w:b w:val="0"/>
                <w:bCs w:val="0"/>
                <w:color w:val="000000" w:themeColor="text1"/>
                <w:sz w:val="24"/>
                <w14:textFill>
                  <w14:solidFill>
                    <w14:schemeClr w14:val="tx1"/>
                  </w14:solidFill>
                </w14:textFill>
              </w:rPr>
              <w:t>Q</w:t>
            </w:r>
            <w:r>
              <w:rPr>
                <w:rFonts w:hint="eastAsia"/>
                <w:b w:val="0"/>
                <w:bCs w:val="0"/>
                <w:color w:val="000000" w:themeColor="text1"/>
                <w:sz w:val="24"/>
                <w14:textFill>
                  <w14:solidFill>
                    <w14:schemeClr w14:val="tx1"/>
                  </w14:solidFill>
                </w14:textFill>
              </w:rPr>
              <w:t>值确定</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987"/>
              <w:gridCol w:w="1315"/>
              <w:gridCol w:w="2222"/>
              <w:gridCol w:w="1741"/>
              <w:gridCol w:w="227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危险物质名称</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CAS号</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最大存在总量q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临界量Q</w:t>
                  </w:r>
                  <w:r>
                    <w:rPr>
                      <w:color w:val="000000" w:themeColor="text1"/>
                      <w:kern w:val="0"/>
                      <w:szCs w:val="21"/>
                      <w:vertAlign w:val="subscript"/>
                      <w14:textFill>
                        <w14:solidFill>
                          <w14:schemeClr w14:val="tx1"/>
                        </w14:solidFill>
                      </w14:textFill>
                    </w:rPr>
                    <w:t>n</w:t>
                  </w:r>
                  <w:r>
                    <w:rPr>
                      <w:color w:val="000000" w:themeColor="text1"/>
                      <w:kern w:val="0"/>
                      <w:szCs w:val="21"/>
                      <w14:textFill>
                        <w14:solidFill>
                          <w14:schemeClr w14:val="tx1"/>
                        </w14:solidFill>
                      </w14:textFill>
                    </w:rPr>
                    <w:t>/t</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该种危险物质Q值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041"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柴油</w:t>
                  </w:r>
                </w:p>
              </w:tc>
              <w:tc>
                <w:tcPr>
                  <w:tcW w:w="689"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w:t>
                  </w:r>
                </w:p>
              </w:tc>
              <w:tc>
                <w:tcPr>
                  <w:tcW w:w="1164"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0.8</w:t>
                  </w:r>
                </w:p>
              </w:tc>
              <w:tc>
                <w:tcPr>
                  <w:tcW w:w="912"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2500</w:t>
                  </w:r>
                </w:p>
              </w:tc>
              <w:tc>
                <w:tcPr>
                  <w:tcW w:w="1193" w:type="pct"/>
                  <w:vAlign w:val="center"/>
                </w:tcPr>
                <w:p>
                  <w:pPr>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0.00032</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根据上表，危险物质数量及临界量比值为0.00032，Q＜1，因此本项目</w:t>
            </w:r>
            <w:r>
              <w:rPr>
                <w:color w:val="000000" w:themeColor="text1"/>
                <w:sz w:val="24"/>
                <w14:textFill>
                  <w14:solidFill>
                    <w14:schemeClr w14:val="tx1"/>
                  </w14:solidFill>
                </w14:textFill>
              </w:rPr>
              <w:t>环境风险潜势为Ⅰ</w:t>
            </w:r>
            <w:r>
              <w:rPr>
                <w:rFonts w:hint="eastAsia"/>
                <w:color w:val="000000" w:themeColor="text1"/>
                <w:sz w:val="24"/>
                <w14:textFill>
                  <w14:solidFill>
                    <w14:schemeClr w14:val="tx1"/>
                  </w14:solidFill>
                </w14:textFill>
              </w:rPr>
              <w:t>。</w:t>
            </w:r>
          </w:p>
          <w:p>
            <w:pPr>
              <w:pStyle w:val="28"/>
              <w:numPr>
                <w:ilvl w:val="0"/>
                <w:numId w:val="1"/>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评价等级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根据《建设项目环境风险评价技术导则》（HJ</w:t>
            </w:r>
            <w:r>
              <w:rPr>
                <w:color w:val="000000" w:themeColor="text1"/>
                <w:sz w:val="24"/>
                <w14:textFill>
                  <w14:solidFill>
                    <w14:schemeClr w14:val="tx1"/>
                  </w14:solidFill>
                </w14:textFill>
              </w:rPr>
              <w:t>169</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2018</w:t>
            </w:r>
            <w:r>
              <w:rPr>
                <w:rFonts w:hint="eastAsia"/>
                <w:color w:val="000000" w:themeColor="text1"/>
                <w:sz w:val="24"/>
                <w14:textFill>
                  <w14:solidFill>
                    <w14:schemeClr w14:val="tx1"/>
                  </w14:solidFill>
                </w14:textFill>
              </w:rPr>
              <w:t>）第4</w:t>
            </w:r>
            <w:r>
              <w:rPr>
                <w:color w:val="000000" w:themeColor="text1"/>
                <w:sz w:val="24"/>
                <w14:textFill>
                  <w14:solidFill>
                    <w14:schemeClr w14:val="tx1"/>
                  </w14:solidFill>
                </w14:textFill>
              </w:rPr>
              <w:t>.3</w:t>
            </w:r>
            <w:r>
              <w:rPr>
                <w:rFonts w:hint="eastAsia"/>
                <w:color w:val="000000" w:themeColor="text1"/>
                <w:sz w:val="24"/>
                <w14:textFill>
                  <w14:solidFill>
                    <w14:schemeClr w14:val="tx1"/>
                  </w14:solidFill>
                </w14:textFill>
              </w:rPr>
              <w:t>节，评价工作等级划分见表</w:t>
            </w:r>
            <w:r>
              <w:rPr>
                <w:rFonts w:hint="eastAsia"/>
                <w:color w:val="000000" w:themeColor="text1"/>
                <w:sz w:val="24"/>
                <w:lang w:val="en-US" w:eastAsia="zh-CN"/>
                <w14:textFill>
                  <w14:solidFill>
                    <w14:schemeClr w14:val="tx1"/>
                  </w14:solidFill>
                </w14:textFill>
              </w:rPr>
              <w:t>8</w:t>
            </w: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9</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9</w:t>
            </w:r>
            <w:r>
              <w:rPr>
                <w:b w:val="0"/>
                <w:bCs/>
                <w:color w:val="000000" w:themeColor="text1"/>
                <w:sz w:val="24"/>
                <w14:textFill>
                  <w14:solidFill>
                    <w14:schemeClr w14:val="tx1"/>
                  </w14:solidFill>
                </w14:textFill>
              </w:rPr>
              <w:t xml:space="preserve">  </w:t>
            </w:r>
            <w:r>
              <w:rPr>
                <w:rFonts w:hint="eastAsia"/>
                <w:b w:val="0"/>
                <w:bCs/>
                <w:color w:val="000000" w:themeColor="text1"/>
                <w:sz w:val="24"/>
                <w14:textFill>
                  <w14:solidFill>
                    <w14:schemeClr w14:val="tx1"/>
                  </w14:solidFill>
                </w14:textFill>
              </w:rPr>
              <w:t>评价工作等级划分</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2411"/>
              <w:gridCol w:w="1949"/>
              <w:gridCol w:w="1949"/>
              <w:gridCol w:w="1617"/>
              <w:gridCol w:w="16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环境风险潜势</w:t>
                  </w:r>
                </w:p>
              </w:tc>
              <w:tc>
                <w:tcPr>
                  <w:tcW w:w="1021"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Ⅳ、Ⅳ</w:t>
                  </w:r>
                  <w:r>
                    <w:rPr>
                      <w:rFonts w:eastAsia="宋体" w:cs="Times New Roman"/>
                      <w:color w:val="000000" w:themeColor="text1"/>
                      <w:vertAlign w:val="superscript"/>
                      <w14:textFill>
                        <w14:solidFill>
                          <w14:schemeClr w14:val="tx1"/>
                        </w14:solidFill>
                      </w14:textFill>
                    </w:rPr>
                    <w:t>+</w:t>
                  </w:r>
                </w:p>
              </w:tc>
              <w:tc>
                <w:tcPr>
                  <w:tcW w:w="1021"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Ⅲ</w:t>
                  </w:r>
                </w:p>
              </w:tc>
              <w:tc>
                <w:tcPr>
                  <w:tcW w:w="847"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Ⅱ</w:t>
                  </w:r>
                </w:p>
              </w:tc>
              <w:tc>
                <w:tcPr>
                  <w:tcW w:w="847"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eastAsia="宋体" w:cs="Times New Roman"/>
                      <w:color w:val="000000" w:themeColor="text1"/>
                      <w14:textFill>
                        <w14:solidFill>
                          <w14:schemeClr w14:val="tx1"/>
                        </w14:solidFill>
                      </w14:textFill>
                    </w:rPr>
                    <w:t>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264"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评价工作等级</w:t>
                  </w:r>
                </w:p>
              </w:tc>
              <w:tc>
                <w:tcPr>
                  <w:tcW w:w="1021"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一</w:t>
                  </w:r>
                </w:p>
              </w:tc>
              <w:tc>
                <w:tcPr>
                  <w:tcW w:w="1021"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二</w:t>
                  </w:r>
                </w:p>
              </w:tc>
              <w:tc>
                <w:tcPr>
                  <w:tcW w:w="847"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三</w:t>
                  </w:r>
                </w:p>
              </w:tc>
              <w:tc>
                <w:tcPr>
                  <w:tcW w:w="847" w:type="pct"/>
                  <w:tcBorders>
                    <w:tl2br w:val="nil"/>
                    <w:tr2bl w:val="nil"/>
                  </w:tcBorders>
                  <w:vAlign w:val="center"/>
                </w:tcPr>
                <w:p>
                  <w:pPr>
                    <w:pStyle w:val="33"/>
                    <w:rPr>
                      <w:rFonts w:eastAsia="宋体" w:cs="Times New Roman"/>
                      <w:color w:val="000000" w:themeColor="text1"/>
                      <w14:textFill>
                        <w14:solidFill>
                          <w14:schemeClr w14:val="tx1"/>
                        </w14:solidFill>
                      </w14:textFill>
                    </w:rPr>
                  </w:pPr>
                  <w:r>
                    <w:rPr>
                      <w:rFonts w:hint="eastAsia" w:eastAsia="宋体" w:cs="Times New Roman"/>
                      <w:color w:val="000000" w:themeColor="text1"/>
                      <w14:textFill>
                        <w14:solidFill>
                          <w14:schemeClr w14:val="tx1"/>
                        </w14:solidFill>
                      </w14:textFill>
                    </w:rPr>
                    <w:t>简单分析</w:t>
                  </w:r>
                  <w:r>
                    <w:rPr>
                      <w:rFonts w:hint="eastAsia" w:eastAsia="宋体" w:cs="Times New Roman"/>
                      <w:color w:val="000000" w:themeColor="text1"/>
                      <w:vertAlign w:val="superscript"/>
                      <w14:textFill>
                        <w14:solidFill>
                          <w14:schemeClr w14:val="tx1"/>
                        </w14:solidFill>
                      </w14:textFill>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000" w:type="pct"/>
                  <w:gridSpan w:val="5"/>
                  <w:tcBorders>
                    <w:tl2br w:val="nil"/>
                    <w:tr2bl w:val="nil"/>
                  </w:tcBorders>
                  <w:vAlign w:val="center"/>
                </w:tcPr>
                <w:p>
                  <w:pPr>
                    <w:pStyle w:val="33"/>
                    <w:jc w:val="both"/>
                    <w:rPr>
                      <w:rFonts w:eastAsia="宋体" w:cs="Times New Roman"/>
                      <w:color w:val="000000" w:themeColor="text1"/>
                      <w14:textFill>
                        <w14:solidFill>
                          <w14:schemeClr w14:val="tx1"/>
                        </w14:solidFill>
                      </w14:textFill>
                    </w:rPr>
                  </w:pPr>
                  <w:r>
                    <w:rPr>
                      <w:rFonts w:hint="eastAsia" w:eastAsia="宋体" w:cs="Times New Roman"/>
                      <w:color w:val="000000" w:themeColor="text1"/>
                      <w:vertAlign w:val="superscript"/>
                      <w14:textFill>
                        <w14:solidFill>
                          <w14:schemeClr w14:val="tx1"/>
                        </w14:solidFill>
                      </w14:textFill>
                    </w:rPr>
                    <w:t>a</w:t>
                  </w:r>
                  <w:r>
                    <w:rPr>
                      <w:rFonts w:hint="eastAsia" w:eastAsia="宋体" w:cs="Times New Roman"/>
                      <w:color w:val="000000" w:themeColor="text1"/>
                      <w14:textFill>
                        <w14:solidFill>
                          <w14:schemeClr w14:val="tx1"/>
                        </w14:solidFill>
                      </w14:textFill>
                    </w:rPr>
                    <w:t>是相对于详细评价工作内容而言，在描述危险物质、环境影响途径、环境危害后果、风险防范措施等方面给出定性的说明。</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本项目环境风险潜势为</w:t>
            </w:r>
            <w:r>
              <w:rPr>
                <w:color w:val="000000" w:themeColor="text1"/>
                <w:sz w:val="24"/>
                <w14:textFill>
                  <w14:solidFill>
                    <w14:schemeClr w14:val="tx1"/>
                  </w14:solidFill>
                </w14:textFill>
              </w:rPr>
              <w:t>Ⅰ</w:t>
            </w:r>
            <w:r>
              <w:rPr>
                <w:rFonts w:hint="eastAsia"/>
                <w:color w:val="000000" w:themeColor="text1"/>
                <w:sz w:val="24"/>
                <w14:textFill>
                  <w14:solidFill>
                    <w14:schemeClr w14:val="tx1"/>
                  </w14:solidFill>
                </w14:textFill>
              </w:rPr>
              <w:t>，因此评价工作等级为简单分析。</w:t>
            </w:r>
          </w:p>
          <w:p>
            <w:pPr>
              <w:pStyle w:val="28"/>
              <w:numPr>
                <w:ilvl w:val="0"/>
                <w:numId w:val="1"/>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环境风险识别</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通过对本项目工艺流程及原</w:t>
            </w:r>
            <w:r>
              <w:rPr>
                <w:rFonts w:hint="eastAsia"/>
                <w:color w:val="000000" w:themeColor="text1"/>
                <w:sz w:val="24"/>
                <w14:textFill>
                  <w14:solidFill>
                    <w14:schemeClr w14:val="tx1"/>
                  </w14:solidFill>
                </w14:textFill>
              </w:rPr>
              <w:t>辅材</w:t>
            </w:r>
            <w:r>
              <w:rPr>
                <w:color w:val="000000" w:themeColor="text1"/>
                <w:sz w:val="24"/>
                <w14:textFill>
                  <w14:solidFill>
                    <w14:schemeClr w14:val="tx1"/>
                  </w14:solidFill>
                </w14:textFill>
              </w:rPr>
              <w:t>料、产品分析，依据危险性物质的类别和物质量，分析本项目涉及的主要危险性物质是</w:t>
            </w:r>
            <w:r>
              <w:rPr>
                <w:rFonts w:hint="eastAsia"/>
                <w:color w:val="000000" w:themeColor="text1"/>
                <w:sz w:val="24"/>
                <w14:textFill>
                  <w14:solidFill>
                    <w14:schemeClr w14:val="tx1"/>
                  </w14:solidFill>
                </w14:textFill>
              </w:rPr>
              <w:t>柴油</w:t>
            </w:r>
            <w:r>
              <w:rPr>
                <w:color w:val="000000" w:themeColor="text1"/>
                <w:sz w:val="24"/>
                <w14:textFill>
                  <w14:solidFill>
                    <w14:schemeClr w14:val="tx1"/>
                  </w14:solidFill>
                </w14:textFill>
              </w:rPr>
              <w:t>，柴油是有色透明液体</w:t>
            </w:r>
            <w:r>
              <w:rPr>
                <w:rFonts w:hint="eastAsia"/>
                <w:color w:val="000000" w:themeColor="text1"/>
                <w:sz w:val="24"/>
                <w14:textFill>
                  <w14:solidFill>
                    <w14:schemeClr w14:val="tx1"/>
                  </w14:solidFill>
                </w14:textFill>
              </w:rPr>
              <w:t>，为</w:t>
            </w:r>
            <w:r>
              <w:rPr>
                <w:color w:val="000000" w:themeColor="text1"/>
                <w:sz w:val="24"/>
                <w14:textFill>
                  <w14:solidFill>
                    <w14:schemeClr w14:val="tx1"/>
                  </w14:solidFill>
                </w14:textFill>
              </w:rPr>
              <w:t>轻质石油产品</w:t>
            </w:r>
            <w:r>
              <w:rPr>
                <w:rFonts w:hint="eastAsia"/>
                <w:color w:val="000000" w:themeColor="text1"/>
                <w:sz w:val="24"/>
                <w14:textFill>
                  <w14:solidFill>
                    <w14:schemeClr w14:val="tx1"/>
                  </w14:solidFill>
                </w14:textFill>
              </w:rPr>
              <w:t>，是易燃液体，</w:t>
            </w:r>
            <w:r>
              <w:rPr>
                <w:color w:val="000000" w:themeColor="text1"/>
                <w:sz w:val="24"/>
                <w14:textFill>
                  <w14:solidFill>
                    <w14:schemeClr w14:val="tx1"/>
                  </w14:solidFill>
                </w14:textFill>
              </w:rPr>
              <w:t>有火灾和爆炸的危险。</w:t>
            </w:r>
            <w:r>
              <w:rPr>
                <w:rFonts w:hint="eastAsia"/>
                <w:color w:val="000000" w:themeColor="text1"/>
                <w:sz w:val="24"/>
                <w14:textFill>
                  <w14:solidFill>
                    <w14:schemeClr w14:val="tx1"/>
                  </w14:solidFill>
                </w14:textFill>
              </w:rPr>
              <w:t>柴油理化性质及危险特性见表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10</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10</w:t>
            </w:r>
            <w:r>
              <w:rPr>
                <w:rFonts w:hint="eastAsia"/>
                <w:b w:val="0"/>
                <w:bCs/>
                <w:color w:val="000000" w:themeColor="text1"/>
                <w:sz w:val="24"/>
                <w14:textFill>
                  <w14:solidFill>
                    <w14:schemeClr w14:val="tx1"/>
                  </w14:solidFill>
                </w14:textFill>
              </w:rPr>
              <w:t xml:space="preserve">  柴油的理化性质及危险特性表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28" w:type="dxa"/>
                <w:left w:w="57" w:type="dxa"/>
                <w:bottom w:w="28" w:type="dxa"/>
                <w:right w:w="28" w:type="dxa"/>
              </w:tblCellMar>
            </w:tblPr>
            <w:tblGrid>
              <w:gridCol w:w="715"/>
              <w:gridCol w:w="1290"/>
              <w:gridCol w:w="1239"/>
              <w:gridCol w:w="1762"/>
              <w:gridCol w:w="1840"/>
              <w:gridCol w:w="1586"/>
              <w:gridCol w:w="111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标识</w:t>
                  </w:r>
                </w:p>
              </w:tc>
              <w:tc>
                <w:tcPr>
                  <w:tcW w:w="676" w:type="pct"/>
                  <w:tcBorders>
                    <w:tl2br w:val="nil"/>
                    <w:tr2bl w:val="nil"/>
                  </w:tcBorders>
                  <w:vAlign w:val="center"/>
                </w:tcPr>
                <w:p>
                  <w:pPr>
                    <w:pStyle w:val="34"/>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pacing w:val="-20"/>
                      <w:sz w:val="21"/>
                      <w:szCs w:val="21"/>
                      <w14:textFill>
                        <w14:solidFill>
                          <w14:schemeClr w14:val="tx1"/>
                        </w14:solidFill>
                      </w14:textFill>
                    </w:rPr>
                    <w:t>中文名:</w:t>
                  </w: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pacing w:val="-2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柴油</w:t>
                  </w:r>
                </w:p>
              </w:tc>
              <w:tc>
                <w:tcPr>
                  <w:tcW w:w="964" w:type="pct"/>
                  <w:tcBorders>
                    <w:tl2br w:val="nil"/>
                    <w:tr2bl w:val="nil"/>
                  </w:tcBorders>
                  <w:vAlign w:val="center"/>
                </w:tcPr>
                <w:p>
                  <w:pPr>
                    <w:pStyle w:val="34"/>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pacing w:val="-10"/>
                      <w:sz w:val="21"/>
                      <w:szCs w:val="21"/>
                      <w14:textFill>
                        <w14:solidFill>
                          <w14:schemeClr w14:val="tx1"/>
                        </w14:solidFill>
                      </w14:textFill>
                    </w:rPr>
                    <w:t>英文名</w:t>
                  </w:r>
                </w:p>
              </w:tc>
              <w:tc>
                <w:tcPr>
                  <w:tcW w:w="1413" w:type="pct"/>
                  <w:gridSpan w:val="2"/>
                  <w:tcBorders>
                    <w:tl2br w:val="nil"/>
                    <w:tr2bl w:val="nil"/>
                  </w:tcBorders>
                  <w:vAlign w:val="center"/>
                </w:tcPr>
                <w:p>
                  <w:pPr>
                    <w:pStyle w:val="34"/>
                    <w:rPr>
                      <w:rFonts w:ascii="Times New Roman" w:hAnsi="Times New Roman" w:eastAsia="宋体" w:cs="Times New Roman"/>
                      <w:bCs/>
                      <w:color w:val="000000" w:themeColor="text1"/>
                      <w:spacing w:val="-10"/>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Diesel oil；Diesel fuel</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CAS号</w:t>
                  </w:r>
                </w:p>
              </w:tc>
              <w:tc>
                <w:tcPr>
                  <w:tcW w:w="3949" w:type="pct"/>
                  <w:gridSpan w:val="5"/>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理化性质</w:t>
                  </w: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外观与性状</w:t>
                  </w:r>
                </w:p>
              </w:tc>
              <w:tc>
                <w:tcPr>
                  <w:tcW w:w="3949" w:type="pct"/>
                  <w:gridSpan w:val="5"/>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稍有粘性的棕色液体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熔点(℃)</w:t>
                  </w: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-18</w:t>
                  </w:r>
                </w:p>
              </w:tc>
              <w:tc>
                <w:tcPr>
                  <w:tcW w:w="964"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沸点(℃)</w:t>
                  </w:r>
                </w:p>
              </w:tc>
              <w:tc>
                <w:tcPr>
                  <w:tcW w:w="1413"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282-338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相对密度(水=1)</w:t>
                  </w: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0.84-0.9</w:t>
                  </w:r>
                </w:p>
              </w:tc>
              <w:tc>
                <w:tcPr>
                  <w:tcW w:w="964"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相对蒸气密度</w:t>
                  </w:r>
                </w:p>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(空气=1)</w:t>
                  </w:r>
                </w:p>
              </w:tc>
              <w:tc>
                <w:tcPr>
                  <w:tcW w:w="1413"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主要用途</w:t>
                  </w:r>
                </w:p>
              </w:tc>
              <w:tc>
                <w:tcPr>
                  <w:tcW w:w="3949" w:type="pct"/>
                  <w:gridSpan w:val="5"/>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用作柴油机的燃料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溶解性</w:t>
                  </w:r>
                </w:p>
              </w:tc>
              <w:tc>
                <w:tcPr>
                  <w:tcW w:w="3949" w:type="pct"/>
                  <w:gridSpan w:val="5"/>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不溶于水，能与多种有机溶剂混溶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燃烧爆炸危险性</w:t>
                  </w:r>
                </w:p>
              </w:tc>
              <w:tc>
                <w:tcPr>
                  <w:tcW w:w="676"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引燃温度(℃)</w:t>
                  </w:r>
                </w:p>
              </w:tc>
              <w:tc>
                <w:tcPr>
                  <w:tcW w:w="649"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335</w:t>
                  </w:r>
                </w:p>
              </w:tc>
              <w:tc>
                <w:tcPr>
                  <w:tcW w:w="923"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爆炸上限(V％)</w:t>
                  </w:r>
                </w:p>
              </w:tc>
              <w:tc>
                <w:tcPr>
                  <w:tcW w:w="964"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w:t>
                  </w:r>
                </w:p>
              </w:tc>
              <w:tc>
                <w:tcPr>
                  <w:tcW w:w="831"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闪点(℃)</w:t>
                  </w:r>
                </w:p>
              </w:tc>
              <w:tc>
                <w:tcPr>
                  <w:tcW w:w="582"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49"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923"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爆炸下限(V％)</w:t>
                  </w:r>
                </w:p>
              </w:tc>
              <w:tc>
                <w:tcPr>
                  <w:tcW w:w="964"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0.7</w:t>
                  </w:r>
                </w:p>
              </w:tc>
              <w:tc>
                <w:tcPr>
                  <w:tcW w:w="831"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582"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危险特性</w:t>
                  </w:r>
                </w:p>
              </w:tc>
              <w:tc>
                <w:tcPr>
                  <w:tcW w:w="3949" w:type="pct"/>
                  <w:gridSpan w:val="5"/>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遇明火、高热或与氧化剂接触，有引起燃烧爆炸的危险。若遇高热，容器内压增大，有开裂和爆炸的危险。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禁忌物</w:t>
                  </w:r>
                </w:p>
              </w:tc>
              <w:tc>
                <w:tcPr>
                  <w:tcW w:w="3949" w:type="pct"/>
                  <w:gridSpan w:val="5"/>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强氧化剂、卤素。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灭火方法</w:t>
                  </w:r>
                </w:p>
              </w:tc>
              <w:tc>
                <w:tcPr>
                  <w:tcW w:w="3949" w:type="pct"/>
                  <w:gridSpan w:val="5"/>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喷水冷却容器，可能的话将容器从火场移至空旷处。</w:t>
                  </w:r>
                </w:p>
                <w:p>
                  <w:pPr>
                    <w:rPr>
                      <w:bCs/>
                      <w:color w:val="000000" w:themeColor="text1"/>
                      <w:szCs w:val="21"/>
                      <w14:textFill>
                        <w14:solidFill>
                          <w14:schemeClr w14:val="tx1"/>
                        </w14:solidFill>
                      </w14:textFill>
                    </w:rPr>
                  </w:pPr>
                  <w:r>
                    <w:rPr>
                      <w:bCs/>
                      <w:color w:val="000000" w:themeColor="text1"/>
                      <w:kern w:val="0"/>
                      <w:szCs w:val="21"/>
                      <w14:textFill>
                        <w14:solidFill>
                          <w14:schemeClr w14:val="tx1"/>
                        </w14:solidFill>
                      </w14:textFill>
                    </w:rPr>
                    <w:t>灭火剂：泡沫、干粉、二氧化碳。用水灭火无效。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毒性及健康危害</w:t>
                  </w:r>
                </w:p>
              </w:tc>
              <w:tc>
                <w:tcPr>
                  <w:tcW w:w="676"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环境标准</w:t>
                  </w: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中国MAC（mg/m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前苏联MAC（mg/m</w:t>
                  </w:r>
                  <w:r>
                    <w:rPr>
                      <w:rFonts w:ascii="Times New Roman" w:hAnsi="Times New Roman" w:eastAsia="宋体" w:cs="Times New Roman"/>
                      <w:bCs/>
                      <w:color w:val="000000" w:themeColor="text1"/>
                      <w:sz w:val="21"/>
                      <w:szCs w:val="21"/>
                      <w:vertAlign w:val="superscript"/>
                      <w14:textFill>
                        <w14:solidFill>
                          <w14:schemeClr w14:val="tx1"/>
                        </w14:solidFill>
                      </w14:textFill>
                    </w:rPr>
                    <w:t>3</w:t>
                  </w:r>
                  <w:r>
                    <w:rPr>
                      <w:rFonts w:ascii="Times New Roman" w:hAnsi="Times New Roman" w:eastAsia="宋体" w:cs="Times New Roman"/>
                      <w:bCs/>
                      <w:color w:val="000000" w:themeColor="text1"/>
                      <w:sz w:val="21"/>
                      <w:szCs w:val="21"/>
                      <w14:textFill>
                        <w14:solidFill>
                          <w14:schemeClr w14:val="tx1"/>
                        </w14:solidFill>
                      </w14:textFill>
                    </w:rPr>
                    <w:t>）</w:t>
                  </w:r>
                </w:p>
              </w:tc>
              <w:tc>
                <w:tcPr>
                  <w:tcW w:w="2377" w:type="pct"/>
                  <w:gridSpan w:val="3"/>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TLVTN</w:t>
                  </w:r>
                </w:p>
              </w:tc>
              <w:tc>
                <w:tcPr>
                  <w:tcW w:w="2377" w:type="pct"/>
                  <w:gridSpan w:val="3"/>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1572" w:type="pct"/>
                  <w:gridSpan w:val="2"/>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TLVWN</w:t>
                  </w:r>
                </w:p>
              </w:tc>
              <w:tc>
                <w:tcPr>
                  <w:tcW w:w="2377" w:type="pct"/>
                  <w:gridSpan w:val="3"/>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未制定标准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侵入途径</w:t>
                  </w:r>
                </w:p>
              </w:tc>
              <w:tc>
                <w:tcPr>
                  <w:tcW w:w="3949" w:type="pct"/>
                  <w:gridSpan w:val="5"/>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吸入、食入、经皮吸收。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毒理学资料</w:t>
                  </w:r>
                </w:p>
              </w:tc>
              <w:tc>
                <w:tcPr>
                  <w:tcW w:w="3949" w:type="pct"/>
                  <w:gridSpan w:val="5"/>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LD50：7500mg/kg（大鼠经口）</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LC50：无资料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健康危害</w:t>
                  </w:r>
                </w:p>
              </w:tc>
              <w:tc>
                <w:tcPr>
                  <w:tcW w:w="3949" w:type="pct"/>
                  <w:gridSpan w:val="5"/>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皮肤接触可为主要吸收途径，可致急性肾脏损害。柴油可引起接触性皮炎、油性痤疮。吸入其雾滴或液体呛入可引起吸入性肺炎。能经胎盘进入胎儿血中。柴油废气可引起眼、鼻刺激症状，头晕及头痛。</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restar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包装与储运</w:t>
                  </w: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危险货物包装标志</w:t>
                  </w:r>
                </w:p>
              </w:tc>
              <w:tc>
                <w:tcPr>
                  <w:tcW w:w="3949" w:type="pct"/>
                  <w:gridSpan w:val="5"/>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Z01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vMerge w:val="continue"/>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p>
              </w:tc>
              <w:tc>
                <w:tcPr>
                  <w:tcW w:w="676"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储运注意事项</w:t>
                  </w:r>
                </w:p>
              </w:tc>
              <w:tc>
                <w:tcPr>
                  <w:tcW w:w="3949" w:type="pct"/>
                  <w:gridSpan w:val="5"/>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储存于阴凉、通风的库房。远离火种、热源。应与氧化剂、卤素分开存放，切忌混储。采用防爆型照明、通风设施。禁止使用易产生火花的机械设备和工具。储区应备有泄漏应急处理设备和合适的收容材料。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防护措施</w:t>
                  </w:r>
                </w:p>
              </w:tc>
              <w:tc>
                <w:tcPr>
                  <w:tcW w:w="4625" w:type="pct"/>
                  <w:gridSpan w:val="6"/>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皮肤接触：立即脱去污染的衣着，用肥皂水和清水彻底冲洗皮肤。就医。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眼睛接触：提起眼睑，用流动清水或生理盐水冲洗。就医。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吸入：迅速脱离现场至空气新鲜处。保持呼吸道通畅。如呼吸困难，给输氧。如呼吸停止，立即进行人工呼吸。就医。</w:t>
                  </w:r>
                </w:p>
                <w:p>
                  <w:pP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食入：尽快彻底洗胃。就医。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28" w:type="dxa"/>
                  <w:left w:w="57" w:type="dxa"/>
                  <w:bottom w:w="28" w:type="dxa"/>
                  <w:right w:w="28" w:type="dxa"/>
                </w:tblCellMar>
              </w:tblPrEx>
              <w:trPr>
                <w:cantSplit/>
                <w:trHeight w:val="340" w:hRule="atLeast"/>
                <w:jc w:val="center"/>
              </w:trPr>
              <w:tc>
                <w:tcPr>
                  <w:tcW w:w="375" w:type="pct"/>
                  <w:tcBorders>
                    <w:tl2br w:val="nil"/>
                    <w:tr2bl w:val="nil"/>
                  </w:tcBorders>
                  <w:vAlign w:val="center"/>
                </w:tcPr>
                <w:p>
                  <w:pPr>
                    <w:pStyle w:val="34"/>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泄漏处理</w:t>
                  </w:r>
                </w:p>
              </w:tc>
              <w:tc>
                <w:tcPr>
                  <w:tcW w:w="4625" w:type="pct"/>
                  <w:gridSpan w:val="6"/>
                  <w:tcBorders>
                    <w:tl2br w:val="nil"/>
                    <w:tr2bl w:val="nil"/>
                  </w:tcBorders>
                  <w:vAlign w:val="center"/>
                </w:tcPr>
                <w:p>
                  <w:pPr>
                    <w:pStyle w:val="34"/>
                    <w:jc w:val="both"/>
                    <w:rPr>
                      <w:rFonts w:ascii="Times New Roman" w:hAnsi="Times New Roman" w:eastAsia="宋体" w:cs="Times New Roman"/>
                      <w:bCs/>
                      <w:color w:val="000000" w:themeColor="text1"/>
                      <w:sz w:val="21"/>
                      <w:szCs w:val="21"/>
                      <w14:textFill>
                        <w14:solidFill>
                          <w14:schemeClr w14:val="tx1"/>
                        </w14:solidFill>
                      </w14:textFill>
                    </w:rPr>
                  </w:pPr>
                  <w:r>
                    <w:rPr>
                      <w:rFonts w:ascii="Times New Roman" w:hAnsi="Times New Roman" w:eastAsia="宋体" w:cs="Times New Roman"/>
                      <w:bCs/>
                      <w:color w:val="000000" w:themeColor="text1"/>
                      <w:sz w:val="21"/>
                      <w:szCs w:val="21"/>
                      <w14:textFill>
                        <w14:solidFill>
                          <w14:schemeClr w14:val="tx1"/>
                        </w14:solidFill>
                      </w14:textFill>
                    </w:rPr>
                    <w:t>迅速撤离泄漏污染区人员至安全区，并进行隔离，严格限制出入。切断火源。建议应急处理人员戴自给正压式呼吸器，穿一般作业工作服。尽可能切断泄漏源。防止流入下水道、排洪沟等限制性空间。小量泄漏：用活性炭或其它惰性材料吸收。大量泄漏：构筑围堤或挖坑收容。用泵转移至槽车或专用收集器内，回收或运至废物处理场所处置</w:t>
                  </w:r>
                  <w:r>
                    <w:rPr>
                      <w:rFonts w:ascii="Times New Roman" w:hAnsi="Times New Roman" w:eastAsia="宋体" w:cs="Times New Roman"/>
                      <w:bCs/>
                      <w:color w:val="000000" w:themeColor="text1"/>
                      <w:spacing w:val="-2"/>
                      <w:sz w:val="21"/>
                      <w:szCs w:val="21"/>
                      <w14:textFill>
                        <w14:solidFill>
                          <w14:schemeClr w14:val="tx1"/>
                        </w14:solidFill>
                      </w14:textFill>
                    </w:rPr>
                    <w:t>。</w:t>
                  </w:r>
                </w:p>
              </w:tc>
            </w:tr>
          </w:tbl>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项目储存的柴油属于第3类危险化学品，具有以下危险特性：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①易燃性：油品的组成有碳氢化合物及其衍生物，是可燃性有机物质，在有大量助燃物的空气中，只要有足够点火能量，会发生燃烧。</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②易爆性：柴油的蒸汽与空气组成气体达到爆炸极限时，遇到引爆源，即发生爆炸。</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③易受热膨胀性：油品受热后，温度升高，体积膨胀，储存油品的密闭油桶如靠近高热或日光暴晒，受热膨胀，储罐内压力增右，容易造成容器胀破。</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④毒性：油品及其蒸汽都具有一定的毒性，属于刺激性、麻醉性的低毒物质。</w:t>
            </w:r>
          </w:p>
          <w:p>
            <w:pPr>
              <w:pStyle w:val="28"/>
              <w:numPr>
                <w:ilvl w:val="0"/>
                <w:numId w:val="1"/>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环境风险识别结果</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本项目风险物质为柴油，柴油储存过程中储油桶发生泄漏时存在发生火灾爆炸事故的可能性，因为柴油属于易燃、易爆物质，泄漏到环境中遇明火、高热易燃烧爆炸。本项目环境风险识别结果具体见表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11</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11</w:t>
            </w:r>
            <w:r>
              <w:rPr>
                <w:b w:val="0"/>
                <w:bCs/>
                <w:color w:val="000000" w:themeColor="text1"/>
                <w:sz w:val="24"/>
                <w14:textFill>
                  <w14:solidFill>
                    <w14:schemeClr w14:val="tx1"/>
                  </w14:solidFill>
                </w14:textFill>
              </w:rPr>
              <w:t xml:space="preserve"> </w:t>
            </w:r>
            <w:r>
              <w:rPr>
                <w:rFonts w:hint="eastAsia"/>
                <w:b w:val="0"/>
                <w:bCs/>
                <w:color w:val="000000" w:themeColor="text1"/>
                <w:sz w:val="24"/>
                <w14:textFill>
                  <w14:solidFill>
                    <w14:schemeClr w14:val="tx1"/>
                  </w14:solidFill>
                </w14:textFill>
              </w:rPr>
              <w:t xml:space="preserve"> 建设项目环境风险识别表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5"/>
              <w:gridCol w:w="1143"/>
              <w:gridCol w:w="1002"/>
              <w:gridCol w:w="2285"/>
              <w:gridCol w:w="1573"/>
              <w:gridCol w:w="239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危险单元</w:t>
                  </w:r>
                </w:p>
              </w:tc>
              <w:tc>
                <w:tcPr>
                  <w:tcW w:w="59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风险源</w:t>
                  </w:r>
                </w:p>
              </w:tc>
              <w:tc>
                <w:tcPr>
                  <w:tcW w:w="52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主要危险物质</w:t>
                  </w:r>
                </w:p>
              </w:tc>
              <w:tc>
                <w:tcPr>
                  <w:tcW w:w="11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环境风险类型</w:t>
                  </w:r>
                </w:p>
              </w:tc>
              <w:tc>
                <w:tcPr>
                  <w:tcW w:w="82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环境影响途径</w:t>
                  </w:r>
                </w:p>
              </w:tc>
              <w:tc>
                <w:tcPr>
                  <w:tcW w:w="125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可能受影响的环境</w:t>
                  </w:r>
                </w:p>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敏感目标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00"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油料区</w:t>
                  </w:r>
                </w:p>
              </w:tc>
              <w:tc>
                <w:tcPr>
                  <w:tcW w:w="599"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液体泄露</w:t>
                  </w:r>
                </w:p>
              </w:tc>
              <w:tc>
                <w:tcPr>
                  <w:tcW w:w="52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柴油</w:t>
                  </w:r>
                </w:p>
              </w:tc>
              <w:tc>
                <w:tcPr>
                  <w:tcW w:w="1197"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泄露</w:t>
                  </w:r>
                  <w:r>
                    <w:rPr>
                      <w:rFonts w:hint="eastAsia"/>
                      <w:color w:val="000000" w:themeColor="text1"/>
                      <w:szCs w:val="21"/>
                      <w14:textFill>
                        <w14:solidFill>
                          <w14:schemeClr w14:val="tx1"/>
                        </w14:solidFill>
                      </w14:textFill>
                    </w:rPr>
                    <w:t>、火灾等引发的伴生/次生污染物</w:t>
                  </w:r>
                </w:p>
              </w:tc>
              <w:tc>
                <w:tcPr>
                  <w:tcW w:w="82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大气、地下水、地下水</w:t>
                  </w:r>
                </w:p>
              </w:tc>
              <w:tc>
                <w:tcPr>
                  <w:tcW w:w="1254"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周边环境大气、地下水</w:t>
                  </w:r>
                </w:p>
              </w:tc>
            </w:tr>
          </w:tbl>
          <w:p>
            <w:pPr>
              <w:pStyle w:val="28"/>
              <w:numPr>
                <w:ilvl w:val="0"/>
                <w:numId w:val="1"/>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环境风险分析</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项目主要事故源于油料区柴油泄漏，一旦发生泄漏事故，柴油进入环境，将对河流、土壤、地下水、生物造成污染，同时由于柴油泄漏造成油品挥发，油蒸汽逸散，进而发生火灾、爆炸和中毒事故。</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本项目井场单独设置油料区，油料区柴油储存量为3-5桶（160kg/桶），发生最大可信事故为单桶柴油发生泄漏，按单桶柴油油桶全部破损，泄漏量为0.16t。油料区地面采取</w:t>
            </w:r>
            <w:r>
              <w:rPr>
                <w:bCs/>
                <w:snapToGrid w:val="0"/>
                <w:color w:val="000000" w:themeColor="text1"/>
                <w:kern w:val="0"/>
                <w:sz w:val="24"/>
                <w14:textFill>
                  <w14:solidFill>
                    <w14:schemeClr w14:val="tx1"/>
                  </w14:solidFill>
                </w14:textFill>
              </w:rPr>
              <w:t>HDPE</w:t>
            </w:r>
            <w:r>
              <w:rPr>
                <w:rFonts w:hint="eastAsia" w:ascii="宋体" w:hAnsi="宋体" w:cs="宋体"/>
                <w:bCs/>
                <w:snapToGrid w:val="0"/>
                <w:color w:val="000000" w:themeColor="text1"/>
                <w:kern w:val="0"/>
                <w:sz w:val="24"/>
                <w14:textFill>
                  <w14:solidFill>
                    <w14:schemeClr w14:val="tx1"/>
                  </w14:solidFill>
                </w14:textFill>
              </w:rPr>
              <w:t>防渗膜</w:t>
            </w:r>
            <w:r>
              <w:rPr>
                <w:rFonts w:hint="eastAsia"/>
                <w:color w:val="000000" w:themeColor="text1"/>
                <w:sz w:val="24"/>
                <w14:textFill>
                  <w14:solidFill>
                    <w14:schemeClr w14:val="tx1"/>
                  </w14:solidFill>
                </w14:textFill>
              </w:rPr>
              <w:t>防渗处理，在发生泄漏情况下，油料渗入周边地下水和土壤的可能性较小。若泄漏的油品污染周边土壤，则对受污染的土壤进行集中收集，交资质单位处理。</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井场周边无明显地表水体，不会产生大量油料泄漏，因此不会对地表水体产生影响。柴油燃烧或者爆炸产生的污染物主要是CO</w:t>
            </w:r>
            <w:r>
              <w:rPr>
                <w:rFonts w:hint="eastAsia"/>
                <w:color w:val="000000" w:themeColor="text1"/>
                <w:sz w:val="24"/>
                <w:vertAlign w:val="subscript"/>
                <w14:textFill>
                  <w14:solidFill>
                    <w14:schemeClr w14:val="tx1"/>
                  </w14:solidFill>
                </w14:textFill>
              </w:rPr>
              <w:t>2</w:t>
            </w:r>
            <w:r>
              <w:rPr>
                <w:rFonts w:hint="eastAsia"/>
                <w:color w:val="000000" w:themeColor="text1"/>
                <w:sz w:val="24"/>
                <w14:textFill>
                  <w14:solidFill>
                    <w14:schemeClr w14:val="tx1"/>
                  </w14:solidFill>
                </w14:textFill>
              </w:rPr>
              <w:t>、CO、非甲烷总烃等，项目储油量小，燃烧后经过很快扩散，对环境空气的影响较小。项目井场距敏感点较远，因此对环境敏感点影响较小。</w:t>
            </w:r>
          </w:p>
          <w:p>
            <w:pPr>
              <w:pStyle w:val="28"/>
              <w:numPr>
                <w:ilvl w:val="0"/>
                <w:numId w:val="1"/>
              </w:numPr>
              <w:spacing w:line="360" w:lineRule="auto"/>
              <w:ind w:left="879" w:hanging="397" w:firstLineChars="0"/>
              <w:rPr>
                <w:color w:val="000000" w:themeColor="text1"/>
                <w:sz w:val="24"/>
                <w14:textFill>
                  <w14:solidFill>
                    <w14:schemeClr w14:val="tx1"/>
                  </w14:solidFill>
                </w14:textFill>
              </w:rPr>
            </w:pPr>
            <w:bookmarkStart w:id="18" w:name="_Toc470462669"/>
            <w:bookmarkStart w:id="19" w:name="_Toc470462354"/>
            <w:bookmarkStart w:id="20" w:name="_Toc20126"/>
            <w:bookmarkStart w:id="21" w:name="_Toc461051472"/>
            <w:bookmarkStart w:id="22" w:name="_Toc8443"/>
            <w:bookmarkStart w:id="23" w:name="_Toc29636"/>
            <w:bookmarkStart w:id="24" w:name="_Toc14538"/>
            <w:bookmarkStart w:id="25" w:name="_Toc29147"/>
            <w:r>
              <w:rPr>
                <w:rFonts w:hint="eastAsia"/>
                <w:color w:val="000000" w:themeColor="text1"/>
                <w:sz w:val="24"/>
                <w14:textFill>
                  <w14:solidFill>
                    <w14:schemeClr w14:val="tx1"/>
                  </w14:solidFill>
                </w14:textFill>
              </w:rPr>
              <w:t>环境风险防范措施</w:t>
            </w:r>
            <w:bookmarkEnd w:id="18"/>
            <w:bookmarkEnd w:id="19"/>
            <w:bookmarkEnd w:id="20"/>
            <w:bookmarkEnd w:id="21"/>
            <w:bookmarkEnd w:id="22"/>
            <w:bookmarkEnd w:id="23"/>
            <w:bookmarkEnd w:id="24"/>
            <w:bookmarkEnd w:id="25"/>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针对可能发生的风险事故，应采取如下风险防范措施：</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①项目应组建安全环保管理机构，配备管理人员，通过技能培训，承担该项目建设中的环保安全工作</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②安全环保机构根据相关的环境管理要求，加强职工的安全教育，提高安全防范风险的意识</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③项目油料储存区应有良好的通风，以利于气体的扩散，防止爆炸</w:t>
            </w:r>
            <w:r>
              <w:rPr>
                <w:rFonts w:hint="eastAsia"/>
                <w:color w:val="000000" w:themeColor="text1"/>
                <w:sz w:val="24"/>
                <w14:textFill>
                  <w14:solidFill>
                    <w14:schemeClr w14:val="tx1"/>
                  </w14:solidFill>
                </w14:textFill>
              </w:rPr>
              <w:t>；</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④</w:t>
            </w:r>
            <w:r>
              <w:rPr>
                <w:rFonts w:hint="eastAsia"/>
                <w:color w:val="000000" w:themeColor="text1"/>
                <w:sz w:val="24"/>
                <w14:textFill>
                  <w14:solidFill>
                    <w14:schemeClr w14:val="tx1"/>
                  </w14:solidFill>
                </w14:textFill>
              </w:rPr>
              <w:t>油料区地面采用铺设HDPE防渗膜进行防渗处理，对受污染的土壤进行收集，交资质单位处理；</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⑤油料区设置灭火装置</w:t>
            </w:r>
            <w:r>
              <w:rPr>
                <w:rFonts w:hint="eastAsia"/>
                <w:color w:val="000000" w:themeColor="text1"/>
                <w:sz w:val="24"/>
                <w14:textFill>
                  <w14:solidFill>
                    <w14:schemeClr w14:val="tx1"/>
                  </w14:solidFill>
                </w14:textFill>
              </w:rPr>
              <w:t>，用于紧急情况下灭火使用；</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⑥油料区设置明显禁火标志牌，不允许非工作人员随便入内。</w:t>
            </w:r>
          </w:p>
          <w:p>
            <w:pPr>
              <w:pStyle w:val="28"/>
              <w:numPr>
                <w:ilvl w:val="0"/>
                <w:numId w:val="1"/>
              </w:numPr>
              <w:spacing w:line="360" w:lineRule="auto"/>
              <w:ind w:left="879" w:hanging="397" w:firstLineChars="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环境风险分析结论</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根据《建设项目环境风险评价技术导则》（HJ/T169-2018）附录A</w:t>
            </w:r>
            <w:r>
              <w:rPr>
                <w:rFonts w:hint="eastAsia"/>
                <w:color w:val="000000" w:themeColor="text1"/>
                <w:sz w:val="24"/>
                <w14:textFill>
                  <w14:solidFill>
                    <w14:schemeClr w14:val="tx1"/>
                  </w14:solidFill>
                </w14:textFill>
              </w:rPr>
              <w:t>和</w:t>
            </w:r>
            <w:r>
              <w:rPr>
                <w:color w:val="000000" w:themeColor="text1"/>
                <w:sz w:val="24"/>
                <w14:textFill>
                  <w14:solidFill>
                    <w14:schemeClr w14:val="tx1"/>
                  </w14:solidFill>
                </w14:textFill>
              </w:rPr>
              <w:t>B</w:t>
            </w:r>
            <w:r>
              <w:rPr>
                <w:rFonts w:hint="eastAsia"/>
                <w:color w:val="000000" w:themeColor="text1"/>
                <w:sz w:val="24"/>
                <w14:textFill>
                  <w14:solidFill>
                    <w14:schemeClr w14:val="tx1"/>
                  </w14:solidFill>
                </w14:textFill>
              </w:rPr>
              <w:t>以及1.4分析可知，项目建设期间主要环境风险为柴油泄漏造成的环境风险，经采取相关措施后发生的可能较小。建设项目环境风险简单分析内容表见表</w:t>
            </w:r>
            <w:r>
              <w:rPr>
                <w:color w:val="000000" w:themeColor="text1"/>
                <w:sz w:val="24"/>
                <w14:textFill>
                  <w14:solidFill>
                    <w14:schemeClr w14:val="tx1"/>
                  </w14:solidFill>
                </w14:textFill>
              </w:rPr>
              <w:t>8-</w:t>
            </w:r>
            <w:r>
              <w:rPr>
                <w:rFonts w:hint="eastAsia"/>
                <w:color w:val="000000" w:themeColor="text1"/>
                <w:sz w:val="24"/>
                <w:lang w:val="en-US" w:eastAsia="zh-CN"/>
                <w14:textFill>
                  <w14:solidFill>
                    <w14:schemeClr w14:val="tx1"/>
                  </w14:solidFill>
                </w14:textFill>
              </w:rPr>
              <w:t>12</w:t>
            </w:r>
            <w:r>
              <w:rPr>
                <w:rFonts w:hint="eastAsia"/>
                <w:color w:val="000000" w:themeColor="text1"/>
                <w:sz w:val="24"/>
                <w14:textFill>
                  <w14:solidFill>
                    <w14:schemeClr w14:val="tx1"/>
                  </w14:solidFill>
                </w14:textFill>
              </w:rPr>
              <w:t>。</w:t>
            </w:r>
          </w:p>
          <w:p>
            <w:pPr>
              <w:spacing w:line="240" w:lineRule="auto"/>
              <w:jc w:val="center"/>
              <w:rPr>
                <w:b w:val="0"/>
                <w:bCs/>
                <w:color w:val="000000" w:themeColor="text1"/>
                <w:sz w:val="24"/>
                <w14:textFill>
                  <w14:solidFill>
                    <w14:schemeClr w14:val="tx1"/>
                  </w14:solidFill>
                </w14:textFill>
              </w:rPr>
            </w:pPr>
            <w:r>
              <w:rPr>
                <w:rFonts w:hint="eastAsia"/>
                <w:b w:val="0"/>
                <w:bCs/>
                <w:color w:val="000000" w:themeColor="text1"/>
                <w:sz w:val="24"/>
                <w14:textFill>
                  <w14:solidFill>
                    <w14:schemeClr w14:val="tx1"/>
                  </w14:solidFill>
                </w14:textFill>
              </w:rPr>
              <w:t>表</w:t>
            </w:r>
            <w:r>
              <w:rPr>
                <w:b w:val="0"/>
                <w:bCs/>
                <w:color w:val="000000" w:themeColor="text1"/>
                <w:sz w:val="24"/>
                <w14:textFill>
                  <w14:solidFill>
                    <w14:schemeClr w14:val="tx1"/>
                  </w14:solidFill>
                </w14:textFill>
              </w:rPr>
              <w:t>8-</w:t>
            </w:r>
            <w:r>
              <w:rPr>
                <w:rFonts w:hint="eastAsia"/>
                <w:b w:val="0"/>
                <w:bCs/>
                <w:color w:val="000000" w:themeColor="text1"/>
                <w:sz w:val="24"/>
                <w:lang w:val="en-US" w:eastAsia="zh-CN"/>
                <w14:textFill>
                  <w14:solidFill>
                    <w14:schemeClr w14:val="tx1"/>
                  </w14:solidFill>
                </w14:textFill>
              </w:rPr>
              <w:t>12</w:t>
            </w:r>
            <w:r>
              <w:rPr>
                <w:rFonts w:hint="eastAsia"/>
                <w:b w:val="0"/>
                <w:bCs/>
                <w:color w:val="000000" w:themeColor="text1"/>
                <w:sz w:val="24"/>
                <w14:textFill>
                  <w14:solidFill>
                    <w14:schemeClr w14:val="tx1"/>
                  </w14:solidFill>
                </w14:textFill>
              </w:rPr>
              <w:t xml:space="preserve">  建设项目环境风险简单分析内容</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872"/>
              <w:gridCol w:w="1277"/>
              <w:gridCol w:w="1430"/>
              <w:gridCol w:w="1428"/>
              <w:gridCol w:w="1204"/>
              <w:gridCol w:w="13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建设项目名称</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铀矿钻探项目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建设地点</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（/）省</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（/）市</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）区</w:t>
                  </w:r>
                </w:p>
              </w:tc>
              <w:tc>
                <w:tcPr>
                  <w:tcW w:w="631"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（/）县</w:t>
                  </w:r>
                </w:p>
              </w:tc>
              <w:tc>
                <w:tcPr>
                  <w:tcW w:w="69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（/）园区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地理坐标</w:t>
                  </w:r>
                </w:p>
              </w:tc>
              <w:tc>
                <w:tcPr>
                  <w:tcW w:w="66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经度</w:t>
                  </w:r>
                </w:p>
              </w:tc>
              <w:tc>
                <w:tcPr>
                  <w:tcW w:w="749"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748"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纬度</w:t>
                  </w:r>
                </w:p>
              </w:tc>
              <w:tc>
                <w:tcPr>
                  <w:tcW w:w="1329" w:type="pct"/>
                  <w:gridSpan w:val="2"/>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主要危险物质及分布</w:t>
                  </w:r>
                </w:p>
              </w:tc>
              <w:tc>
                <w:tcPr>
                  <w:tcW w:w="3495" w:type="pct"/>
                  <w:gridSpan w:val="5"/>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柴油、井场内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环境影响途径及危害后果</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（大气、地表水、地下水）</w:t>
                  </w:r>
                </w:p>
              </w:tc>
              <w:tc>
                <w:tcPr>
                  <w:tcW w:w="3495" w:type="pct"/>
                  <w:gridSpan w:val="5"/>
                  <w:tcBorders>
                    <w:tl2br w:val="nil"/>
                    <w:tr2bl w:val="nil"/>
                  </w:tcBorders>
                  <w:vAlign w:val="center"/>
                </w:tcPr>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①</w:t>
                  </w:r>
                  <w:r>
                    <w:rPr>
                      <w:rFonts w:hint="eastAsia"/>
                      <w:b w:val="0"/>
                      <w:color w:val="000000" w:themeColor="text1"/>
                      <w:sz w:val="21"/>
                      <w:szCs w:val="21"/>
                      <w14:textFill>
                        <w14:solidFill>
                          <w14:schemeClr w14:val="tx1"/>
                        </w14:solidFill>
                      </w14:textFill>
                    </w:rPr>
                    <w:t>对地表水的污染</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泄漏的柴油一旦进入地表河流，将造成地表河流的污染。污染首先将造成地表河流的景观破坏；其次，由于有机烃类物质难溶于水，大部分上浮在水层表面，形成一层油膜使空气与水隔离，造成水中溶解氧浓度降低，逐渐形成死水，致水中生物死亡。</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②</w:t>
                  </w:r>
                  <w:r>
                    <w:rPr>
                      <w:rFonts w:hint="eastAsia"/>
                      <w:b w:val="0"/>
                      <w:color w:val="000000" w:themeColor="text1"/>
                      <w:sz w:val="21"/>
                      <w:szCs w:val="21"/>
                      <w14:textFill>
                        <w14:solidFill>
                          <w14:schemeClr w14:val="tx1"/>
                        </w14:solidFill>
                      </w14:textFill>
                    </w:rPr>
                    <w:t>对地下水和土壤的污染</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b w:val="0"/>
                      <w:color w:val="000000" w:themeColor="text1"/>
                      <w:sz w:val="21"/>
                      <w:szCs w:val="21"/>
                      <w14:textFill>
                        <w14:solidFill>
                          <w14:schemeClr w14:val="tx1"/>
                        </w14:solidFill>
                      </w14:textFill>
                    </w:rPr>
                    <w:t>储油桶泄漏对地下水的污染较，地下水一旦遭到柴油的污染，将使地下水产生严重异味，无法饮用。又由于这种渗漏必然穿过较厚的土壤层，使土壤层中吸附了大量的燃料油，土壤层吸附的燃料油不仅会造成植物生物的死亡，而且土壤层吸附的燃料油还会随着地表水的下渗对土壤层的冲刷作用补充到地下水，这样即便污染源得到及时控制，地下水要完全恢复也需几年至几十年时间。</w:t>
                  </w:r>
                </w:p>
                <w:p>
                  <w:pPr>
                    <w:pStyle w:val="6"/>
                    <w:spacing w:line="240" w:lineRule="auto"/>
                    <w:ind w:firstLine="0"/>
                    <w:jc w:val="left"/>
                    <w:rPr>
                      <w:b w:val="0"/>
                      <w:color w:val="000000" w:themeColor="text1"/>
                      <w:sz w:val="21"/>
                      <w:szCs w:val="21"/>
                      <w14:textFill>
                        <w14:solidFill>
                          <w14:schemeClr w14:val="tx1"/>
                        </w14:solidFill>
                      </w14:textFill>
                    </w:rPr>
                  </w:pPr>
                  <w:r>
                    <w:rPr>
                      <w:rFonts w:hint="eastAsia" w:ascii="宋体" w:hAnsi="宋体" w:cs="宋体"/>
                      <w:b w:val="0"/>
                      <w:color w:val="000000" w:themeColor="text1"/>
                      <w:sz w:val="21"/>
                      <w:szCs w:val="21"/>
                      <w14:textFill>
                        <w14:solidFill>
                          <w14:schemeClr w14:val="tx1"/>
                        </w14:solidFill>
                      </w14:textFill>
                    </w:rPr>
                    <w:t>③</w:t>
                  </w:r>
                  <w:r>
                    <w:rPr>
                      <w:rFonts w:hint="eastAsia"/>
                      <w:b w:val="0"/>
                      <w:color w:val="000000" w:themeColor="text1"/>
                      <w:sz w:val="21"/>
                      <w:szCs w:val="21"/>
                      <w14:textFill>
                        <w14:solidFill>
                          <w14:schemeClr w14:val="tx1"/>
                        </w14:solidFill>
                      </w14:textFill>
                    </w:rPr>
                    <w:t>对大气环境的污染</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柴油泄漏造成油品挥发，油蒸汽逸散，进而发生火灾、爆炸，燃烧或者爆炸产生的污染物对环境空气的影响。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05" w:type="pct"/>
                  <w:tcBorders>
                    <w:tl2br w:val="nil"/>
                    <w:tr2bl w:val="nil"/>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风险防范措施要求</w:t>
                  </w:r>
                </w:p>
              </w:tc>
              <w:tc>
                <w:tcPr>
                  <w:tcW w:w="3495" w:type="pct"/>
                  <w:gridSpan w:val="5"/>
                  <w:tcBorders>
                    <w:tl2br w:val="nil"/>
                    <w:tr2bl w:val="nil"/>
                  </w:tcBorders>
                  <w:vAlign w:val="center"/>
                </w:tcPr>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①项目应组建安全环保管理机构，配备管理人员，通过技能培训，承担该项目建设中的环保安全工作；</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②安全环保机构根据相关的环境管理要求，加强职工的安全教育，提高安全防范风险的意识；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③项目油料储存区应有良好的通风，以利于气体的扩散，防止爆炸；</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④油料区地面采用铺设HDPE防渗膜进行防渗处理，同时设砂池，可及时用砂子吸收油品后以及受污染的土壤清理后交资质单位处理；</w:t>
                  </w:r>
                </w:p>
                <w:p>
                  <w:pPr>
                    <w:jc w:val="left"/>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⑤油料区设置灭火装置，用于紧急情况下灭火使用；</w:t>
                  </w:r>
                </w:p>
                <w:p>
                  <w:pPr>
                    <w:jc w:val="left"/>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⑥油料区设置明显禁火标志牌，不允许非工作人员随便入内。</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bCs/>
                <w:color w:val="000000" w:themeColor="text1"/>
                <w:sz w:val="24"/>
                <w:lang w:val="en-US" w:eastAsia="zh-CN"/>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bookmarkStart w:id="26" w:name="_Toc3795904"/>
      <w:r>
        <w:rPr>
          <w:rFonts w:hint="eastAsia" w:eastAsia="黑体"/>
          <w:color w:val="000000" w:themeColor="text1"/>
          <w:sz w:val="32"/>
          <w:lang w:val="en-US" w:eastAsia="zh-CN"/>
          <w14:textFill>
            <w14:solidFill>
              <w14:schemeClr w14:val="tx1"/>
            </w14:solidFill>
          </w14:textFill>
        </w:rPr>
        <w:t>九、</w:t>
      </w:r>
      <w:r>
        <w:rPr>
          <w:rFonts w:eastAsia="黑体"/>
          <w:color w:val="000000" w:themeColor="text1"/>
          <w:sz w:val="32"/>
          <w14:textFill>
            <w14:solidFill>
              <w14:schemeClr w14:val="tx1"/>
            </w14:solidFill>
          </w14:textFill>
        </w:rPr>
        <w:t>建设项目拟采取的防治措施及预期治理效果</w:t>
      </w:r>
      <w:bookmarkEnd w:id="26"/>
    </w:p>
    <w:tbl>
      <w:tblPr>
        <w:tblStyle w:val="14"/>
        <w:tblW w:w="4898" w:type="pct"/>
        <w:tblInd w:w="1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37"/>
        <w:gridCol w:w="1452"/>
        <w:gridCol w:w="1309"/>
        <w:gridCol w:w="3364"/>
        <w:gridCol w:w="259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内容</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w:t>
            </w:r>
          </w:p>
        </w:tc>
        <w:tc>
          <w:tcPr>
            <w:tcW w:w="743" w:type="pct"/>
            <w:tcBorders>
              <w:tl2br w:val="nil"/>
              <w:tr2bl w:val="nil"/>
            </w:tcBorders>
            <w:vAlign w:val="center"/>
          </w:tcPr>
          <w:p>
            <w:pPr>
              <w:widowControl/>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排放源</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（编号）</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污染物</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名称</w:t>
            </w:r>
          </w:p>
        </w:tc>
        <w:tc>
          <w:tcPr>
            <w:tcW w:w="1723"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防治措施</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预期治理效果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大气</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污染物</w:t>
            </w:r>
          </w:p>
        </w:tc>
        <w:tc>
          <w:tcPr>
            <w:tcW w:w="743"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发电机等</w:t>
            </w:r>
          </w:p>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燃油废气</w:t>
            </w:r>
          </w:p>
        </w:tc>
        <w:tc>
          <w:tcPr>
            <w:tcW w:w="670" w:type="pct"/>
            <w:tcBorders>
              <w:tl2br w:val="nil"/>
              <w:tr2bl w:val="nil"/>
            </w:tcBorders>
            <w:vAlign w:val="center"/>
          </w:tcPr>
          <w:p>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颗粒物</w:t>
            </w:r>
          </w:p>
        </w:tc>
        <w:tc>
          <w:tcPr>
            <w:tcW w:w="1723" w:type="pct"/>
            <w:vMerge w:val="restart"/>
            <w:tcBorders>
              <w:tl2br w:val="nil"/>
              <w:tr2bl w:val="nil"/>
            </w:tcBorders>
            <w:vAlign w:val="center"/>
          </w:tcPr>
          <w:p>
            <w:pPr>
              <w:pStyle w:val="13"/>
              <w:ind w:left="0" w:leftChars="0" w:right="0" w:rightChars="0"/>
              <w:rPr>
                <w:rFonts w:ascii="Times New Roman" w:hAnsi="Times New Roman" w:eastAsia="宋体" w:cs="Times New Roman"/>
                <w:color w:val="000000" w:themeColor="text1"/>
                <w:kern w:val="0"/>
                <w:sz w:val="21"/>
                <w:szCs w:val="21"/>
                <w:lang w:val="en-US" w:eastAsia="zh-CN" w:bidi="ar"/>
                <w14:textFill>
                  <w14:solidFill>
                    <w14:schemeClr w14:val="tx1"/>
                  </w14:solidFill>
                </w14:textFill>
              </w:rPr>
            </w:pPr>
            <w:r>
              <w:rPr>
                <w:rFonts w:hint="eastAsia"/>
                <w:color w:val="000000" w:themeColor="text1"/>
                <w:sz w:val="21"/>
                <w:szCs w:val="21"/>
                <w14:textFill>
                  <w14:solidFill>
                    <w14:schemeClr w14:val="tx1"/>
                  </w14:solidFill>
                </w14:textFill>
              </w:rPr>
              <w:t>采用节能环保型柴油动力设备，并适当提高排气筒高度；采用符合标准的柴油</w:t>
            </w:r>
          </w:p>
        </w:tc>
        <w:tc>
          <w:tcPr>
            <w:tcW w:w="1330" w:type="pct"/>
            <w:vMerge w:val="restart"/>
            <w:tcBorders>
              <w:tl2br w:val="nil"/>
              <w:tr2bl w:val="nil"/>
            </w:tcBorders>
            <w:vAlign w:val="center"/>
          </w:tcPr>
          <w:p>
            <w:pP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bCs/>
                <w:color w:val="000000" w:themeColor="text1"/>
                <w:sz w:val="21"/>
                <w:szCs w:val="21"/>
                <w14:textFill>
                  <w14:solidFill>
                    <w14:schemeClr w14:val="tx1"/>
                  </w14:solidFill>
                </w14:textFill>
              </w:rPr>
              <w:t>满足《非道路移动机械用柴油机排气污染物排放限值及测量方法(中国第三、四阶段）》（GB20891-2014）的要求及《大气污染物综合排放标准》（GB16297-1996）表2无组织监控浓度限值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color w:val="000000" w:themeColor="text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NO</w:t>
            </w:r>
            <w:r>
              <w:rPr>
                <w:color w:val="000000" w:themeColor="text1"/>
                <w:sz w:val="21"/>
                <w:szCs w:val="21"/>
                <w:vertAlign w:val="subscript"/>
                <w14:textFill>
                  <w14:solidFill>
                    <w14:schemeClr w14:val="tx1"/>
                  </w14:solidFill>
                </w14:textFill>
              </w:rPr>
              <w:t>X</w:t>
            </w:r>
          </w:p>
        </w:tc>
        <w:tc>
          <w:tcPr>
            <w:tcW w:w="172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SO</w:t>
            </w:r>
            <w:r>
              <w:rPr>
                <w:color w:val="000000" w:themeColor="text1"/>
                <w:sz w:val="21"/>
                <w:szCs w:val="21"/>
                <w:vertAlign w:val="subscript"/>
                <w14:textFill>
                  <w14:solidFill>
                    <w14:schemeClr w14:val="tx1"/>
                  </w14:solidFill>
                </w14:textFill>
              </w:rPr>
              <w:t>2</w:t>
            </w:r>
          </w:p>
        </w:tc>
        <w:tc>
          <w:tcPr>
            <w:tcW w:w="172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CO</w:t>
            </w:r>
          </w:p>
        </w:tc>
        <w:tc>
          <w:tcPr>
            <w:tcW w:w="172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HC</w:t>
            </w:r>
          </w:p>
        </w:tc>
        <w:tc>
          <w:tcPr>
            <w:tcW w:w="172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钻探</w:t>
            </w:r>
          </w:p>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平整场地</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扬尘</w:t>
            </w:r>
          </w:p>
        </w:tc>
        <w:tc>
          <w:tcPr>
            <w:tcW w:w="1723" w:type="pct"/>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施工场地洒水抑尘</w:t>
            </w:r>
            <w:r>
              <w:rPr>
                <w:rFonts w:hint="eastAsia"/>
                <w:color w:val="000000" w:themeColor="text1"/>
                <w:sz w:val="21"/>
                <w:szCs w:val="21"/>
                <w:lang w:eastAsia="zh-CN"/>
                <w14:textFill>
                  <w14:solidFill>
                    <w14:schemeClr w14:val="tx1"/>
                  </w14:solidFill>
                </w14:textFill>
              </w:rPr>
              <w:t>、运料车及弃土加盖篷布，大风天气停止土方作业等</w:t>
            </w:r>
          </w:p>
        </w:tc>
        <w:tc>
          <w:tcPr>
            <w:tcW w:w="1330" w:type="pct"/>
            <w:tcBorders>
              <w:tl2br w:val="nil"/>
              <w:tr2bl w:val="nil"/>
            </w:tcBorders>
            <w:vAlign w:val="center"/>
          </w:tcPr>
          <w:p>
            <w:pPr>
              <w:pStyle w:val="7"/>
              <w:spacing w:line="260" w:lineRule="exact"/>
              <w:ind w:firstLine="0" w:firstLineChars="0"/>
              <w:rPr>
                <w:rFonts w:hint="default" w:ascii="Times New Roman" w:hAnsi="Times New Roman" w:cs="Times New Roman"/>
                <w:bCs/>
                <w:color w:val="000000" w:themeColor="text1"/>
                <w:sz w:val="21"/>
                <w:szCs w:val="21"/>
                <w14:textFill>
                  <w14:solidFill>
                    <w14:schemeClr w14:val="tx1"/>
                  </w14:solidFill>
                </w14:textFill>
              </w:rPr>
            </w:pPr>
            <w:r>
              <w:rPr>
                <w:rFonts w:hint="default" w:ascii="Times New Roman" w:hAnsi="Times New Roman" w:cs="Times New Roman"/>
                <w:snapToGrid w:val="0"/>
                <w:color w:val="000000" w:themeColor="text1"/>
                <w:sz w:val="21"/>
                <w:szCs w:val="21"/>
                <w:lang w:eastAsia="zh-CN"/>
                <w14:textFill>
                  <w14:solidFill>
                    <w14:schemeClr w14:val="tx1"/>
                  </w14:solidFill>
                </w14:textFill>
              </w:rPr>
              <w:t>《大气污染物综合排放标准》</w:t>
            </w:r>
            <w:r>
              <w:rPr>
                <w:rFonts w:hint="eastAsia" w:ascii="Times New Roman" w:hAnsi="Times New Roman" w:cs="Times New Roman"/>
                <w:snapToGrid w:val="0"/>
                <w:color w:val="000000" w:themeColor="text1"/>
                <w:sz w:val="21"/>
                <w:szCs w:val="21"/>
                <w:lang w:eastAsia="zh-CN"/>
                <w14:textFill>
                  <w14:solidFill>
                    <w14:schemeClr w14:val="tx1"/>
                  </w14:solidFill>
                </w14:textFill>
              </w:rPr>
              <w:t>（</w:t>
            </w:r>
            <w:r>
              <w:rPr>
                <w:rFonts w:hint="default" w:ascii="Times New Roman" w:hAnsi="Times New Roman" w:cs="Times New Roman"/>
                <w:snapToGrid w:val="0"/>
                <w:color w:val="000000" w:themeColor="text1"/>
                <w:sz w:val="21"/>
                <w:szCs w:val="21"/>
                <w:lang w:eastAsia="zh-CN"/>
                <w14:textFill>
                  <w14:solidFill>
                    <w14:schemeClr w14:val="tx1"/>
                  </w14:solidFill>
                </w14:textFill>
              </w:rPr>
              <w:t>GB16297-1996</w:t>
            </w:r>
            <w:r>
              <w:rPr>
                <w:rFonts w:hint="eastAsia" w:ascii="Times New Roman" w:hAnsi="Times New Roman" w:cs="Times New Roman"/>
                <w:snapToGrid w:val="0"/>
                <w:color w:val="000000" w:themeColor="text1"/>
                <w:sz w:val="21"/>
                <w:szCs w:val="21"/>
                <w:lang w:eastAsia="zh-CN"/>
                <w14:textFill>
                  <w14:solidFill>
                    <w14:schemeClr w14:val="tx1"/>
                  </w14:solidFill>
                </w14:textFill>
              </w:rPr>
              <w:t>）</w:t>
            </w:r>
            <w:r>
              <w:rPr>
                <w:rFonts w:hint="default" w:ascii="Times New Roman" w:hAnsi="Times New Roman" w:cs="Times New Roman"/>
                <w:snapToGrid w:val="0"/>
                <w:color w:val="000000" w:themeColor="text1"/>
                <w:sz w:val="21"/>
                <w:szCs w:val="21"/>
                <w:lang w:eastAsia="zh-CN"/>
                <w14:textFill>
                  <w14:solidFill>
                    <w14:schemeClr w14:val="tx1"/>
                  </w14:solidFill>
                </w14:textFill>
              </w:rPr>
              <w:t>表2无组织监控浓度限值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09"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水污</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染物</w:t>
            </w:r>
          </w:p>
        </w:tc>
        <w:tc>
          <w:tcPr>
            <w:tcW w:w="743" w:type="pct"/>
            <w:vMerge w:val="restart"/>
            <w:tcBorders>
              <w:tl2br w:val="nil"/>
              <w:tr2bl w:val="nil"/>
            </w:tcBorders>
            <w:vAlign w:val="center"/>
          </w:tcPr>
          <w:p>
            <w:pPr>
              <w:jc w:val="center"/>
              <w:rPr>
                <w:rFonts w:hint="eastAsia" w:eastAsia="宋体"/>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生活污水</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COD</w:t>
            </w:r>
          </w:p>
        </w:tc>
        <w:tc>
          <w:tcPr>
            <w:tcW w:w="3364" w:type="dxa"/>
            <w:vMerge w:val="restart"/>
            <w:tcBorders>
              <w:tl2br w:val="nil"/>
              <w:tr2bl w:val="nil"/>
            </w:tcBorders>
            <w:vAlign w:val="center"/>
          </w:tcPr>
          <w:p>
            <w:pPr>
              <w:widowControl/>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生活污水主要为盥洗水，沉淀处理后用于</w:t>
            </w:r>
            <w:r>
              <w:rPr>
                <w:rFonts w:hint="eastAsia"/>
                <w:color w:val="000000" w:themeColor="text1"/>
                <w:sz w:val="21"/>
                <w:szCs w:val="21"/>
                <w:lang w:eastAsia="zh-CN"/>
                <w14:textFill>
                  <w14:solidFill>
                    <w14:schemeClr w14:val="tx1"/>
                  </w14:solidFill>
                </w14:textFill>
              </w:rPr>
              <w:t>防尘洒水</w:t>
            </w:r>
          </w:p>
        </w:tc>
        <w:tc>
          <w:tcPr>
            <w:tcW w:w="1330"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color w:val="000000" w:themeColor="text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BOD</w:t>
            </w:r>
            <w:r>
              <w:rPr>
                <w:color w:val="000000" w:themeColor="text1"/>
                <w:sz w:val="21"/>
                <w:szCs w:val="21"/>
                <w:vertAlign w:val="subscript"/>
                <w14:textFill>
                  <w14:solidFill>
                    <w14:schemeClr w14:val="tx1"/>
                  </w14:solidFill>
                </w14:textFill>
              </w:rPr>
              <w:t>5</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氨氮</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531"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SS</w:t>
            </w:r>
          </w:p>
        </w:tc>
        <w:tc>
          <w:tcPr>
            <w:tcW w:w="1723" w:type="pct"/>
            <w:vMerge w:val="continue"/>
            <w:tcBorders>
              <w:tl2br w:val="nil"/>
              <w:tr2bl w:val="nil"/>
            </w:tcBorders>
            <w:vAlign w:val="center"/>
          </w:tcPr>
          <w:p>
            <w:pPr>
              <w:jc w:val="left"/>
              <w:rPr>
                <w:rFonts w:hint="eastAsia"/>
                <w:color w:val="000000" w:themeColor="text1"/>
                <w:sz w:val="21"/>
                <w:szCs w:val="21"/>
                <w14:textFill>
                  <w14:solidFill>
                    <w14:schemeClr w14:val="tx1"/>
                  </w14:solidFill>
                </w14:textFill>
              </w:rPr>
            </w:pPr>
          </w:p>
        </w:tc>
        <w:tc>
          <w:tcPr>
            <w:tcW w:w="1330" w:type="pct"/>
            <w:vMerge w:val="continue"/>
            <w:tcBorders>
              <w:tl2br w:val="nil"/>
              <w:tr2bl w:val="nil"/>
            </w:tcBorders>
            <w:vAlign w:val="center"/>
          </w:tcPr>
          <w:p>
            <w:pPr>
              <w:jc w:val="center"/>
              <w:rPr>
                <w:rFonts w:hint="eastAsia"/>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生产废水</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SS</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钻井</w:t>
            </w:r>
            <w:r>
              <w:rPr>
                <w:color w:val="000000" w:themeColor="text1"/>
                <w:sz w:val="21"/>
                <w:szCs w:val="21"/>
                <w:lang w:eastAsia="zh-CN"/>
                <w14:textFill>
                  <w14:solidFill>
                    <w14:schemeClr w14:val="tx1"/>
                  </w14:solidFill>
                </w14:textFill>
              </w:rPr>
              <w:t>泥浆池中的上清液循环使用，</w:t>
            </w:r>
            <w:r>
              <w:rPr>
                <w:rFonts w:hint="eastAsia"/>
                <w:color w:val="000000" w:themeColor="text1"/>
                <w:sz w:val="21"/>
                <w:szCs w:val="21"/>
                <w:lang w:eastAsia="zh-CN"/>
                <w14:textFill>
                  <w14:solidFill>
                    <w14:schemeClr w14:val="tx1"/>
                  </w14:solidFill>
                </w14:textFill>
              </w:rPr>
              <w:t>过程需补充一定消耗水量，</w:t>
            </w:r>
            <w:r>
              <w:rPr>
                <w:color w:val="000000" w:themeColor="text1"/>
                <w:sz w:val="21"/>
                <w:szCs w:val="21"/>
                <w:lang w:eastAsia="zh-CN"/>
                <w14:textFill>
                  <w14:solidFill>
                    <w14:schemeClr w14:val="tx1"/>
                  </w14:solidFill>
                </w14:textFill>
              </w:rPr>
              <w:t>废水全部循环</w:t>
            </w:r>
            <w:r>
              <w:rPr>
                <w:rFonts w:hint="eastAsia"/>
                <w:color w:val="000000" w:themeColor="text1"/>
                <w:sz w:val="21"/>
                <w:szCs w:val="21"/>
                <w:lang w:eastAsia="zh-CN"/>
                <w14:textFill>
                  <w14:solidFill>
                    <w14:schemeClr w14:val="tx1"/>
                  </w14:solidFill>
                </w14:textFill>
              </w:rPr>
              <w:t>，不外排。设备冲洗废水</w:t>
            </w:r>
            <w:r>
              <w:rPr>
                <w:color w:val="000000" w:themeColor="text1"/>
                <w:sz w:val="21"/>
                <w:szCs w:val="21"/>
                <w:lang w:eastAsia="zh-CN"/>
                <w14:textFill>
                  <w14:solidFill>
                    <w14:schemeClr w14:val="tx1"/>
                  </w14:solidFill>
                </w14:textFill>
              </w:rPr>
              <w:t>进入泥浆池沉淀自然干化，不外排</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固体</w:t>
            </w:r>
          </w:p>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废物</w:t>
            </w:r>
          </w:p>
        </w:tc>
        <w:tc>
          <w:tcPr>
            <w:tcW w:w="743" w:type="pct"/>
            <w:vMerge w:val="restar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钻孔施工</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钻井泥浆</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进入防渗泥浆池，钻孔完毕后填埋</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岩芯</w:t>
            </w:r>
          </w:p>
        </w:tc>
        <w:tc>
          <w:tcPr>
            <w:tcW w:w="3364" w:type="dxa"/>
            <w:tcBorders>
              <w:tl2br w:val="nil"/>
              <w:tr2bl w:val="nil"/>
            </w:tcBorders>
            <w:vAlign w:val="center"/>
          </w:tcPr>
          <w:p>
            <w:pPr>
              <w:jc w:val="left"/>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矿段岩芯放置在岩芯库内，后期带回分析、化验；非矿段岩芯</w:t>
            </w:r>
          </w:p>
          <w:p>
            <w:pPr>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放置在岩芯池内，</w:t>
            </w:r>
            <w:r>
              <w:rPr>
                <w:color w:val="000000" w:themeColor="text1"/>
                <w:sz w:val="21"/>
                <w:szCs w:val="21"/>
                <w:lang w:eastAsia="zh-CN"/>
                <w14:textFill>
                  <w14:solidFill>
                    <w14:schemeClr w14:val="tx1"/>
                  </w14:solidFill>
                </w14:textFill>
              </w:rPr>
              <w:t>钻孔完毕</w:t>
            </w:r>
            <w:r>
              <w:rPr>
                <w:rFonts w:hint="eastAsia"/>
                <w:color w:val="000000" w:themeColor="text1"/>
                <w:sz w:val="21"/>
                <w:szCs w:val="21"/>
                <w:lang w:eastAsia="zh-CN"/>
                <w14:textFill>
                  <w14:solidFill>
                    <w14:schemeClr w14:val="tx1"/>
                  </w14:solidFill>
                </w14:textFill>
              </w:rPr>
              <w:t>后填埋</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剥离表土</w:t>
            </w:r>
          </w:p>
        </w:tc>
        <w:tc>
          <w:tcPr>
            <w:tcW w:w="3364" w:type="dxa"/>
            <w:tcBorders>
              <w:tl2br w:val="nil"/>
              <w:tr2bl w:val="nil"/>
            </w:tcBorders>
            <w:vAlign w:val="center"/>
          </w:tcPr>
          <w:p>
            <w:pPr>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表土就近堆放于钻孔平台，待封孔后用于植被恢复，平整场地</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w:t>
            </w:r>
            <w:r>
              <w:rPr>
                <w:rFonts w:hint="eastAsia"/>
                <w:color w:val="000000" w:themeColor="text1"/>
                <w:sz w:val="21"/>
                <w:szCs w:val="21"/>
                <w:lang w:val="en-US" w:eastAsia="zh-CN"/>
                <w14:textFill>
                  <w14:solidFill>
                    <w14:schemeClr w14:val="tx1"/>
                  </w14:solidFill>
                </w14:textFill>
              </w:rPr>
              <w:t>机</w:t>
            </w:r>
            <w:r>
              <w:rPr>
                <w:color w:val="000000" w:themeColor="text1"/>
                <w:sz w:val="21"/>
                <w:szCs w:val="21"/>
                <w14:textFill>
                  <w14:solidFill>
                    <w14:schemeClr w14:val="tx1"/>
                  </w14:solidFill>
                </w14:textFill>
              </w:rPr>
              <w:t>油</w:t>
            </w:r>
          </w:p>
        </w:tc>
        <w:tc>
          <w:tcPr>
            <w:tcW w:w="3364" w:type="dxa"/>
            <w:tcBorders>
              <w:tl2br w:val="nil"/>
              <w:tr2bl w:val="nil"/>
            </w:tcBorders>
            <w:vAlign w:val="center"/>
          </w:tcPr>
          <w:p>
            <w:pPr>
              <w:autoSpaceDE/>
              <w:autoSpaceDN/>
              <w:spacing w:line="280" w:lineRule="exact"/>
              <w:jc w:val="left"/>
              <w:rPr>
                <w:color w:val="000000" w:themeColor="text1"/>
                <w:sz w:val="21"/>
                <w:szCs w:val="21"/>
                <w14:textFill>
                  <w14:solidFill>
                    <w14:schemeClr w14:val="tx1"/>
                  </w14:solidFill>
                </w14:textFill>
              </w:rPr>
            </w:pPr>
            <w:r>
              <w:rPr>
                <w:rFonts w:hint="eastAsia"/>
                <w:color w:val="000000" w:themeColor="text1"/>
                <w:szCs w:val="21"/>
                <w:lang w:eastAsia="zh-CN"/>
                <w14:textFill>
                  <w14:solidFill>
                    <w14:schemeClr w14:val="tx1"/>
                  </w14:solidFill>
                </w14:textFill>
              </w:rPr>
              <w:t>建设单位收集后交有资质单位处置</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vMerge w:val="continue"/>
            <w:tcBorders>
              <w:tl2br w:val="nil"/>
              <w:tr2bl w:val="nil"/>
            </w:tcBorders>
            <w:vAlign w:val="center"/>
          </w:tcPr>
          <w:p>
            <w:pPr>
              <w:jc w:val="center"/>
              <w:rPr>
                <w:color w:val="000000" w:themeColor="text1"/>
                <w:sz w:val="21"/>
                <w:szCs w:val="21"/>
                <w14:textFill>
                  <w14:solidFill>
                    <w14:schemeClr w14:val="tx1"/>
                  </w14:solidFill>
                </w14:textFill>
              </w:rPr>
            </w:pPr>
          </w:p>
        </w:tc>
        <w:tc>
          <w:tcPr>
            <w:tcW w:w="743" w:type="pct"/>
            <w:tcBorders>
              <w:tl2br w:val="nil"/>
              <w:tr2bl w:val="nil"/>
            </w:tcBorders>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人员生活</w:t>
            </w:r>
          </w:p>
        </w:tc>
        <w:tc>
          <w:tcPr>
            <w:tcW w:w="67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生活垃圾</w:t>
            </w:r>
          </w:p>
        </w:tc>
        <w:tc>
          <w:tcPr>
            <w:tcW w:w="3364" w:type="dxa"/>
            <w:tcBorders>
              <w:tl2br w:val="nil"/>
              <w:tr2bl w:val="nil"/>
            </w:tcBorders>
            <w:vAlign w:val="center"/>
          </w:tcPr>
          <w:p>
            <w:pPr>
              <w:spacing w:line="260" w:lineRule="exact"/>
              <w:jc w:val="left"/>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钻探勘查区生活垃圾用垃圾袋带回项目部，项目部设垃圾桶进行收集，定期送往乡镇垃圾堆放点，由当地环卫部门清理处置</w:t>
            </w:r>
          </w:p>
        </w:tc>
        <w:tc>
          <w:tcPr>
            <w:tcW w:w="1330"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收集处置率100%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531" w:type="pct"/>
            <w:tcBorders>
              <w:tl2br w:val="nil"/>
              <w:tr2bl w:val="nil"/>
            </w:tcBorders>
            <w:vAlign w:val="center"/>
          </w:tcPr>
          <w:p>
            <w:pPr>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噪声</w:t>
            </w:r>
          </w:p>
        </w:tc>
        <w:tc>
          <w:tcPr>
            <w:tcW w:w="4468" w:type="pct"/>
            <w:gridSpan w:val="4"/>
            <w:tcBorders>
              <w:tl2br w:val="nil"/>
              <w:tr2bl w:val="nil"/>
            </w:tcBorders>
            <w:vAlign w:val="center"/>
          </w:tcPr>
          <w:p>
            <w:pP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衬减振垫料，在钻井过程中平稳操作，避免产生非正常的噪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781" w:hRule="atLeast"/>
        </w:trPr>
        <w:tc>
          <w:tcPr>
            <w:tcW w:w="5000" w:type="pct"/>
            <w:gridSpan w:val="5"/>
            <w:tcBorders>
              <w:tl2br w:val="nil"/>
              <w:tr2bl w:val="nil"/>
            </w:tcBorders>
          </w:tcPr>
          <w:p>
            <w:pPr>
              <w:spacing w:line="360" w:lineRule="auto"/>
              <w:rPr>
                <w:b/>
                <w:color w:val="000000" w:themeColor="text1"/>
                <w:sz w:val="24"/>
                <w:szCs w:val="24"/>
                <w:lang w:val="en-GB"/>
                <w14:textFill>
                  <w14:solidFill>
                    <w14:schemeClr w14:val="tx1"/>
                  </w14:solidFill>
                </w14:textFill>
              </w:rPr>
            </w:pPr>
            <w:r>
              <w:rPr>
                <w:b/>
                <w:color w:val="000000" w:themeColor="text1"/>
                <w:sz w:val="24"/>
                <w:szCs w:val="24"/>
                <w14:textFill>
                  <w14:solidFill>
                    <w14:schemeClr w14:val="tx1"/>
                  </w14:solidFill>
                </w14:textFill>
              </w:rPr>
              <w:t>生态保护措施及预期效果</w:t>
            </w:r>
          </w:p>
          <w:p>
            <w:pPr>
              <w:pStyle w:val="27"/>
              <w:keepNext w:val="0"/>
              <w:keepLines w:val="0"/>
              <w:pageBreakBefore w:val="0"/>
              <w:widowControl w:val="0"/>
              <w:kinsoku/>
              <w:wordWrap/>
              <w:overflowPunct/>
              <w:topLinePunct w:val="0"/>
              <w:autoSpaceDE w:val="0"/>
              <w:autoSpaceDN w:val="0"/>
              <w:bidi w:val="0"/>
              <w:adjustRightInd w:val="0"/>
              <w:snapToGrid/>
              <w:spacing w:line="360" w:lineRule="auto"/>
              <w:textAlignment w:val="auto"/>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生态保护原则</w:t>
            </w:r>
          </w:p>
          <w:p>
            <w:pPr>
              <w:spacing w:line="360" w:lineRule="auto"/>
              <w:ind w:firstLine="480" w:firstLineChars="200"/>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cs="Times New Roman"/>
                <w:color w:val="000000" w:themeColor="text1"/>
                <w:sz w:val="24"/>
                <w:lang w:val="en-US" w:eastAsia="zh-CN"/>
                <w14:textFill>
                  <w14:solidFill>
                    <w14:schemeClr w14:val="tx1"/>
                  </w14:solidFill>
                </w14:textFill>
              </w:rPr>
              <w:t>①甘肃省</w:t>
            </w:r>
          </w:p>
          <w:p>
            <w:pPr>
              <w:spacing w:line="360" w:lineRule="auto"/>
              <w:ind w:firstLine="480" w:firstLineChars="200"/>
              <w:rPr>
                <w:rFonts w:hint="eastAsia"/>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根据《甘肃省主体功能区规划》中规定“禁止开发区域包括：国家层面禁止开发区域——国家级自然保护区</w:t>
            </w:r>
            <w:r>
              <w:rPr>
                <w:rFonts w:hint="default" w:ascii="Times New Roman" w:hAnsi="Times New Roman" w:eastAsia="宋体" w:cs="Times New Roman"/>
                <w:color w:val="000000" w:themeColor="text1"/>
                <w:sz w:val="24"/>
                <w:lang w:val="en-US" w:eastAsia="zh-CN"/>
                <w14:textFill>
                  <w14:solidFill>
                    <w14:schemeClr w14:val="tx1"/>
                  </w14:solidFill>
                </w14:textFill>
              </w:rPr>
              <w:t>15</w:t>
            </w:r>
            <w:r>
              <w:rPr>
                <w:rFonts w:hint="eastAsia" w:ascii="Times New Roman" w:hAnsi="Times New Roman" w:eastAsia="宋体" w:cs="Times New Roman"/>
                <w:color w:val="000000" w:themeColor="text1"/>
                <w:sz w:val="24"/>
                <w:lang w:val="en-US" w:eastAsia="zh-CN"/>
                <w14:textFill>
                  <w14:solidFill>
                    <w14:schemeClr w14:val="tx1"/>
                  </w14:solidFill>
                </w14:textFill>
              </w:rPr>
              <w:t>处、世界文化自然遗产</w:t>
            </w:r>
            <w:r>
              <w:rPr>
                <w:rFonts w:hint="default"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处、国家级风景名胜区</w:t>
            </w:r>
            <w:r>
              <w:rPr>
                <w:rFonts w:hint="default" w:ascii="Times New Roman" w:hAnsi="Times New Roman" w:eastAsia="宋体" w:cs="Times New Roman"/>
                <w:color w:val="000000" w:themeColor="text1"/>
                <w:sz w:val="24"/>
                <w:lang w:val="en-US" w:eastAsia="zh-CN"/>
                <w14:textFill>
                  <w14:solidFill>
                    <w14:schemeClr w14:val="tx1"/>
                  </w14:solidFill>
                </w14:textFill>
              </w:rPr>
              <w:t>3</w:t>
            </w:r>
            <w:r>
              <w:rPr>
                <w:rFonts w:hint="eastAsia" w:ascii="Times New Roman" w:hAnsi="Times New Roman" w:eastAsia="宋体" w:cs="Times New Roman"/>
                <w:color w:val="000000" w:themeColor="text1"/>
                <w:sz w:val="24"/>
                <w:lang w:val="en-US" w:eastAsia="zh-CN"/>
                <w14:textFill>
                  <w14:solidFill>
                    <w14:schemeClr w14:val="tx1"/>
                  </w14:solidFill>
                </w14:textFill>
              </w:rPr>
              <w:t>处、国家森林公园</w:t>
            </w:r>
            <w:r>
              <w:rPr>
                <w:rFonts w:hint="default" w:ascii="Times New Roman" w:hAnsi="Times New Roman" w:eastAsia="宋体" w:cs="Times New Roman"/>
                <w:color w:val="000000" w:themeColor="text1"/>
                <w:sz w:val="24"/>
                <w:lang w:val="en-US" w:eastAsia="zh-CN"/>
                <w14:textFill>
                  <w14:solidFill>
                    <w14:schemeClr w14:val="tx1"/>
                  </w14:solidFill>
                </w14:textFill>
              </w:rPr>
              <w:t>21</w:t>
            </w:r>
            <w:r>
              <w:rPr>
                <w:rFonts w:hint="eastAsia" w:ascii="Times New Roman" w:hAnsi="Times New Roman" w:eastAsia="宋体" w:cs="Times New Roman"/>
                <w:color w:val="000000" w:themeColor="text1"/>
                <w:sz w:val="24"/>
                <w:lang w:val="en-US" w:eastAsia="zh-CN"/>
                <w14:textFill>
                  <w14:solidFill>
                    <w14:schemeClr w14:val="tx1"/>
                  </w14:solidFill>
                </w14:textFill>
              </w:rPr>
              <w:t>处、国家地质公园</w:t>
            </w:r>
            <w:r>
              <w:rPr>
                <w:rFonts w:hint="default" w:ascii="Times New Roman" w:hAnsi="Times New Roman" w:eastAsia="宋体" w:cs="Times New Roman"/>
                <w:color w:val="000000" w:themeColor="text1"/>
                <w:sz w:val="24"/>
                <w:lang w:val="en-US" w:eastAsia="zh-CN"/>
                <w14:textFill>
                  <w14:solidFill>
                    <w14:schemeClr w14:val="tx1"/>
                  </w14:solidFill>
                </w14:textFill>
              </w:rPr>
              <w:t>4</w:t>
            </w:r>
            <w:r>
              <w:rPr>
                <w:rFonts w:hint="eastAsia" w:ascii="Times New Roman" w:hAnsi="Times New Roman" w:eastAsia="宋体" w:cs="Times New Roman"/>
                <w:color w:val="000000" w:themeColor="text1"/>
                <w:sz w:val="24"/>
                <w:lang w:val="en-US" w:eastAsia="zh-CN"/>
                <w14:textFill>
                  <w14:solidFill>
                    <w14:schemeClr w14:val="tx1"/>
                  </w14:solidFill>
                </w14:textFill>
              </w:rPr>
              <w:t>处、湿地和湿地公园</w:t>
            </w:r>
            <w:r>
              <w:rPr>
                <w:rFonts w:hint="default"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处，国家层面禁止开发区域共</w:t>
            </w:r>
            <w:r>
              <w:rPr>
                <w:rFonts w:hint="default" w:ascii="Times New Roman" w:hAnsi="Times New Roman" w:eastAsia="宋体" w:cs="Times New Roman"/>
                <w:color w:val="000000" w:themeColor="text1"/>
                <w:sz w:val="24"/>
                <w:lang w:val="en-US" w:eastAsia="zh-CN"/>
                <w14:textFill>
                  <w14:solidFill>
                    <w14:schemeClr w14:val="tx1"/>
                  </w14:solidFill>
                </w14:textFill>
              </w:rPr>
              <w:t>47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处。省级层面禁止开发区域</w:t>
            </w:r>
            <w:r>
              <w:rPr>
                <w:rFonts w:hint="default" w:ascii="Times New Roman" w:hAnsi="Times New Roman" w:eastAsia="宋体" w:cs="Times New Roman"/>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省级自然保护区</w:t>
            </w:r>
            <w:r>
              <w:rPr>
                <w:rFonts w:hint="default" w:ascii="Times New Roman" w:hAnsi="Times New Roman" w:eastAsia="宋体" w:cs="Times New Roman"/>
                <w:color w:val="000000" w:themeColor="text1"/>
                <w:sz w:val="24"/>
                <w:lang w:val="en-US" w:eastAsia="zh-CN"/>
                <w14:textFill>
                  <w14:solidFill>
                    <w14:schemeClr w14:val="tx1"/>
                  </w14:solidFill>
                </w14:textFill>
              </w:rPr>
              <w:t>39</w:t>
            </w:r>
            <w:r>
              <w:rPr>
                <w:rFonts w:hint="eastAsia" w:ascii="Times New Roman" w:hAnsi="Times New Roman" w:eastAsia="宋体" w:cs="Times New Roman"/>
                <w:color w:val="000000" w:themeColor="text1"/>
                <w:sz w:val="24"/>
                <w:lang w:val="en-US" w:eastAsia="zh-CN"/>
                <w14:textFill>
                  <w14:solidFill>
                    <w14:schemeClr w14:val="tx1"/>
                  </w14:solidFill>
                </w14:textFill>
              </w:rPr>
              <w:t>处、省级风景名胜区</w:t>
            </w:r>
            <w:r>
              <w:rPr>
                <w:rFonts w:hint="default" w:ascii="Times New Roman" w:hAnsi="Times New Roman" w:eastAsia="宋体" w:cs="Times New Roman"/>
                <w:color w:val="000000" w:themeColor="text1"/>
                <w:sz w:val="24"/>
                <w:lang w:val="en-US" w:eastAsia="zh-CN"/>
                <w14:textFill>
                  <w14:solidFill>
                    <w14:schemeClr w14:val="tx1"/>
                  </w14:solidFill>
                </w14:textFill>
              </w:rPr>
              <w:t>20</w:t>
            </w:r>
            <w:r>
              <w:rPr>
                <w:rFonts w:hint="eastAsia" w:ascii="Times New Roman" w:hAnsi="Times New Roman" w:eastAsia="宋体" w:cs="Times New Roman"/>
                <w:color w:val="000000" w:themeColor="text1"/>
                <w:sz w:val="24"/>
                <w:lang w:val="en-US" w:eastAsia="zh-CN"/>
                <w14:textFill>
                  <w14:solidFill>
                    <w14:schemeClr w14:val="tx1"/>
                  </w14:solidFill>
                </w14:textFill>
              </w:rPr>
              <w:t>处、省级森林公园</w:t>
            </w:r>
            <w:r>
              <w:rPr>
                <w:rFonts w:hint="default" w:ascii="Times New Roman" w:hAnsi="Times New Roman" w:eastAsia="宋体" w:cs="Times New Roman"/>
                <w:color w:val="000000" w:themeColor="text1"/>
                <w:sz w:val="24"/>
                <w:lang w:val="en-US" w:eastAsia="zh-CN"/>
                <w14:textFill>
                  <w14:solidFill>
                    <w14:schemeClr w14:val="tx1"/>
                  </w14:solidFill>
                </w14:textFill>
              </w:rPr>
              <w:t>61</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处、省级地质公园</w:t>
            </w:r>
            <w:r>
              <w:rPr>
                <w:rFonts w:hint="default" w:ascii="Times New Roman" w:hAnsi="Times New Roman" w:eastAsia="宋体" w:cs="Times New Roman"/>
                <w:color w:val="000000" w:themeColor="text1"/>
                <w:sz w:val="24"/>
                <w:lang w:val="en-US" w:eastAsia="zh-CN"/>
                <w14:textFill>
                  <w14:solidFill>
                    <w14:schemeClr w14:val="tx1"/>
                  </w14:solidFill>
                </w14:textFill>
              </w:rPr>
              <w:t>17</w:t>
            </w:r>
            <w:r>
              <w:rPr>
                <w:rFonts w:hint="eastAsia" w:ascii="Times New Roman" w:hAnsi="Times New Roman" w:eastAsia="宋体" w:cs="Times New Roman"/>
                <w:color w:val="000000" w:themeColor="text1"/>
                <w:sz w:val="24"/>
                <w:lang w:val="en-US" w:eastAsia="zh-CN"/>
                <w14:textFill>
                  <w14:solidFill>
                    <w14:schemeClr w14:val="tx1"/>
                  </w14:solidFill>
                </w14:textFill>
              </w:rPr>
              <w:t>处、湿地和湿地公园</w:t>
            </w:r>
            <w:r>
              <w:rPr>
                <w:rFonts w:hint="default" w:ascii="Times New Roman" w:hAnsi="Times New Roman" w:eastAsia="宋体" w:cs="Times New Roman"/>
                <w:color w:val="000000" w:themeColor="text1"/>
                <w:sz w:val="24"/>
                <w:lang w:val="en-US" w:eastAsia="zh-CN"/>
                <w14:textFill>
                  <w14:solidFill>
                    <w14:schemeClr w14:val="tx1"/>
                  </w14:solidFill>
                </w14:textFill>
              </w:rPr>
              <w:t>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处，省级层面禁止开发区域共</w:t>
            </w:r>
            <w:r>
              <w:rPr>
                <w:rFonts w:hint="default" w:ascii="Times New Roman" w:hAnsi="Times New Roman" w:eastAsia="宋体" w:cs="Times New Roman"/>
                <w:color w:val="000000" w:themeColor="text1"/>
                <w:sz w:val="24"/>
                <w:lang w:val="en-US" w:eastAsia="zh-CN"/>
                <w14:textFill>
                  <w14:solidFill>
                    <w14:schemeClr w14:val="tx1"/>
                  </w14:solidFill>
                </w14:textFill>
              </w:rPr>
              <w:t>144</w:t>
            </w:r>
            <w:r>
              <w:rPr>
                <w:rFonts w:hint="eastAsia" w:ascii="Times New Roman" w:hAnsi="Times New Roman" w:eastAsia="宋体" w:cs="Times New Roman"/>
                <w:color w:val="000000" w:themeColor="text1"/>
                <w:sz w:val="24"/>
                <w:lang w:val="en-US" w:eastAsia="zh-CN"/>
                <w14:textFill>
                  <w14:solidFill>
                    <w14:schemeClr w14:val="tx1"/>
                  </w14:solidFill>
                </w14:textFill>
              </w:rPr>
              <w:t>处。国家级和省级自然保护区、世界文化自然遗产、风景名胜区、森林公园、地质公园、湿地公园共计191处，其中国家级</w:t>
            </w:r>
            <w:r>
              <w:rPr>
                <w:rFonts w:hint="default" w:ascii="Times New Roman" w:hAnsi="Times New Roman" w:eastAsia="宋体" w:cs="Times New Roman"/>
                <w:color w:val="000000" w:themeColor="text1"/>
                <w:sz w:val="24"/>
                <w:lang w:val="en-US" w:eastAsia="zh-CN"/>
                <w14:textFill>
                  <w14:solidFill>
                    <w14:schemeClr w14:val="tx1"/>
                  </w14:solidFill>
                </w14:textFill>
              </w:rPr>
              <w:t>47</w:t>
            </w:r>
            <w:r>
              <w:rPr>
                <w:rFonts w:hint="eastAsia" w:ascii="Times New Roman" w:hAnsi="Times New Roman" w:eastAsia="宋体" w:cs="Times New Roman"/>
                <w:color w:val="000000" w:themeColor="text1"/>
                <w:sz w:val="24"/>
                <w:lang w:val="en-US" w:eastAsia="zh-CN"/>
                <w14:textFill>
                  <w14:solidFill>
                    <w14:schemeClr w14:val="tx1"/>
                  </w14:solidFill>
                </w14:textFill>
              </w:rPr>
              <w:t>处，省级</w:t>
            </w:r>
            <w:r>
              <w:rPr>
                <w:rFonts w:hint="default" w:ascii="Times New Roman" w:hAnsi="Times New Roman" w:eastAsia="宋体" w:cs="Times New Roman"/>
                <w:color w:val="000000" w:themeColor="text1"/>
                <w:sz w:val="24"/>
                <w:lang w:val="en-US" w:eastAsia="zh-CN"/>
                <w14:textFill>
                  <w14:solidFill>
                    <w14:schemeClr w14:val="tx1"/>
                  </w14:solidFill>
                </w14:textFill>
              </w:rPr>
              <w:t>144</w:t>
            </w:r>
            <w:r>
              <w:rPr>
                <w:rFonts w:hint="eastAsia" w:ascii="Times New Roman" w:hAnsi="Times New Roman" w:eastAsia="宋体" w:cs="Times New Roman"/>
                <w:color w:val="000000" w:themeColor="text1"/>
                <w:sz w:val="24"/>
                <w:lang w:val="en-US" w:eastAsia="zh-CN"/>
                <w14:textFill>
                  <w14:solidFill>
                    <w14:schemeClr w14:val="tx1"/>
                  </w14:solidFill>
                </w14:textFill>
              </w:rPr>
              <w:t>处。禁止开发区域面积为</w:t>
            </w:r>
            <w:r>
              <w:rPr>
                <w:rFonts w:hint="default" w:ascii="Times New Roman" w:hAnsi="Times New Roman" w:eastAsia="宋体" w:cs="Times New Roman"/>
                <w:color w:val="000000" w:themeColor="text1"/>
                <w:sz w:val="24"/>
                <w:lang w:val="en-US" w:eastAsia="zh-CN"/>
                <w14:textFill>
                  <w14:solidFill>
                    <w14:schemeClr w14:val="tx1"/>
                  </w14:solidFill>
                </w14:textFill>
              </w:rPr>
              <w:t>75843.34km</w:t>
            </w:r>
            <w:r>
              <w:rPr>
                <w:rFonts w:hint="default" w:ascii="Times New Roman" w:hAnsi="Times New Roman" w:eastAsia="宋体" w:cs="Times New Roman"/>
                <w:color w:val="000000" w:themeColor="text1"/>
                <w:sz w:val="24"/>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4"/>
                <w:lang w:val="en-US" w:eastAsia="zh-CN"/>
                <w14:textFill>
                  <w14:solidFill>
                    <w14:schemeClr w14:val="tx1"/>
                  </w14:solidFill>
                </w14:textFill>
              </w:rPr>
              <w:t xml:space="preserve">，占全省总面积的 </w:t>
            </w:r>
            <w:r>
              <w:rPr>
                <w:rFonts w:hint="default" w:ascii="Times New Roman" w:hAnsi="Times New Roman" w:eastAsia="宋体" w:cs="Times New Roman"/>
                <w:color w:val="000000" w:themeColor="text1"/>
                <w:sz w:val="24"/>
                <w:lang w:val="en-US" w:eastAsia="zh-CN"/>
                <w14:textFill>
                  <w14:solidFill>
                    <w14:schemeClr w14:val="tx1"/>
                  </w14:solidFill>
                </w14:textFill>
              </w:rPr>
              <w:t>17.81%</w:t>
            </w:r>
            <w:r>
              <w:rPr>
                <w:rFonts w:hint="eastAsia" w:ascii="Times New Roman" w:hAnsi="Times New Roman" w:eastAsia="宋体" w:cs="Times New Roman"/>
                <w:color w:val="000000" w:themeColor="text1"/>
                <w:sz w:val="24"/>
                <w:lang w:val="en-US" w:eastAsia="zh-CN"/>
                <w14:textFill>
                  <w14:solidFill>
                    <w14:schemeClr w14:val="tx1"/>
                  </w14:solidFill>
                </w14:textFill>
              </w:rPr>
              <w:t>。</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根据《甘肃省人民政府关于实施“三线一单”生态功能分区管控的意见》（甘政发[2020]68号），</w:t>
            </w:r>
            <w:r>
              <w:rPr>
                <w:rFonts w:hint="eastAsia"/>
                <w:color w:val="000000" w:themeColor="text1"/>
                <w:sz w:val="24"/>
                <w14:textFill>
                  <w14:solidFill>
                    <w14:schemeClr w14:val="tx1"/>
                  </w14:solidFill>
                </w14:textFill>
              </w:rPr>
              <w:t>全省共划定环境管控单元842个，分为优先保护单元、重点管控单元和一般管控单元三类，实施分类管控。优先保护单元共491个，主要包括生态保护红线、自然保护地、集中式饮用水水源保护区等生态功能重要区和生态环境敏感区。一重点管控单元共263个，主要包括中心城区和城镇规划区、各级各类工业园区及工业集聚区等开发强度高、环境问题相对集中的区域。</w:t>
            </w:r>
            <w:r>
              <w:rPr>
                <w:rFonts w:hint="eastAsia"/>
                <w:color w:val="000000" w:themeColor="text1"/>
                <w:sz w:val="24"/>
                <w:lang w:val="en-US" w:eastAsia="zh-CN"/>
                <w14:textFill>
                  <w14:solidFill>
                    <w14:schemeClr w14:val="tx1"/>
                  </w14:solidFill>
                </w14:textFill>
              </w:rPr>
              <w:t>一</w:t>
            </w:r>
            <w:r>
              <w:rPr>
                <w:rFonts w:hint="eastAsia"/>
                <w:color w:val="000000" w:themeColor="text1"/>
                <w:sz w:val="24"/>
                <w14:textFill>
                  <w14:solidFill>
                    <w14:schemeClr w14:val="tx1"/>
                  </w14:solidFill>
                </w14:textFill>
              </w:rPr>
              <w:t>般管控单元共88个，主要包括先保护单元、重点管控单元以外的区域。</w:t>
            </w:r>
          </w:p>
          <w:p>
            <w:pPr>
              <w:spacing w:line="360" w:lineRule="auto"/>
              <w:ind w:firstLine="480" w:firstLineChars="2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②</w:t>
            </w:r>
            <w:r>
              <w:rPr>
                <w:rFonts w:hint="eastAsia"/>
                <w:color w:val="000000" w:themeColor="text1"/>
                <w:sz w:val="24"/>
                <w14:textFill>
                  <w14:solidFill>
                    <w14:schemeClr w14:val="tx1"/>
                  </w14:solidFill>
                </w14:textFill>
              </w:rPr>
              <w:t>内蒙古自治区</w:t>
            </w:r>
          </w:p>
          <w:p>
            <w:pPr>
              <w:spacing w:line="360" w:lineRule="auto"/>
              <w:ind w:firstLine="480" w:firstLineChars="200"/>
              <w:rPr>
                <w:rFonts w:hint="eastAsia" w:ascii="Times New Roman" w:hAnsi="Times New Roman" w:eastAsia="宋体" w:cs="Times New Roman"/>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根据《内蒙古自治区主体功能区规划》，内蒙古自治区禁止开发区域共有3</w:t>
            </w:r>
            <w:r>
              <w:rPr>
                <w:color w:val="000000" w:themeColor="text1"/>
                <w:sz w:val="24"/>
                <w14:textFill>
                  <w14:solidFill>
                    <w14:schemeClr w14:val="tx1"/>
                  </w14:solidFill>
                </w14:textFill>
              </w:rPr>
              <w:t>18</w:t>
            </w:r>
            <w:r>
              <w:rPr>
                <w:rFonts w:hint="eastAsia"/>
                <w:color w:val="000000" w:themeColor="text1"/>
                <w:sz w:val="24"/>
                <w14:textFill>
                  <w14:solidFill>
                    <w14:schemeClr w14:val="tx1"/>
                  </w14:solidFill>
                </w14:textFill>
              </w:rPr>
              <w:t>处，其中国家级禁止开发区域5</w:t>
            </w:r>
            <w:r>
              <w:rPr>
                <w:color w:val="000000" w:themeColor="text1"/>
                <w:sz w:val="24"/>
                <w14:textFill>
                  <w14:solidFill>
                    <w14:schemeClr w14:val="tx1"/>
                  </w14:solidFill>
                </w14:textFill>
              </w:rPr>
              <w:t>9</w:t>
            </w:r>
            <w:r>
              <w:rPr>
                <w:rFonts w:hint="eastAsia"/>
                <w:color w:val="000000" w:themeColor="text1"/>
                <w:sz w:val="24"/>
                <w14:textFill>
                  <w14:solidFill>
                    <w14:schemeClr w14:val="tx1"/>
                  </w14:solidFill>
                </w14:textFill>
              </w:rPr>
              <w:t>处，占全区国土面积的</w:t>
            </w:r>
            <w:r>
              <w:rPr>
                <w:color w:val="000000" w:themeColor="text1"/>
                <w:sz w:val="24"/>
                <w14:textFill>
                  <w14:solidFill>
                    <w14:schemeClr w14:val="tx1"/>
                  </w14:solidFill>
                </w14:textFill>
              </w:rPr>
              <w:t>4.41</w:t>
            </w:r>
            <w:r>
              <w:rPr>
                <w:rFonts w:hint="eastAsia"/>
                <w:color w:val="000000" w:themeColor="text1"/>
                <w:sz w:val="24"/>
                <w14:textFill>
                  <w14:solidFill>
                    <w14:schemeClr w14:val="tx1"/>
                  </w14:solidFill>
                </w14:textFill>
              </w:rPr>
              <w:t>%；自治区级以下禁止开发区域2</w:t>
            </w:r>
            <w:r>
              <w:rPr>
                <w:color w:val="000000" w:themeColor="text1"/>
                <w:sz w:val="24"/>
                <w14:textFill>
                  <w14:solidFill>
                    <w14:schemeClr w14:val="tx1"/>
                  </w14:solidFill>
                </w14:textFill>
              </w:rPr>
              <w:t>59</w:t>
            </w:r>
            <w:r>
              <w:rPr>
                <w:rFonts w:hint="eastAsia"/>
                <w:color w:val="000000" w:themeColor="text1"/>
                <w:sz w:val="24"/>
                <w14:textFill>
                  <w14:solidFill>
                    <w14:schemeClr w14:val="tx1"/>
                  </w14:solidFill>
                </w14:textFill>
              </w:rPr>
              <w:t>处，</w:t>
            </w:r>
            <w:r>
              <w:rPr>
                <w:rFonts w:hint="eastAsia" w:ascii="Times New Roman" w:hAnsi="Times New Roman" w:eastAsia="宋体" w:cs="Times New Roman"/>
                <w:color w:val="000000" w:themeColor="text1"/>
                <w:sz w:val="24"/>
                <w14:textFill>
                  <w14:solidFill>
                    <w14:schemeClr w14:val="tx1"/>
                  </w14:solidFill>
                </w14:textFill>
              </w:rPr>
              <w:t>占全区国土面积的10.86%。</w:t>
            </w:r>
          </w:p>
          <w:p>
            <w:pPr>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根据《内蒙古自治区“三线一单”生态环境分区管控的通知》（内政发[2020]24号），</w:t>
            </w:r>
            <w:r>
              <w:rPr>
                <w:rFonts w:hint="default" w:ascii="Times New Roman" w:hAnsi="Times New Roman" w:eastAsia="宋体" w:cs="Times New Roman"/>
                <w:color w:val="000000" w:themeColor="text1"/>
                <w:sz w:val="24"/>
                <w14:textFill>
                  <w14:solidFill>
                    <w14:schemeClr w14:val="tx1"/>
                  </w14:solidFill>
                </w14:textFill>
              </w:rPr>
              <w:t>全区共划分环境管控单元1135个，包括优先保护单元、重点管控单元、一般管控单元三类，实施分类管控。优先保护单元共422个，面积占比为74.50%。主要包括我区生态保护红线、自然保护地、集中式饮用水水源保护区等生态功能重要区和生态环境敏感区。重点管控单元共651个，面积占比为19.61%。主要包括工业园区、城市、矿区等开发强度高、污染排放量大、环境问题相对集中的区域，以及生态需水补给区等。一般管控单元</w:t>
            </w:r>
            <w:r>
              <w:rPr>
                <w:rFonts w:hint="eastAsia" w:ascii="Times New Roman" w:hAnsi="Times New Roman" w:eastAsia="宋体" w:cs="Times New Roman"/>
                <w:color w:val="000000" w:themeColor="text1"/>
                <w:sz w:val="24"/>
                <w:lang w:val="en-US" w:eastAsia="zh-CN"/>
                <w14:textFill>
                  <w14:solidFill>
                    <w14:schemeClr w14:val="tx1"/>
                  </w14:solidFill>
                </w14:textFill>
              </w:rPr>
              <w:t>包括</w:t>
            </w:r>
            <w:r>
              <w:rPr>
                <w:rFonts w:hint="default" w:ascii="Times New Roman" w:hAnsi="Times New Roman" w:eastAsia="宋体" w:cs="Times New Roman"/>
                <w:color w:val="000000" w:themeColor="text1"/>
                <w:sz w:val="24"/>
                <w14:textFill>
                  <w14:solidFill>
                    <w14:schemeClr w14:val="tx1"/>
                  </w14:solidFill>
                </w14:textFill>
              </w:rPr>
              <w:t>优先保护单元、重点管控单元之外</w:t>
            </w:r>
            <w:r>
              <w:rPr>
                <w:rFonts w:hint="eastAsia" w:ascii="Times New Roman" w:hAnsi="Times New Roman" w:eastAsia="宋体" w:cs="Times New Roman"/>
                <w:color w:val="000000" w:themeColor="text1"/>
                <w:sz w:val="24"/>
                <w:lang w:val="en-US" w:eastAsia="zh-CN"/>
                <w14:textFill>
                  <w14:solidFill>
                    <w14:schemeClr w14:val="tx1"/>
                  </w14:solidFill>
                </w14:textFill>
              </w:rPr>
              <w:t>的区域</w:t>
            </w:r>
            <w:r>
              <w:rPr>
                <w:rFonts w:hint="default" w:ascii="Times New Roman" w:hAnsi="Times New Roman" w:eastAsia="宋体" w:cs="Times New Roman"/>
                <w:color w:val="000000" w:themeColor="text1"/>
                <w:sz w:val="24"/>
                <w14:textFill>
                  <w14:solidFill>
                    <w14:schemeClr w14:val="tx1"/>
                  </w14:solidFill>
                </w14:textFill>
              </w:rPr>
              <w:t>，共62个，面积占比为5.89%。该区域主要落实生态环境保护基本要求。</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宁夏回族自治区</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根据《宁夏回族自治区主体功能区规划》</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禁止开发的生态区域包括自然保护区、风景名胜区、国家森林公园、地质公园、湿地公园（及湿地保护与恢复示范区）五类，共</w:t>
            </w:r>
            <w:r>
              <w:rPr>
                <w:color w:val="000000" w:themeColor="text1"/>
                <w:sz w:val="24"/>
                <w14:textFill>
                  <w14:solidFill>
                    <w14:schemeClr w14:val="tx1"/>
                  </w14:solidFill>
                </w14:textFill>
              </w:rPr>
              <w:t>54</w:t>
            </w:r>
            <w:r>
              <w:rPr>
                <w:rFonts w:hint="eastAsia"/>
                <w:color w:val="000000" w:themeColor="text1"/>
                <w:sz w:val="24"/>
                <w14:textFill>
                  <w14:solidFill>
                    <w14:schemeClr w14:val="tx1"/>
                  </w14:solidFill>
                </w14:textFill>
              </w:rPr>
              <w:t>处，面积</w:t>
            </w:r>
            <w:r>
              <w:rPr>
                <w:color w:val="000000" w:themeColor="text1"/>
                <w:sz w:val="24"/>
                <w14:textFill>
                  <w14:solidFill>
                    <w14:schemeClr w14:val="tx1"/>
                  </w14:solidFill>
                </w14:textFill>
              </w:rPr>
              <w:t>6195</w:t>
            </w:r>
            <w:r>
              <w:rPr>
                <w:rFonts w:hint="eastAsia"/>
                <w:color w:val="000000" w:themeColor="text1"/>
                <w:sz w:val="24"/>
                <w14:textFill>
                  <w14:solidFill>
                    <w14:schemeClr w14:val="tx1"/>
                  </w14:solidFill>
                </w14:textFill>
              </w:rPr>
              <w:t>平方公里，占国土空间比重为</w:t>
            </w:r>
            <w:r>
              <w:rPr>
                <w:color w:val="000000" w:themeColor="text1"/>
                <w:sz w:val="24"/>
                <w14:textFill>
                  <w14:solidFill>
                    <w14:schemeClr w14:val="tx1"/>
                  </w14:solidFill>
                </w14:textFill>
              </w:rPr>
              <w:t>9.3%</w:t>
            </w:r>
            <w:r>
              <w:rPr>
                <w:rFonts w:hint="eastAsia"/>
                <w:color w:val="000000" w:themeColor="text1"/>
                <w:sz w:val="24"/>
                <w14:textFill>
                  <w14:solidFill>
                    <w14:schemeClr w14:val="tx1"/>
                  </w14:solidFill>
                </w14:textFill>
              </w:rPr>
              <w:t>。内蒙古自治区禁止开发区域共有3</w:t>
            </w:r>
            <w:r>
              <w:rPr>
                <w:color w:val="000000" w:themeColor="text1"/>
                <w:sz w:val="24"/>
                <w14:textFill>
                  <w14:solidFill>
                    <w14:schemeClr w14:val="tx1"/>
                  </w14:solidFill>
                </w14:textFill>
              </w:rPr>
              <w:t>18</w:t>
            </w:r>
            <w:r>
              <w:rPr>
                <w:rFonts w:hint="eastAsia"/>
                <w:color w:val="000000" w:themeColor="text1"/>
                <w:sz w:val="24"/>
                <w14:textFill>
                  <w14:solidFill>
                    <w14:schemeClr w14:val="tx1"/>
                  </w14:solidFill>
                </w14:textFill>
              </w:rPr>
              <w:t>处。</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根据《宁夏回族自治区人民政府关于实施“三线一单”生态环境分区管控的通知》（宁政发[2020]37号），将自治区行政区域从生态环境保护角度划分为优先保护单元、重点管控单元、一般管控单元三类环境管控单元。</w:t>
            </w:r>
            <w:r>
              <w:rPr>
                <w:rFonts w:hint="eastAsia"/>
                <w:color w:val="000000" w:themeColor="text1"/>
                <w:sz w:val="24"/>
                <w:lang w:val="en-US" w:eastAsia="zh-CN"/>
                <w14:textFill>
                  <w14:solidFill>
                    <w14:schemeClr w14:val="tx1"/>
                  </w14:solidFill>
                </w14:textFill>
              </w:rPr>
              <w:t>优先保护单元以生态环境保护优先为原则，突出空间用途管控，依法禁止或限制大规模、高强度的开发建设活动，确保生态环境功能不降低。重点管控单元以优化空间和产业布局、强化底线约束为导向，突出污染物排放控制和环境风险防控，不断提升资源利用效率，稳步改善生态环境质量。一般管控单元以生态环境保护与适度开发相结合为主，落实区域生态环境保护的基本要求。</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④陕西省</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eastAsia="宋体"/>
                <w:color w:val="000000" w:themeColor="text1"/>
                <w:sz w:val="24"/>
                <w:lang w:eastAsia="zh-CN"/>
                <w14:textFill>
                  <w14:solidFill>
                    <w14:schemeClr w14:val="tx1"/>
                  </w14:solidFill>
                </w14:textFill>
              </w:rPr>
            </w:pPr>
            <w:r>
              <w:rPr>
                <w:rFonts w:hint="eastAsia"/>
                <w:color w:val="000000" w:themeColor="text1"/>
                <w:sz w:val="24"/>
                <w14:textFill>
                  <w14:solidFill>
                    <w14:schemeClr w14:val="tx1"/>
                  </w14:solidFill>
                </w14:textFill>
              </w:rPr>
              <w:t>根据《陕西省主体功能区规划》</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省</w:t>
            </w:r>
            <w:r>
              <w:rPr>
                <w:rFonts w:hint="eastAsia"/>
                <w:color w:val="000000" w:themeColor="text1"/>
                <w:sz w:val="24"/>
                <w14:textFill>
                  <w14:solidFill>
                    <w14:schemeClr w14:val="tx1"/>
                  </w14:solidFill>
                </w14:textFill>
              </w:rPr>
              <w:t>内共有国家层面禁止开发区域</w:t>
            </w:r>
            <w:r>
              <w:rPr>
                <w:color w:val="000000" w:themeColor="text1"/>
                <w:sz w:val="24"/>
                <w14:textFill>
                  <w14:solidFill>
                    <w14:schemeClr w14:val="tx1"/>
                  </w14:solidFill>
                </w14:textFill>
              </w:rPr>
              <w:t>64</w:t>
            </w:r>
            <w:r>
              <w:rPr>
                <w:rFonts w:hint="eastAsia"/>
                <w:color w:val="000000" w:themeColor="text1"/>
                <w:sz w:val="24"/>
                <w14:textFill>
                  <w14:solidFill>
                    <w14:schemeClr w14:val="tx1"/>
                  </w14:solidFill>
                </w14:textFill>
              </w:rPr>
              <w:t>处，面积约9435平方公里，占全省国土面积的4.6%；省级禁止开发区域343处，面积约15200平方公里（不含省政府公布的55个重要湿地），占全省国土面积的7.4%。扣除相互重叠的面积，全省各类禁止开发区域实际面积22949平方公里，占全省国土面积的11.1%。</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陕西省人民政府方关于实施“三线一单”生态环境分区管控的意见》（陕政发[2020]11号），将全省划定优先保护、重点管控和一般管控三类环境管控单元1381个，实施生态环境分区管控；优先保护单元共895个，面积8.47万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，占全省国土面积的41.2%，主要分布在秦巴山区、黄河流域重点生态功能区等。重点管控单元共406个，面积4.88万km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，占全省国土面积的23.72%，主要分布在关中平原、陕北能源重化工产业聚集区、陕南重点城镇区以及环境问题相对集中的区域。一般管控单元共80个，面积7.21万km</w:t>
            </w:r>
            <w:r>
              <w:rPr>
                <w:rFonts w:hint="eastAsia"/>
                <w:color w:val="000000" w:themeColor="text1"/>
                <w:sz w:val="24"/>
                <w:vertAlign w:val="superscript"/>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，占全省国土面积的35.08%。</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⑤山西省</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根据《山西省</w:t>
            </w:r>
            <w:r>
              <w:rPr>
                <w:rFonts w:hint="eastAsia"/>
                <w:color w:val="000000" w:themeColor="text1"/>
                <w:sz w:val="24"/>
                <w14:textFill>
                  <w14:solidFill>
                    <w14:schemeClr w14:val="tx1"/>
                  </w14:solidFill>
                </w14:textFill>
              </w:rPr>
              <w:t>主体功能区规划</w:t>
            </w:r>
            <w:r>
              <w:rPr>
                <w:rFonts w:hint="eastAsia"/>
                <w:color w:val="000000" w:themeColor="text1"/>
                <w:sz w:val="24"/>
                <w:lang w:val="en-US" w:eastAsia="zh-CN"/>
                <w14:textFill>
                  <w14:solidFill>
                    <w14:schemeClr w14:val="tx1"/>
                  </w14:solidFill>
                </w14:textFill>
              </w:rPr>
              <w:t>》，省</w:t>
            </w:r>
            <w:r>
              <w:rPr>
                <w:rFonts w:hint="eastAsia"/>
                <w:color w:val="000000" w:themeColor="text1"/>
                <w:sz w:val="24"/>
                <w14:textFill>
                  <w14:solidFill>
                    <w14:schemeClr w14:val="tx1"/>
                  </w14:solidFill>
                </w14:textFill>
              </w:rPr>
              <w:t>内共有国家层面的禁止开发区域共计42处，面积8246.72平方公里（含重叠面积)，占全省国土面积的5.26％。省级禁止开发区域956处（包括交叉重叠的），面积16534.02平方公里（包括交又重叠的，不含重点文物和水源地)，占全省国土面积的10.55％，扣除相互重叠的面积，全省各类禁止开发区域实际面积2.22万平方公里，占全省国土面积的14.20％。</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根据《山西省人民政府关于实施“三线一单”生态环境分区管控的意见》（晋政发[2020]26号），将甘肃省划定为优先保护单元、重点管控单元和一般管控单元三类。</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left="108" w:right="79" w:firstLine="482"/>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优先保护单元</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依法禁止或限制大规模、高强度的工业和城镇</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在功能受损的优先保护单元优先开展生态保护修复活动</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恢复生态系统服务功能。重点管控单元</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进一步优化空间布局</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加强污染物排放控制和环境风险防控</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不断提升资源能源利用效率</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解决生态环境质量不达标、生态环境风险高等问题</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实现减污降碳协同效应。一般管控单元</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主要落实生态环境保护基本要求</w:t>
            </w:r>
            <w:r>
              <w:rPr>
                <w:rFonts w:hint="eastAsia" w:cs="Times New Roman"/>
                <w:b w:val="0"/>
                <w:bCs w:val="0"/>
                <w:color w:val="000000" w:themeColor="text1"/>
                <w:kern w:val="2"/>
                <w:sz w:val="24"/>
                <w:szCs w:val="24"/>
                <w:lang w:val="en-US" w:eastAsia="zh-CN" w:bidi="ar-SA"/>
                <w14:textFill>
                  <w14:solidFill>
                    <w14:schemeClr w14:val="tx1"/>
                  </w14:solidFill>
                </w14:textFill>
              </w:rPr>
              <w:t>，</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执行国家及我省相关产业准入、总量控制、排放标准等管理规定,推动区域生态环境质量持续改善。</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right="79"/>
              <w:textAlignment w:val="auto"/>
              <w:rPr>
                <w:rFonts w:hint="eastAsia" w:ascii="Times New Roman" w:eastAsia="宋体"/>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2、避让措施</w:t>
            </w:r>
          </w:p>
          <w:p>
            <w:pPr>
              <w:spacing w:line="360" w:lineRule="auto"/>
              <w:ind w:firstLine="480" w:firstLineChars="200"/>
              <w:rPr>
                <w:rFonts w:hint="eastAsia"/>
                <w:color w:val="000000" w:themeColor="text1"/>
                <w:kern w:val="2"/>
                <w:sz w:val="24"/>
                <w:szCs w:val="24"/>
                <w:lang w:val="en-US" w:eastAsia="zh-CN" w:bidi="ar-SA"/>
                <w14:textFill>
                  <w14:solidFill>
                    <w14:schemeClr w14:val="tx1"/>
                  </w14:solidFill>
                </w14:textFill>
              </w:rPr>
            </w:pPr>
            <w:r>
              <w:rPr>
                <w:rFonts w:hint="eastAsia"/>
                <w:color w:val="000000" w:themeColor="text1"/>
                <w:kern w:val="2"/>
                <w:sz w:val="24"/>
                <w:szCs w:val="24"/>
                <w:lang w:eastAsia="zh-CN" w:bidi="ar-SA"/>
                <w14:textFill>
                  <w14:solidFill>
                    <w14:schemeClr w14:val="tx1"/>
                  </w14:solidFill>
                </w14:textFill>
              </w:rPr>
              <w:t>因铀矿地质勘查过程中，钻孔位置在勘查区内一般按照“边施工、边研究、边调整”的原则布置，具有不确定性。因此，评价针对拟设钻孔等工程选址提出以下原则性要求：</w:t>
            </w:r>
          </w:p>
          <w:p>
            <w:pPr>
              <w:spacing w:line="360" w:lineRule="auto"/>
              <w:ind w:firstLine="480" w:firstLineChars="200"/>
              <w:rPr>
                <w:rFonts w:hint="eastAsia" w:ascii="宋体" w:hAnsi="宋体" w:cs="宋体"/>
                <w:color w:val="000000" w:themeColor="text1"/>
                <w:sz w:val="24"/>
                <w:szCs w:val="24"/>
                <w:lang w:val="en-US" w:eastAsia="zh-CN"/>
                <w14:textFill>
                  <w14:solidFill>
                    <w14:schemeClr w14:val="tx1"/>
                  </w14:solidFill>
                </w14:textFill>
              </w:rPr>
            </w:pPr>
            <w:r>
              <w:rPr>
                <w:rFonts w:hint="eastAsia"/>
                <w:color w:val="000000" w:themeColor="text1"/>
                <w:kern w:val="2"/>
                <w:sz w:val="24"/>
                <w:szCs w:val="24"/>
                <w:lang w:val="en-US" w:eastAsia="zh-CN" w:bidi="ar-SA"/>
                <w14:textFill>
                  <w14:solidFill>
                    <w14:schemeClr w14:val="tx1"/>
                  </w14:solidFill>
                </w14:textFill>
              </w:rPr>
              <w:t>①经调查，</w:t>
            </w:r>
            <w:r>
              <w:rPr>
                <w:rFonts w:hint="eastAsia" w:ascii="宋体" w:hAnsi="宋体" w:cs="宋体"/>
                <w:b w:val="0"/>
                <w:bCs w:val="0"/>
                <w:color w:val="000000" w:themeColor="text1"/>
                <w:sz w:val="24"/>
                <w:lang w:val="en-US" w:eastAsia="zh-CN"/>
                <w14:textFill>
                  <w14:solidFill>
                    <w14:schemeClr w14:val="tx1"/>
                  </w14:solidFill>
                </w14:textFill>
              </w:rPr>
              <w:t>勘查区</w:t>
            </w:r>
            <w:r>
              <w:rPr>
                <w:rFonts w:hint="eastAsia" w:ascii="宋体" w:hAnsi="宋体" w:eastAsia="宋体" w:cs="宋体"/>
                <w:b w:val="0"/>
                <w:bCs w:val="0"/>
                <w:color w:val="000000" w:themeColor="text1"/>
                <w:sz w:val="24"/>
                <w:lang w:val="en-US" w:eastAsia="zh-CN"/>
                <w14:textFill>
                  <w14:solidFill>
                    <w14:schemeClr w14:val="tx1"/>
                  </w14:solidFill>
                </w14:textFill>
              </w:rPr>
              <w:t>内</w:t>
            </w:r>
            <w:r>
              <w:rPr>
                <w:rFonts w:hint="eastAsia" w:ascii="宋体" w:hAnsi="宋体" w:cs="宋体"/>
                <w:b w:val="0"/>
                <w:bCs w:val="0"/>
                <w:color w:val="000000" w:themeColor="text1"/>
                <w:sz w:val="24"/>
                <w:lang w:val="en-US" w:eastAsia="zh-CN"/>
                <w14:textFill>
                  <w14:solidFill>
                    <w14:schemeClr w14:val="tx1"/>
                  </w14:solidFill>
                </w14:textFill>
              </w:rPr>
              <w:t>分布的</w:t>
            </w:r>
            <w:r>
              <w:rPr>
                <w:rFonts w:hint="eastAsia" w:cs="Times New Roman"/>
                <w:color w:val="000000" w:themeColor="text1"/>
                <w:kern w:val="2"/>
                <w:sz w:val="24"/>
                <w:szCs w:val="24"/>
                <w:lang w:val="en-US" w:eastAsia="zh-CN" w:bidi="ar-SA"/>
                <w14:textFill>
                  <w14:solidFill>
                    <w14:schemeClr w14:val="tx1"/>
                  </w14:solidFill>
                </w14:textFill>
              </w:rPr>
              <w:t>各</w:t>
            </w:r>
            <w:r>
              <w:rPr>
                <w:rFonts w:hint="default" w:ascii="Times New Roman" w:hAnsi="Times New Roman" w:cs="Times New Roman"/>
                <w:color w:val="000000" w:themeColor="text1"/>
                <w:kern w:val="2"/>
                <w:sz w:val="24"/>
                <w:szCs w:val="24"/>
                <w:lang w:eastAsia="zh-CN" w:bidi="ar-SA"/>
                <w14:textFill>
                  <w14:solidFill>
                    <w14:schemeClr w14:val="tx1"/>
                  </w14:solidFill>
                </w14:textFill>
              </w:rPr>
              <w:t>级自然保护区、风景名胜区、</w:t>
            </w:r>
            <w:r>
              <w:rPr>
                <w:rFonts w:hint="default" w:ascii="Times New Roman" w:hAnsi="Times New Roman" w:cs="Times New Roman"/>
                <w:color w:val="000000" w:themeColor="text1"/>
                <w:kern w:val="2"/>
                <w:sz w:val="24"/>
                <w:szCs w:val="24"/>
                <w:lang w:val="en-US" w:eastAsia="zh-CN" w:bidi="ar-SA"/>
                <w14:textFill>
                  <w14:solidFill>
                    <w14:schemeClr w14:val="tx1"/>
                  </w14:solidFill>
                </w14:textFill>
              </w:rPr>
              <w:t>水源保护地、</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国家级森林公园、地质公园等环境敏感区</w:t>
            </w:r>
            <w:r>
              <w:rPr>
                <w:rFonts w:hint="eastAsia" w:ascii="宋体" w:hAnsi="宋体" w:cs="宋体"/>
                <w:color w:val="000000" w:themeColor="text1"/>
                <w:sz w:val="24"/>
                <w:szCs w:val="24"/>
                <w:lang w:eastAsia="zh-CN"/>
                <w14:textFill>
                  <w14:solidFill>
                    <w14:schemeClr w14:val="tx1"/>
                  </w14:solidFill>
                </w14:textFill>
              </w:rPr>
              <w:t>，</w:t>
            </w:r>
            <w:r>
              <w:rPr>
                <w:rFonts w:hint="eastAsia" w:ascii="宋体" w:hAnsi="宋体" w:cs="宋体"/>
                <w:color w:val="000000" w:themeColor="text1"/>
                <w:sz w:val="24"/>
                <w:szCs w:val="24"/>
                <w:lang w:val="en-US" w:eastAsia="zh-CN"/>
                <w14:textFill>
                  <w14:solidFill>
                    <w14:schemeClr w14:val="tx1"/>
                  </w14:solidFill>
                </w14:textFill>
              </w:rPr>
              <w:t>属于禁止开发区；建议调整的钻孔、临时道路修建等工程对上述环境敏感区进行避让；</w:t>
            </w:r>
          </w:p>
          <w:p>
            <w:pPr>
              <w:bidi w:val="0"/>
              <w:spacing w:line="360" w:lineRule="auto"/>
              <w:ind w:firstLine="480" w:firstLineChars="200"/>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lang w:val="en-US" w:eastAsia="zh-CN"/>
                <w14:textFill>
                  <w14:solidFill>
                    <w14:schemeClr w14:val="tx1"/>
                  </w14:solidFill>
                </w14:textFill>
              </w:rPr>
              <w:t>因2023-2026年钻孔位置尚未确定，为贯彻落实国家、地方生态保护的各项规定，最大限度减小项目生态环境的影响，2023-2026年钻孔选址应对上述敏感区及生态红线进行避让，钻孔位置明确后及时向审批部门及属地监管部门进行报备。</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eastAsia"/>
                <w:color w:val="000000" w:themeColor="text1"/>
                <w:kern w:val="2"/>
                <w:sz w:val="24"/>
                <w:szCs w:val="24"/>
                <w:lang w:eastAsia="zh-CN" w:bidi="ar-SA"/>
                <w14:textFill>
                  <w14:solidFill>
                    <w14:schemeClr w14:val="tx1"/>
                  </w14:solidFill>
                </w14:textFill>
              </w:rPr>
            </w:pP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begin"/>
            </w:r>
            <w:r>
              <w:rPr>
                <w:rFonts w:hint="default" w:ascii="Times New Roman" w:hAnsi="Times New Roman" w:cs="Times New Roman"/>
                <w:color w:val="000000" w:themeColor="text1"/>
                <w:kern w:val="2"/>
                <w:sz w:val="24"/>
                <w:szCs w:val="24"/>
                <w:lang w:eastAsia="zh-CN" w:bidi="ar-SA"/>
                <w14:textFill>
                  <w14:solidFill>
                    <w14:schemeClr w14:val="tx1"/>
                  </w14:solidFill>
                </w14:textFill>
              </w:rPr>
              <w:instrText xml:space="preserve"> = 2 \* GB3 \* MERGEFORMAT </w:instrText>
            </w: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separate"/>
            </w:r>
            <w:r>
              <w:rPr>
                <w:rFonts w:hint="default" w:ascii="Times New Roman" w:hAnsi="Times New Roman" w:cs="Times New Roman"/>
                <w:color w:val="000000" w:themeColor="text1"/>
                <w14:textFill>
                  <w14:solidFill>
                    <w14:schemeClr w14:val="tx1"/>
                  </w14:solidFill>
                </w14:textFill>
              </w:rPr>
              <w:t>②</w:t>
            </w:r>
            <w:r>
              <w:rPr>
                <w:rFonts w:hint="default" w:ascii="Times New Roman" w:hAnsi="Times New Roman" w:cs="Times New Roman"/>
                <w:color w:val="000000" w:themeColor="text1"/>
                <w:kern w:val="2"/>
                <w:sz w:val="24"/>
                <w:szCs w:val="24"/>
                <w:lang w:eastAsia="zh-CN" w:bidi="ar-SA"/>
                <w14:textFill>
                  <w14:solidFill>
                    <w14:schemeClr w14:val="tx1"/>
                  </w14:solidFill>
                </w14:textFill>
              </w:rPr>
              <w:fldChar w:fldCharType="end"/>
            </w:r>
            <w:r>
              <w:rPr>
                <w:rFonts w:hint="default" w:ascii="Times New Roman" w:hAnsi="Times New Roman" w:cs="Times New Roman"/>
                <w:color w:val="000000" w:themeColor="text1"/>
                <w:kern w:val="2"/>
                <w:sz w:val="24"/>
                <w:szCs w:val="24"/>
                <w:lang w:eastAsia="zh-CN" w:bidi="ar-SA"/>
                <w14:textFill>
                  <w14:solidFill>
                    <w14:schemeClr w14:val="tx1"/>
                  </w14:solidFill>
                </w14:textFill>
              </w:rPr>
              <w:t>拟设钻孔、临时道路修建等还应对</w:t>
            </w:r>
            <w:r>
              <w:rPr>
                <w:rFonts w:hint="eastAsia" w:cs="Times New Roman"/>
                <w:color w:val="000000" w:themeColor="text1"/>
                <w:kern w:val="2"/>
                <w:sz w:val="24"/>
                <w:szCs w:val="24"/>
                <w:lang w:eastAsia="zh-CN" w:bidi="ar-SA"/>
                <w14:textFill>
                  <w14:solidFill>
                    <w14:schemeClr w14:val="tx1"/>
                  </w14:solidFill>
                </w14:textFill>
              </w:rPr>
              <w:t>勘查区</w:t>
            </w:r>
            <w:r>
              <w:rPr>
                <w:rFonts w:hint="default" w:ascii="Times New Roman" w:hAnsi="Times New Roman" w:cs="Times New Roman"/>
                <w:color w:val="000000" w:themeColor="text1"/>
                <w:kern w:val="2"/>
                <w:sz w:val="24"/>
                <w:szCs w:val="24"/>
                <w:lang w:eastAsia="zh-CN" w:bidi="ar-SA"/>
                <w14:textFill>
                  <w14:solidFill>
                    <w14:schemeClr w14:val="tx1"/>
                  </w14:solidFill>
                </w14:textFill>
              </w:rPr>
              <w:t>内基本农田保护区、城乡规划区等保护目标进行避让，建议钻孔与周边村庄集中居住区距离不小于250m；</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③</w:t>
            </w:r>
            <w:r>
              <w:rPr>
                <w:rFonts w:hint="eastAsia"/>
                <w:color w:val="000000" w:themeColor="text1"/>
                <w:sz w:val="24"/>
                <w14:textFill>
                  <w14:solidFill>
                    <w14:schemeClr w14:val="tx1"/>
                  </w14:solidFill>
                </w14:textFill>
              </w:rPr>
              <w:t>对</w:t>
            </w:r>
            <w:r>
              <w:rPr>
                <w:rFonts w:hint="eastAsia"/>
                <w:color w:val="000000" w:themeColor="text1"/>
                <w:sz w:val="24"/>
                <w:lang w:val="en-US" w:eastAsia="zh-CN"/>
                <w14:textFill>
                  <w14:solidFill>
                    <w14:schemeClr w14:val="tx1"/>
                  </w14:solidFill>
                </w14:textFill>
              </w:rPr>
              <w:t>陕西省、甘肃省、宁夏回族自治区、内蒙古自治区和山西省</w:t>
            </w:r>
            <w:r>
              <w:rPr>
                <w:rFonts w:hint="eastAsia"/>
                <w:color w:val="000000" w:themeColor="text1"/>
                <w:sz w:val="24"/>
                <w14:textFill>
                  <w14:solidFill>
                    <w14:schemeClr w14:val="tx1"/>
                  </w14:solidFill>
                </w14:textFill>
              </w:rPr>
              <w:t>矿产资源总体规划中限制勘查区尽量避让</w:t>
            </w:r>
            <w:r>
              <w:rPr>
                <w:rFonts w:hint="eastAsia"/>
                <w:color w:val="000000" w:themeColor="text1"/>
                <w:sz w:val="24"/>
                <w:lang w:eastAsia="zh-CN"/>
                <w14:textFill>
                  <w14:solidFill>
                    <w14:schemeClr w14:val="tx1"/>
                  </w14:solidFill>
                </w14:textFill>
              </w:rPr>
              <w:t>。</w:t>
            </w:r>
          </w:p>
          <w:p>
            <w:pPr>
              <w:spacing w:line="360" w:lineRule="auto"/>
              <w:rPr>
                <w:rFonts w:hint="eastAsia"/>
                <w:b/>
                <w:bCs w:val="0"/>
                <w:color w:val="000000" w:themeColor="text1"/>
                <w:sz w:val="24"/>
                <w:lang w:val="en-US" w:eastAsia="zh-CN"/>
                <w14:textFill>
                  <w14:solidFill>
                    <w14:schemeClr w14:val="tx1"/>
                  </w14:solidFill>
                </w14:textFill>
              </w:rPr>
            </w:pPr>
            <w:r>
              <w:rPr>
                <w:rFonts w:hint="eastAsia"/>
                <w:b/>
                <w:bCs w:val="0"/>
                <w:color w:val="000000" w:themeColor="text1"/>
                <w:sz w:val="24"/>
                <w:lang w:val="en-US" w:eastAsia="zh-CN"/>
                <w14:textFill>
                  <w14:solidFill>
                    <w14:schemeClr w14:val="tx1"/>
                  </w14:solidFill>
                </w14:textFill>
              </w:rPr>
              <w:t>3、生态保护与恢复措施</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生态保护与恢复措施应以维持该地区原生态系统的结构为前提，原则上应按占地类型因地制宜，具体包括工程措施、植被恢复措施等。</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评价根据工程类型提出以下生态保护与恢复措施：</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①尽量减小钻探施工临时占地面积，</w:t>
            </w:r>
            <w:r>
              <w:rPr>
                <w:color w:val="000000" w:themeColor="text1"/>
                <w:sz w:val="24"/>
                <w:szCs w:val="24"/>
                <w:lang w:eastAsia="zh-CN"/>
                <w14:textFill>
                  <w14:solidFill>
                    <w14:schemeClr w14:val="tx1"/>
                  </w14:solidFill>
                </w14:textFill>
              </w:rPr>
              <w:t>以免造成土壤与植被的不必要的破坏</w:t>
            </w:r>
            <w:r>
              <w:rPr>
                <w:rFonts w:hint="eastAsia"/>
                <w:color w:val="000000" w:themeColor="text1"/>
                <w:sz w:val="24"/>
                <w:szCs w:val="24"/>
                <w:lang w:eastAsia="zh-CN"/>
                <w14:textFill>
                  <w14:solidFill>
                    <w14:schemeClr w14:val="tx1"/>
                  </w14:solidFill>
                </w14:textFill>
              </w:rPr>
              <w:t>；</w:t>
            </w:r>
          </w:p>
          <w:p>
            <w:pPr>
              <w:spacing w:line="360" w:lineRule="auto"/>
              <w:rPr>
                <w:rFonts w:hint="eastAsia"/>
                <w:color w:val="000000" w:themeColor="text1"/>
                <w:sz w:val="24"/>
                <w:szCs w:val="24"/>
                <w:lang w:eastAsia="zh-CN"/>
                <w14:textFill>
                  <w14:solidFill>
                    <w14:schemeClr w14:val="tx1"/>
                  </w14:solidFill>
                </w14:textFill>
              </w:rPr>
            </w:pPr>
            <w:r>
              <w:rPr>
                <w:color w:val="000000" w:themeColor="text1"/>
                <w:sz w:val="24"/>
                <w:szCs w:val="24"/>
                <w:lang w:eastAsia="zh-CN"/>
                <w14:textFill>
                  <w14:solidFill>
                    <w14:schemeClr w14:val="tx1"/>
                  </w14:solidFill>
                </w14:textFill>
              </w:rPr>
              <w:t>钻探场地</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泥浆池等剥离的表土就近堆放于钻孔平台附近，待封孔后用于场地植被恢复</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2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②</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施工过程中尽量依托现有道路，减小临时便道开拓对土地的占用和植被的破坏；</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3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③</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项目部依托周边村庄，钻探勘查区生活区尽量布置在钻探井场临时占地范围内，减小施工人员活动范围，将临时占地面积控制在最低限度；施工人员生活垃圾应设固定收集装置，施工结束后，统一收集带走，不得乱堆乱扔乱埋；</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14:textFill>
                  <w14:solidFill>
                    <w14:schemeClr w14:val="tx1"/>
                  </w14:solidFill>
                </w14:textFill>
              </w:rPr>
              <w:fldChar w:fldCharType="begin"/>
            </w:r>
            <w:r>
              <w:rPr>
                <w:rFonts w:hint="eastAsia"/>
                <w:color w:val="000000" w:themeColor="text1"/>
                <w:sz w:val="24"/>
                <w:szCs w:val="24"/>
                <w:lang w:eastAsia="zh-CN"/>
                <w14:textFill>
                  <w14:solidFill>
                    <w14:schemeClr w14:val="tx1"/>
                  </w14:solidFill>
                </w14:textFill>
              </w:rPr>
              <w:instrText xml:space="preserve"> = 4 \* GB3 \* MERGEFORMAT </w:instrText>
            </w:r>
            <w:r>
              <w:rPr>
                <w:rFonts w:hint="eastAsia"/>
                <w:color w:val="000000" w:themeColor="text1"/>
                <w:sz w:val="24"/>
                <w:szCs w:val="24"/>
                <w14:textFill>
                  <w14:solidFill>
                    <w14:schemeClr w14:val="tx1"/>
                  </w14:solidFill>
                </w14:textFill>
              </w:rPr>
              <w:fldChar w:fldCharType="separate"/>
            </w:r>
            <w:r>
              <w:rPr>
                <w:color w:val="000000" w:themeColor="text1"/>
                <w:sz w:val="24"/>
                <w:szCs w:val="24"/>
                <w:lang w:eastAsia="zh-CN"/>
                <w14:textFill>
                  <w14:solidFill>
                    <w14:schemeClr w14:val="tx1"/>
                  </w14:solidFill>
                </w14:textFill>
              </w:rPr>
              <w:t>④</w:t>
            </w:r>
            <w:r>
              <w:rPr>
                <w:rFonts w:hint="eastAsia"/>
                <w:color w:val="000000" w:themeColor="text1"/>
                <w:sz w:val="24"/>
                <w:szCs w:val="24"/>
                <w14:textFill>
                  <w14:solidFill>
                    <w14:schemeClr w14:val="tx1"/>
                  </w14:solidFill>
                </w14:textFill>
              </w:rPr>
              <w:fldChar w:fldCharType="end"/>
            </w:r>
            <w:r>
              <w:rPr>
                <w:rFonts w:hint="eastAsia"/>
                <w:color w:val="000000" w:themeColor="text1"/>
                <w:sz w:val="24"/>
                <w:szCs w:val="24"/>
                <w:lang w:eastAsia="zh-CN"/>
                <w14:textFill>
                  <w14:solidFill>
                    <w14:schemeClr w14:val="tx1"/>
                  </w14:solidFill>
                </w14:textFill>
              </w:rPr>
              <w:t>雨季施工要做好临时排水及拦挡措施，大风天气应停止土方作业。</w:t>
            </w:r>
          </w:p>
          <w:p>
            <w:pPr>
              <w:spacing w:line="360" w:lineRule="auto"/>
              <w:ind w:firstLine="482" w:firstLineChars="200"/>
              <w:rPr>
                <w:rFonts w:hint="eastAsia"/>
                <w:b/>
                <w:bCs w:val="0"/>
                <w:color w:val="000000" w:themeColor="text1"/>
                <w:sz w:val="24"/>
                <w:lang w:val="en-US" w:eastAsia="zh-CN"/>
                <w14:textFill>
                  <w14:solidFill>
                    <w14:schemeClr w14:val="tx1"/>
                  </w14:solidFill>
                </w14:textFill>
              </w:rPr>
            </w:pPr>
            <w:r>
              <w:rPr>
                <w:rFonts w:hint="eastAsia"/>
                <w:b/>
                <w:bCs w:val="0"/>
                <w:color w:val="000000" w:themeColor="text1"/>
                <w:sz w:val="24"/>
                <w:lang w:val="en-US" w:eastAsia="zh-CN"/>
                <w14:textFill>
                  <w14:solidFill>
                    <w14:schemeClr w14:val="tx1"/>
                  </w14:solidFill>
                </w14:textFill>
              </w:rPr>
              <w:t>评价根据不同的占地类型提出以下生态保护与恢复措施：</w:t>
            </w:r>
          </w:p>
          <w:p>
            <w:pPr>
              <w:spacing w:line="360" w:lineRule="auto"/>
              <w:ind w:firstLine="480" w:firstLineChars="200"/>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（1）林地、草地</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 xml:space="preserve">①如果原有土地利用类型为林地、草地，首先要把表层的熟化土壤尽可能地剥离，放在合适的地方储存并加以养护以保持其肥力，待施工结束后再平铺于土地表面。草地、林地表层耕植土剥离厚度为15cm，就近堆置在周围较低的洼地处填平，加以覆盖。 </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②施工结束后，对受损的林木、灌草及时扶正，保证正常生长。对破坏严重的地块，根据海拔、坡向、坡度、土壤质地、土层厚度等，采取适宜的整地措施，选择适宜的品种， 适地适树适草，增加植被覆盖度。例如：林地可以采用穴状整地方式，如灌木林采用30×30×30cm的小穴整地；草地随原地面坡度推平就可，不需要做大幅度的整平，以免动土太大而引起水土流失；破坏较轻的草地无需整地，以免破坏表土结皮而引起风蚀。</w:t>
            </w:r>
          </w:p>
          <w:p>
            <w:pPr>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both"/>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③拟复垦为有林地的区域，林草选择应因地制宜，选择本土植物。</w:t>
            </w:r>
          </w:p>
          <w:p>
            <w:pPr>
              <w:spacing w:line="360" w:lineRule="auto"/>
              <w:ind w:firstLine="480" w:firstLineChars="200"/>
              <w:rPr>
                <w:rFonts w:hint="default" w:ascii="Times New Roman" w:hAnsi="Times New Roman" w:cs="Times New Roman"/>
                <w:bCs/>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④因钻探工程开工时间均为当地解冻之后，故施工完成后应及时进行土地平整，在当 地植被萌芽的季节或夏季种植，选择在夏季雨季开始之间，以保证新栽植的幼苗或播撒的 草籽在雨季能够获得充足的水分和生长时间。</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（2）戈壁滩</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①如果原有土地利用类型为戈壁滩，在施工前需对地表砾石剥离收集，剥离砾石存放于钻探井场周边未占压空地，外围使用彩钢板圈围，表面覆盖密目网。</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②施工结束后，对临时占地进行平整，使用原砾石进行地表覆盖。</w:t>
            </w:r>
          </w:p>
          <w:p>
            <w:pPr>
              <w:spacing w:line="360" w:lineRule="auto"/>
              <w:ind w:firstLine="480" w:firstLineChars="200"/>
              <w:rPr>
                <w:rFonts w:hint="eastAsia"/>
                <w:bCs/>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③若有条件进行植被恢复的地区，可以选择当地适生的耐旱、耐盐物种，如红柳、骆驼刺、芨芨草、披碱草等进行植被恢复。</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3</w:t>
            </w:r>
            <w:r>
              <w:rPr>
                <w:rFonts w:hint="eastAsia"/>
                <w:color w:val="000000" w:themeColor="text1"/>
                <w:sz w:val="24"/>
                <w:szCs w:val="24"/>
                <w:lang w:eastAsia="zh-CN"/>
                <w14:textFill>
                  <w14:solidFill>
                    <w14:schemeClr w14:val="tx1"/>
                  </w14:solidFill>
                </w14:textFill>
              </w:rPr>
              <w:t>）耕地</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①</w:t>
            </w:r>
            <w:r>
              <w:rPr>
                <w:color w:val="000000" w:themeColor="text1"/>
                <w:sz w:val="24"/>
                <w:szCs w:val="24"/>
                <w:lang w:eastAsia="zh-CN"/>
                <w14:textFill>
                  <w14:solidFill>
                    <w14:schemeClr w14:val="tx1"/>
                  </w14:solidFill>
                </w14:textFill>
              </w:rPr>
              <w:t>如果原有土地利用类型为</w:t>
            </w:r>
            <w:r>
              <w:rPr>
                <w:rFonts w:hint="eastAsia"/>
                <w:color w:val="000000" w:themeColor="text1"/>
                <w:sz w:val="24"/>
                <w:szCs w:val="24"/>
                <w:lang w:eastAsia="zh-CN"/>
                <w14:textFill>
                  <w14:solidFill>
                    <w14:schemeClr w14:val="tx1"/>
                  </w14:solidFill>
                </w14:textFill>
              </w:rPr>
              <w:t>耕地、园地等，同样首先要把表层熟化土壤尽可能剥离，</w:t>
            </w:r>
            <w:r>
              <w:rPr>
                <w:color w:val="000000" w:themeColor="text1"/>
                <w:sz w:val="24"/>
                <w:szCs w:val="24"/>
                <w:lang w:eastAsia="zh-CN"/>
                <w14:textFill>
                  <w14:solidFill>
                    <w14:schemeClr w14:val="tx1"/>
                  </w14:solidFill>
                </w14:textFill>
              </w:rPr>
              <w:t>耕地表层耕植土剥离厚度为25cm，就近堆置或装袋存放在</w:t>
            </w:r>
            <w:r>
              <w:rPr>
                <w:rFonts w:hint="eastAsia"/>
                <w:color w:val="000000" w:themeColor="text1"/>
                <w:sz w:val="24"/>
                <w:szCs w:val="24"/>
                <w:lang w:eastAsia="zh-CN"/>
                <w14:textFill>
                  <w14:solidFill>
                    <w14:schemeClr w14:val="tx1"/>
                  </w14:solidFill>
                </w14:textFill>
              </w:rPr>
              <w:t>钻探</w:t>
            </w:r>
            <w:r>
              <w:rPr>
                <w:color w:val="000000" w:themeColor="text1"/>
                <w:sz w:val="24"/>
                <w:szCs w:val="24"/>
                <w:lang w:eastAsia="zh-CN"/>
                <w14:textFill>
                  <w14:solidFill>
                    <w14:schemeClr w14:val="tx1"/>
                  </w14:solidFill>
                </w14:textFill>
              </w:rPr>
              <w:t>井场周边，并加以覆盖</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园地表层耕植土剥离厚度为15cm，就近堆置在周围较低的洼地处填平，</w:t>
            </w:r>
            <w:r>
              <w:rPr>
                <w:rFonts w:hint="eastAsia"/>
                <w:color w:val="000000" w:themeColor="text1"/>
                <w:sz w:val="24"/>
                <w:szCs w:val="24"/>
                <w:lang w:eastAsia="zh-CN"/>
                <w14:textFill>
                  <w14:solidFill>
                    <w14:schemeClr w14:val="tx1"/>
                  </w14:solidFill>
                </w14:textFill>
              </w:rPr>
              <w:t>加以</w:t>
            </w:r>
            <w:r>
              <w:rPr>
                <w:color w:val="000000" w:themeColor="text1"/>
                <w:sz w:val="24"/>
                <w:szCs w:val="24"/>
                <w:lang w:eastAsia="zh-CN"/>
                <w14:textFill>
                  <w14:solidFill>
                    <w14:schemeClr w14:val="tx1"/>
                  </w14:solidFill>
                </w14:textFill>
              </w:rPr>
              <w:t>覆盖</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②施工结束后，</w:t>
            </w:r>
            <w:r>
              <w:rPr>
                <w:color w:val="000000" w:themeColor="text1"/>
                <w:sz w:val="24"/>
                <w:szCs w:val="24"/>
                <w:lang w:eastAsia="zh-CN"/>
                <w14:textFill>
                  <w14:solidFill>
                    <w14:schemeClr w14:val="tx1"/>
                  </w14:solidFill>
                </w14:textFill>
              </w:rPr>
              <w:t>耕地土地平整使其田面坡角小于3°，不影响耕种即可。待土地平整后，将前期剥离的表土均匀覆盖在耕地表面，覆土厚度要求≥25cm。</w:t>
            </w:r>
          </w:p>
          <w:p>
            <w:pPr>
              <w:spacing w:line="360" w:lineRule="auto"/>
              <w:ind w:firstLine="480" w:firstLineChars="200"/>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③</w:t>
            </w:r>
            <w:r>
              <w:rPr>
                <w:color w:val="000000" w:themeColor="text1"/>
                <w:sz w:val="24"/>
                <w:szCs w:val="24"/>
                <w:lang w:eastAsia="zh-CN"/>
                <w14:textFill>
                  <w14:solidFill>
                    <w14:schemeClr w14:val="tx1"/>
                  </w14:solidFill>
                </w14:textFill>
              </w:rPr>
              <w:t>拟复垦为耕地的区域</w:t>
            </w:r>
            <w:r>
              <w:rPr>
                <w:rFonts w:hint="eastAsia"/>
                <w:color w:val="000000" w:themeColor="text1"/>
                <w:sz w:val="24"/>
                <w:szCs w:val="24"/>
                <w:lang w:eastAsia="zh-CN"/>
                <w14:textFill>
                  <w14:solidFill>
                    <w14:schemeClr w14:val="tx1"/>
                  </w14:solidFill>
                </w14:textFill>
              </w:rPr>
              <w:t>，</w:t>
            </w:r>
            <w:r>
              <w:rPr>
                <w:color w:val="000000" w:themeColor="text1"/>
                <w:sz w:val="24"/>
                <w:szCs w:val="24"/>
                <w:lang w:eastAsia="zh-CN"/>
                <w14:textFill>
                  <w14:solidFill>
                    <w14:schemeClr w14:val="tx1"/>
                  </w14:solidFill>
                </w14:textFill>
              </w:rPr>
              <w:t>建议种植浅根系农作物，改良土壤</w:t>
            </w:r>
            <w:r>
              <w:rPr>
                <w:rFonts w:hint="eastAsia"/>
                <w:color w:val="000000" w:themeColor="text1"/>
                <w:sz w:val="24"/>
                <w:szCs w:val="24"/>
                <w:lang w:eastAsia="zh-CN"/>
                <w14:textFill>
                  <w14:solidFill>
                    <w14:schemeClr w14:val="tx1"/>
                  </w14:solidFill>
                </w14:textFill>
              </w:rPr>
              <w:t>。</w:t>
            </w:r>
          </w:p>
          <w:p>
            <w:pPr>
              <w:spacing w:line="360" w:lineRule="auto"/>
              <w:ind w:firstLine="480" w:firstLineChars="200"/>
              <w:rPr>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④施工完成后应及时进行土地平整，在当地春播、秋播之前进行土地复垦，以保证不影响土地原有使用功能。</w:t>
            </w:r>
          </w:p>
          <w:p>
            <w:pPr>
              <w:pStyle w:val="27"/>
              <w:keepNext w:val="0"/>
              <w:keepLines w:val="0"/>
              <w:pageBreakBefore w:val="0"/>
              <w:widowControl w:val="0"/>
              <w:kinsoku/>
              <w:wordWrap/>
              <w:overflowPunct/>
              <w:topLinePunct w:val="0"/>
              <w:autoSpaceDE w:val="0"/>
              <w:autoSpaceDN w:val="0"/>
              <w:bidi w:val="0"/>
              <w:adjustRightInd w:val="0"/>
              <w:snapToGrid/>
              <w:spacing w:before="40" w:line="360" w:lineRule="auto"/>
              <w:ind w:right="79"/>
              <w:textAlignment w:val="auto"/>
              <w:rPr>
                <w:color w:val="000000" w:themeColor="text1"/>
                <w:sz w:val="21"/>
                <w:szCs w:val="21"/>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w:t>
      </w:r>
      <w:r>
        <w:rPr>
          <w:rFonts w:hint="eastAsia" w:eastAsia="黑体"/>
          <w:color w:val="000000" w:themeColor="text1"/>
          <w:sz w:val="32"/>
          <w14:textFill>
            <w14:solidFill>
              <w14:schemeClr w14:val="tx1"/>
            </w14:solidFill>
          </w14:textFill>
        </w:rPr>
        <w:t>环境保护设施及环境保护投资一览表</w:t>
      </w:r>
    </w:p>
    <w:tbl>
      <w:tblPr>
        <w:tblStyle w:val="14"/>
        <w:tblW w:w="4888"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54"/>
        <w:gridCol w:w="867"/>
        <w:gridCol w:w="1861"/>
        <w:gridCol w:w="2203"/>
        <w:gridCol w:w="2640"/>
        <w:gridCol w:w="14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66" w:hRule="atLeast"/>
        </w:trPr>
        <w:tc>
          <w:tcPr>
            <w:tcW w:w="387" w:type="pct"/>
            <w:vAlign w:val="center"/>
          </w:tcPr>
          <w:p>
            <w:pPr>
              <w:adjustRightInd w:val="0"/>
              <w:snapToGrid w:val="0"/>
              <w:spacing w:line="240" w:lineRule="exact"/>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序号</w:t>
            </w:r>
          </w:p>
        </w:tc>
        <w:tc>
          <w:tcPr>
            <w:tcW w:w="445"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分</w:t>
            </w:r>
            <w:r>
              <w:rPr>
                <w:color w:val="000000" w:themeColor="text1"/>
                <w:sz w:val="21"/>
                <w:szCs w:val="21"/>
                <w14:textFill>
                  <w14:solidFill>
                    <w14:schemeClr w14:val="tx1"/>
                  </w14:solidFill>
                </w14:textFill>
              </w:rPr>
              <w:t>类</w:t>
            </w:r>
          </w:p>
        </w:tc>
        <w:tc>
          <w:tcPr>
            <w:tcW w:w="955"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环境保护设施</w:t>
            </w:r>
          </w:p>
        </w:tc>
        <w:tc>
          <w:tcPr>
            <w:tcW w:w="1131" w:type="pct"/>
            <w:vAlign w:val="center"/>
          </w:tcPr>
          <w:p>
            <w:pPr>
              <w:adjustRightInd w:val="0"/>
              <w:snapToGrid w:val="0"/>
              <w:spacing w:line="240" w:lineRule="exact"/>
              <w:jc w:val="center"/>
              <w:rPr>
                <w:b/>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内容</w:t>
            </w:r>
          </w:p>
        </w:tc>
        <w:tc>
          <w:tcPr>
            <w:tcW w:w="1355" w:type="pct"/>
            <w:vAlign w:val="center"/>
          </w:tcPr>
          <w:p>
            <w:pPr>
              <w:adjustRightInd w:val="0"/>
              <w:snapToGrid w:val="0"/>
              <w:spacing w:line="24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投资估算</w:t>
            </w:r>
          </w:p>
          <w:p>
            <w:pPr>
              <w:adjustRightInd w:val="0"/>
              <w:snapToGrid w:val="0"/>
              <w:spacing w:line="240" w:lineRule="exact"/>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（万元）</w:t>
            </w:r>
          </w:p>
        </w:tc>
        <w:tc>
          <w:tcPr>
            <w:tcW w:w="725" w:type="pct"/>
            <w:vAlign w:val="center"/>
          </w:tcPr>
          <w:p>
            <w:pPr>
              <w:adjustRightInd w:val="0"/>
              <w:snapToGrid w:val="0"/>
              <w:spacing w:line="240" w:lineRule="exact"/>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一</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大气</w:t>
            </w:r>
          </w:p>
        </w:tc>
        <w:tc>
          <w:tcPr>
            <w:tcW w:w="955" w:type="pct"/>
            <w:vAlign w:val="center"/>
          </w:tcPr>
          <w:p>
            <w:pPr>
              <w:pStyle w:val="27"/>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c>
          <w:tcPr>
            <w:tcW w:w="1131" w:type="pct"/>
            <w:vAlign w:val="center"/>
          </w:tcPr>
          <w:p>
            <w:pPr>
              <w:adjustRightInd w:val="0"/>
              <w:snapToGrid w:val="0"/>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表土、</w:t>
            </w:r>
            <w:r>
              <w:rPr>
                <w:color w:val="000000" w:themeColor="text1"/>
                <w:sz w:val="21"/>
                <w:szCs w:val="21"/>
                <w:lang w:eastAsia="zh-CN"/>
                <w14:textFill>
                  <w14:solidFill>
                    <w14:schemeClr w14:val="tx1"/>
                  </w14:solidFill>
                </w14:textFill>
              </w:rPr>
              <w:t>粉料苫盖</w:t>
            </w:r>
            <w:r>
              <w:rPr>
                <w:rFonts w:hint="eastAsia"/>
                <w:color w:val="000000" w:themeColor="text1"/>
                <w:sz w:val="21"/>
                <w:szCs w:val="21"/>
                <w:lang w:eastAsia="zh-CN"/>
                <w14:textFill>
                  <w14:solidFill>
                    <w14:schemeClr w14:val="tx1"/>
                  </w14:solidFill>
                </w14:textFill>
              </w:rPr>
              <w:t>，</w:t>
            </w:r>
          </w:p>
          <w:p>
            <w:pPr>
              <w:pStyle w:val="27"/>
              <w:spacing w:before="9"/>
              <w:jc w:val="center"/>
              <w:rPr>
                <w:color w:val="000000" w:themeColor="text1"/>
                <w:sz w:val="21"/>
                <w:szCs w:val="21"/>
                <w14:textFill>
                  <w14:solidFill>
                    <w14:schemeClr w14:val="tx1"/>
                  </w14:solidFill>
                </w14:textFill>
              </w:rPr>
            </w:pPr>
            <w:r>
              <w:rPr>
                <w:color w:val="000000" w:themeColor="text1"/>
                <w:sz w:val="21"/>
                <w:szCs w:val="21"/>
                <w:lang w:eastAsia="zh-CN"/>
                <w14:textFill>
                  <w14:solidFill>
                    <w14:schemeClr w14:val="tx1"/>
                  </w14:solidFill>
                </w14:textFill>
              </w:rPr>
              <w:t>洒水抑尘等</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0.2</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59.6</w:t>
            </w:r>
            <w:r>
              <w:rPr>
                <w:rFonts w:hint="eastAsia"/>
                <w:color w:val="000000" w:themeColor="text1"/>
                <w:sz w:val="21"/>
                <w:szCs w:val="21"/>
                <w14:textFill>
                  <w14:solidFill>
                    <w14:schemeClr w14:val="tx1"/>
                  </w14:solidFill>
                </w14:textFill>
              </w:rPr>
              <w:t>万元</w:t>
            </w:r>
          </w:p>
        </w:tc>
        <w:tc>
          <w:tcPr>
            <w:tcW w:w="725" w:type="pct"/>
            <w:vMerge w:val="restart"/>
            <w:vAlign w:val="center"/>
          </w:tcPr>
          <w:p>
            <w:pPr>
              <w:adjustRightInd w:val="0"/>
              <w:snapToGrid w:val="0"/>
              <w:jc w:val="center"/>
              <w:rPr>
                <w:color w:val="000000" w:themeColor="text1"/>
                <w:sz w:val="21"/>
                <w:szCs w:val="21"/>
                <w14:textFill>
                  <w14:solidFill>
                    <w14:schemeClr w14:val="tx1"/>
                  </w14:solidFill>
                </w14:textFill>
              </w:rPr>
            </w:pPr>
            <w:r>
              <w:rPr>
                <w:rFonts w:hint="default" w:eastAsia="宋体"/>
                <w:color w:val="000000" w:themeColor="text1"/>
                <w:sz w:val="21"/>
                <w:szCs w:val="21"/>
                <w:lang w:val="en-US" w:eastAsia="zh-CN"/>
                <w14:textFill>
                  <w14:solidFill>
                    <w14:schemeClr w14:val="tx1"/>
                  </w14:solidFill>
                </w14:textFill>
              </w:rPr>
              <w:t>本项目共设</w:t>
            </w:r>
            <w:r>
              <w:rPr>
                <w:rFonts w:hint="eastAsia"/>
                <w:color w:val="000000" w:themeColor="text1"/>
                <w:sz w:val="21"/>
                <w:szCs w:val="21"/>
                <w:lang w:val="en-US" w:eastAsia="zh-CN"/>
                <w14:textFill>
                  <w14:solidFill>
                    <w14:schemeClr w14:val="tx1"/>
                  </w14:solidFill>
                </w14:textFill>
              </w:rPr>
              <w:t>298</w:t>
            </w:r>
            <w:r>
              <w:rPr>
                <w:rFonts w:hint="default" w:eastAsia="宋体"/>
                <w:color w:val="000000" w:themeColor="text1"/>
                <w:sz w:val="21"/>
                <w:szCs w:val="21"/>
                <w:lang w:val="en-US" w:eastAsia="zh-CN"/>
                <w14:textFill>
                  <w14:solidFill>
                    <w14:schemeClr w14:val="tx1"/>
                  </w14:solidFill>
                </w14:textFill>
              </w:rPr>
              <w:t>个钻井场地。其中2022年</w:t>
            </w:r>
            <w:r>
              <w:rPr>
                <w:rFonts w:hint="eastAsia"/>
                <w:color w:val="000000" w:themeColor="text1"/>
                <w:sz w:val="21"/>
                <w:szCs w:val="21"/>
                <w:lang w:val="en-US" w:eastAsia="zh-CN"/>
                <w14:textFill>
                  <w14:solidFill>
                    <w14:schemeClr w14:val="tx1"/>
                  </w14:solidFill>
                </w14:textFill>
              </w:rPr>
              <w:t>58</w:t>
            </w:r>
            <w:r>
              <w:rPr>
                <w:rFonts w:hint="default" w:eastAsia="宋体"/>
                <w:color w:val="000000" w:themeColor="text1"/>
                <w:sz w:val="21"/>
                <w:szCs w:val="21"/>
                <w:lang w:val="en-US" w:eastAsia="zh-CN"/>
                <w14:textFill>
                  <w14:solidFill>
                    <w14:schemeClr w14:val="tx1"/>
                  </w14:solidFill>
                </w14:textFill>
              </w:rPr>
              <w:t>个，2023-2026</w:t>
            </w:r>
            <w:r>
              <w:rPr>
                <w:rFonts w:hint="eastAsia"/>
                <w:color w:val="000000" w:themeColor="text1"/>
                <w:sz w:val="21"/>
                <w:szCs w:val="21"/>
                <w:lang w:val="en-US" w:eastAsia="zh-CN"/>
                <w14:textFill>
                  <w14:solidFill>
                    <w14:schemeClr w14:val="tx1"/>
                  </w14:solidFill>
                </w14:textFill>
              </w:rPr>
              <w:t>年设240</w:t>
            </w:r>
            <w:r>
              <w:rPr>
                <w:rFonts w:hint="default" w:eastAsia="宋体"/>
                <w:color w:val="000000" w:themeColor="text1"/>
                <w:sz w:val="21"/>
                <w:szCs w:val="21"/>
                <w:lang w:val="en-US" w:eastAsia="zh-CN"/>
                <w14:textFill>
                  <w14:solidFill>
                    <w14:schemeClr w14:val="tx1"/>
                  </w14:solidFill>
                </w14:textFill>
              </w:rPr>
              <w:t>个</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二</w:t>
            </w:r>
          </w:p>
        </w:tc>
        <w:tc>
          <w:tcPr>
            <w:tcW w:w="445" w:type="pct"/>
            <w:vMerge w:val="restart"/>
            <w:vAlign w:val="center"/>
          </w:tcPr>
          <w:p>
            <w:pPr>
              <w:adjustRightInd w:val="0"/>
              <w:snapToGrid w:val="0"/>
              <w:jc w:val="center"/>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水</w:t>
            </w:r>
          </w:p>
        </w:tc>
        <w:tc>
          <w:tcPr>
            <w:tcW w:w="955" w:type="pct"/>
            <w:vAlign w:val="center"/>
          </w:tcPr>
          <w:p>
            <w:pPr>
              <w:pStyle w:val="27"/>
              <w:ind w:left="113" w:leftChars="0"/>
              <w:jc w:val="center"/>
              <w:rPr>
                <w:rFonts w:hint="eastAsia" w:eastAsia="宋体"/>
                <w:b/>
                <w:bCs/>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泥浆池</w:t>
            </w:r>
          </w:p>
        </w:tc>
        <w:tc>
          <w:tcPr>
            <w:tcW w:w="1131" w:type="pct"/>
            <w:vAlign w:val="center"/>
          </w:tcPr>
          <w:p>
            <w:pPr>
              <w:pStyle w:val="27"/>
              <w:ind w:left="111" w:leftChars="0"/>
              <w:jc w:val="center"/>
              <w:rPr>
                <w:b/>
                <w:bCs/>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泥浆池内</w:t>
            </w:r>
            <w:r>
              <w:rPr>
                <w:color w:val="000000" w:themeColor="text1"/>
                <w:kern w:val="2"/>
                <w:sz w:val="21"/>
                <w:szCs w:val="21"/>
                <w:lang w:eastAsia="zh-CN" w:bidi="ar-SA"/>
                <w14:textFill>
                  <w14:solidFill>
                    <w14:schemeClr w14:val="tx1"/>
                  </w14:solidFill>
                </w14:textFill>
              </w:rPr>
              <w:t>铺设防渗材料</w:t>
            </w:r>
            <w:r>
              <w:rPr>
                <w:rFonts w:hint="eastAsia"/>
                <w:color w:val="000000" w:themeColor="text1"/>
                <w:kern w:val="2"/>
                <w:sz w:val="21"/>
                <w:szCs w:val="21"/>
                <w:lang w:eastAsia="zh-CN" w:bidi="ar-SA"/>
                <w14:textFill>
                  <w14:solidFill>
                    <w14:schemeClr w14:val="tx1"/>
                  </w14:solidFill>
                </w14:textFill>
              </w:rPr>
              <w:t>，</w:t>
            </w:r>
            <w:r>
              <w:rPr>
                <w:rFonts w:hint="eastAsia"/>
                <w:color w:val="000000" w:themeColor="text1"/>
                <w:sz w:val="21"/>
                <w:szCs w:val="21"/>
                <w:lang w:eastAsia="zh-CN"/>
                <w14:textFill>
                  <w14:solidFill>
                    <w14:schemeClr w14:val="tx1"/>
                  </w14:solidFill>
                </w14:textFill>
              </w:rPr>
              <w:t>进行防渗处理</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1.0</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298</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55" w:type="pct"/>
            <w:vAlign w:val="center"/>
          </w:tcPr>
          <w:p>
            <w:pPr>
              <w:pStyle w:val="27"/>
              <w:spacing w:before="1"/>
              <w:ind w:left="113" w:leftChars="0"/>
              <w:jc w:val="center"/>
              <w:rPr>
                <w:color w:val="000000" w:themeColor="text1"/>
                <w:sz w:val="21"/>
                <w:szCs w:val="21"/>
                <w:highlight w:val="yellow"/>
                <w14:textFill>
                  <w14:solidFill>
                    <w14:schemeClr w14:val="tx1"/>
                  </w14:solidFill>
                </w14:textFill>
              </w:rPr>
            </w:pPr>
            <w:r>
              <w:rPr>
                <w:rFonts w:hint="eastAsia"/>
                <w:color w:val="000000" w:themeColor="text1"/>
                <w:sz w:val="21"/>
                <w:szCs w:val="21"/>
                <w:lang w:eastAsia="zh-CN"/>
                <w14:textFill>
                  <w14:solidFill>
                    <w14:schemeClr w14:val="tx1"/>
                  </w14:solidFill>
                </w14:textFill>
              </w:rPr>
              <w:t>旱厕</w:t>
            </w:r>
          </w:p>
        </w:tc>
        <w:tc>
          <w:tcPr>
            <w:tcW w:w="1131" w:type="pct"/>
            <w:vAlign w:val="center"/>
          </w:tcPr>
          <w:p>
            <w:pPr>
              <w:pStyle w:val="27"/>
              <w:spacing w:before="1"/>
              <w:ind w:left="111" w:leftChars="0"/>
              <w:jc w:val="center"/>
              <w:rPr>
                <w:rFonts w:hint="eastAsia" w:eastAsia="宋体"/>
                <w:bCs/>
                <w:color w:val="000000" w:themeColor="text1"/>
                <w:sz w:val="21"/>
                <w:szCs w:val="21"/>
                <w:highlight w:val="yellow"/>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0.1</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highlight w:val="yellow"/>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29.8</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highlight w:val="yellow"/>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三</w:t>
            </w:r>
          </w:p>
        </w:tc>
        <w:tc>
          <w:tcPr>
            <w:tcW w:w="445" w:type="pct"/>
            <w:vMerge w:val="restar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固体</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废物</w:t>
            </w:r>
          </w:p>
        </w:tc>
        <w:tc>
          <w:tcPr>
            <w:tcW w:w="955" w:type="pct"/>
            <w:vAlign w:val="center"/>
          </w:tcPr>
          <w:p>
            <w:pPr>
              <w:pStyle w:val="27"/>
              <w:spacing w:before="1"/>
              <w:ind w:left="113" w:leftChars="0"/>
              <w:jc w:val="center"/>
              <w:rPr>
                <w:rFonts w:hint="default" w:eastAsia="宋体"/>
                <w:bCs/>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泥浆池</w:t>
            </w:r>
          </w:p>
        </w:tc>
        <w:tc>
          <w:tcPr>
            <w:tcW w:w="1131" w:type="pct"/>
            <w:vAlign w:val="center"/>
          </w:tcPr>
          <w:p>
            <w:pPr>
              <w:pStyle w:val="27"/>
              <w:spacing w:before="1"/>
              <w:ind w:left="111" w:leftChars="0"/>
              <w:jc w:val="center"/>
              <w:rPr>
                <w:bCs/>
                <w:color w:val="000000" w:themeColor="text1"/>
                <w:sz w:val="2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对废弃泥浆进行自然蒸发后就地填埋</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0.4</w:t>
            </w:r>
            <w:r>
              <w:rPr>
                <w:rFonts w:hint="eastAsia"/>
                <w:color w:val="000000" w:themeColor="text1"/>
                <w:sz w:val="21"/>
                <w:szCs w:val="21"/>
                <w14:textFill>
                  <w14:solidFill>
                    <w14:schemeClr w14:val="tx1"/>
                  </w14:solidFill>
                </w14:textFill>
              </w:rPr>
              <w:t>万元，</w:t>
            </w:r>
          </w:p>
          <w:p>
            <w:pPr>
              <w:adjustRightInd w:val="0"/>
              <w:snapToGrid w:val="0"/>
              <w:rPr>
                <w:bCs/>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119.2</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55" w:type="pct"/>
            <w:vAlign w:val="center"/>
          </w:tcPr>
          <w:p>
            <w:pPr>
              <w:pStyle w:val="27"/>
              <w:ind w:left="113" w:leftChars="0"/>
              <w:jc w:val="center"/>
              <w:rPr>
                <w:rFonts w:hint="eastAsia" w:eastAsia="宋体"/>
                <w:b/>
                <w:bCs/>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岩芯池</w:t>
            </w:r>
          </w:p>
        </w:tc>
        <w:tc>
          <w:tcPr>
            <w:tcW w:w="1131" w:type="pct"/>
            <w:vAlign w:val="center"/>
          </w:tcPr>
          <w:p>
            <w:pPr>
              <w:pStyle w:val="27"/>
              <w:ind w:left="111" w:leftChars="0"/>
              <w:jc w:val="center"/>
              <w:rPr>
                <w:b/>
                <w:bCs/>
                <w:color w:val="000000" w:themeColor="text1"/>
                <w:sz w:val="21"/>
                <w:szCs w:val="21"/>
                <w14:textFill>
                  <w14:solidFill>
                    <w14:schemeClr w14:val="tx1"/>
                  </w14:solidFill>
                </w14:textFill>
              </w:rPr>
            </w:pPr>
            <w:r>
              <w:rPr>
                <w:color w:val="000000" w:themeColor="text1"/>
                <w:kern w:val="2"/>
                <w:sz w:val="21"/>
                <w:szCs w:val="21"/>
                <w:lang w:eastAsia="zh-CN" w:bidi="ar-SA"/>
                <w14:textFill>
                  <w14:solidFill>
                    <w14:schemeClr w14:val="tx1"/>
                  </w14:solidFill>
                </w14:textFill>
              </w:rPr>
              <w:t>存放</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的</w:t>
            </w:r>
            <w:r>
              <w:rPr>
                <w:rFonts w:hint="eastAsia"/>
                <w:color w:val="000000" w:themeColor="text1"/>
                <w:kern w:val="2"/>
                <w:sz w:val="21"/>
                <w:szCs w:val="21"/>
                <w:lang w:eastAsia="zh-CN" w:bidi="ar-SA"/>
                <w14:textFill>
                  <w14:solidFill>
                    <w14:schemeClr w14:val="tx1"/>
                  </w14:solidFill>
                </w14:textFill>
              </w:rPr>
              <w:t>岩芯</w:t>
            </w:r>
            <w:r>
              <w:rPr>
                <w:color w:val="000000" w:themeColor="text1"/>
                <w:kern w:val="2"/>
                <w:sz w:val="21"/>
                <w:szCs w:val="21"/>
                <w:lang w:eastAsia="zh-CN" w:bidi="ar-SA"/>
                <w14:textFill>
                  <w14:solidFill>
                    <w14:schemeClr w14:val="tx1"/>
                  </w14:solidFill>
                </w14:textFill>
              </w:rPr>
              <w:t>池内铺设防渗材料</w:t>
            </w:r>
            <w:r>
              <w:rPr>
                <w:rFonts w:hint="eastAsia"/>
                <w:color w:val="000000" w:themeColor="text1"/>
                <w:kern w:val="2"/>
                <w:sz w:val="21"/>
                <w:szCs w:val="21"/>
                <w:lang w:eastAsia="zh-CN" w:bidi="ar-SA"/>
                <w14:textFill>
                  <w14:solidFill>
                    <w14:schemeClr w14:val="tx1"/>
                  </w14:solidFill>
                </w14:textFill>
              </w:rPr>
              <w:t>，钻探结束后就地填埋</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0.6</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178.8</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55" w:type="pct"/>
            <w:vAlign w:val="center"/>
          </w:tcPr>
          <w:p>
            <w:pPr>
              <w:pStyle w:val="27"/>
              <w:ind w:left="113" w:leftChars="0"/>
              <w:jc w:val="center"/>
              <w:rPr>
                <w:rFonts w:hint="eastAsia" w:eastAsia="宋体"/>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垃圾桶</w:t>
            </w:r>
          </w:p>
        </w:tc>
        <w:tc>
          <w:tcPr>
            <w:tcW w:w="1131" w:type="pct"/>
            <w:vAlign w:val="center"/>
          </w:tcPr>
          <w:p>
            <w:pPr>
              <w:pStyle w:val="27"/>
              <w:ind w:left="111" w:leftChars="0"/>
              <w:jc w:val="center"/>
              <w:rPr>
                <w:color w:val="000000" w:themeColor="text1"/>
                <w:sz w:val="21"/>
                <w:szCs w:val="21"/>
                <w14:textFill>
                  <w14:solidFill>
                    <w14:schemeClr w14:val="tx1"/>
                  </w14:solidFill>
                </w14:textFill>
              </w:rPr>
            </w:pPr>
            <w:r>
              <w:rPr>
                <w:rFonts w:hint="eastAsia"/>
                <w:color w:val="000000" w:themeColor="text1"/>
                <w:kern w:val="2"/>
                <w:sz w:val="21"/>
                <w:szCs w:val="21"/>
                <w:lang w:eastAsia="zh-CN" w:bidi="ar-SA"/>
                <w14:textFill>
                  <w14:solidFill>
                    <w14:schemeClr w14:val="tx1"/>
                  </w14:solidFill>
                </w14:textFill>
              </w:rPr>
              <w:t>集中收集、处置</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0.1</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29.8</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445" w:type="pct"/>
            <w:vMerge w:val="continue"/>
            <w:vAlign w:val="center"/>
          </w:tcPr>
          <w:p>
            <w:pPr>
              <w:adjustRightInd w:val="0"/>
              <w:snapToGrid w:val="0"/>
              <w:jc w:val="center"/>
              <w:rPr>
                <w:bCs/>
                <w:color w:val="000000" w:themeColor="text1"/>
                <w:sz w:val="21"/>
                <w:szCs w:val="21"/>
                <w14:textFill>
                  <w14:solidFill>
                    <w14:schemeClr w14:val="tx1"/>
                  </w14:solidFill>
                </w14:textFill>
              </w:rPr>
            </w:pPr>
          </w:p>
        </w:tc>
        <w:tc>
          <w:tcPr>
            <w:tcW w:w="955" w:type="pct"/>
            <w:vAlign w:val="center"/>
          </w:tcPr>
          <w:p>
            <w:pPr>
              <w:pStyle w:val="27"/>
              <w:ind w:left="113" w:leftChars="0"/>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废机油收集桶</w:t>
            </w:r>
          </w:p>
        </w:tc>
        <w:tc>
          <w:tcPr>
            <w:tcW w:w="1131" w:type="pct"/>
            <w:vAlign w:val="center"/>
          </w:tcPr>
          <w:p>
            <w:pPr>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经收集后交有资质单位进行处置</w:t>
            </w:r>
          </w:p>
        </w:tc>
        <w:tc>
          <w:tcPr>
            <w:tcW w:w="1355" w:type="pct"/>
            <w:vAlign w:val="center"/>
          </w:tcPr>
          <w:p>
            <w:pPr>
              <w:adjustRightInd w:val="0"/>
              <w:snapToGrid w:val="0"/>
              <w:rPr>
                <w:rFonts w:hint="eastAsia"/>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单个钻井场地费用为</w:t>
            </w:r>
            <w:r>
              <w:rPr>
                <w:rFonts w:hint="eastAsia"/>
                <w:bCs/>
                <w:color w:val="000000" w:themeColor="text1"/>
                <w:sz w:val="21"/>
                <w:szCs w:val="21"/>
                <w:lang w:eastAsia="zh-CN"/>
                <w14:textFill>
                  <w14:solidFill>
                    <w14:schemeClr w14:val="tx1"/>
                  </w14:solidFill>
                </w14:textFill>
              </w:rPr>
              <w:t>0.5</w:t>
            </w:r>
            <w:r>
              <w:rPr>
                <w:rFonts w:hint="eastAsia"/>
                <w:color w:val="000000" w:themeColor="text1"/>
                <w:sz w:val="21"/>
                <w:szCs w:val="21"/>
                <w:lang w:eastAsia="zh-CN"/>
                <w14:textFill>
                  <w14:solidFill>
                    <w14:schemeClr w14:val="tx1"/>
                  </w14:solidFill>
                </w14:textFill>
              </w:rPr>
              <w:t>万元，总费用为</w:t>
            </w:r>
            <w:r>
              <w:rPr>
                <w:rFonts w:hint="eastAsia"/>
                <w:color w:val="000000" w:themeColor="text1"/>
                <w:sz w:val="21"/>
                <w:szCs w:val="21"/>
                <w:lang w:val="en-US" w:eastAsia="zh-CN"/>
                <w14:textFill>
                  <w14:solidFill>
                    <w14:schemeClr w14:val="tx1"/>
                  </w14:solidFill>
                </w14:textFill>
              </w:rPr>
              <w:t>149</w:t>
            </w:r>
            <w:r>
              <w:rPr>
                <w:rFonts w:hint="eastAsia"/>
                <w:color w:val="000000" w:themeColor="text1"/>
                <w:sz w:val="21"/>
                <w:szCs w:val="21"/>
                <w:lang w:eastAsia="zh-CN"/>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bCs/>
                <w:color w:val="000000" w:themeColor="text1"/>
                <w:sz w:val="21"/>
                <w:szCs w:val="21"/>
                <w14:textFill>
                  <w14:solidFill>
                    <w14:schemeClr w14:val="tx1"/>
                  </w14:solidFill>
                </w14:textFill>
              </w:rPr>
              <w:t>四</w:t>
            </w:r>
          </w:p>
        </w:tc>
        <w:tc>
          <w:tcPr>
            <w:tcW w:w="445" w:type="pct"/>
            <w:vAlign w:val="center"/>
          </w:tcPr>
          <w:p>
            <w:pPr>
              <w:adjustRightInd w:val="0"/>
              <w:snapToGrid w:val="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噪声</w:t>
            </w:r>
          </w:p>
        </w:tc>
        <w:tc>
          <w:tcPr>
            <w:tcW w:w="955" w:type="pct"/>
            <w:vAlign w:val="center"/>
          </w:tcPr>
          <w:p>
            <w:pPr>
              <w:pStyle w:val="27"/>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c>
          <w:tcPr>
            <w:tcW w:w="1131" w:type="pct"/>
            <w:vAlign w:val="top"/>
          </w:tcPr>
          <w:p>
            <w:pPr>
              <w:pStyle w:val="27"/>
              <w:ind w:left="111"/>
              <w:jc w:val="center"/>
              <w:rPr>
                <w:bCs/>
                <w:color w:val="000000" w:themeColor="text1"/>
                <w:sz w:val="21"/>
                <w:szCs w:val="21"/>
                <w:lang w:eastAsia="zh-CN"/>
                <w14:textFill>
                  <w14:solidFill>
                    <w14:schemeClr w14:val="tx1"/>
                  </w14:solidFill>
                </w14:textFill>
              </w:rPr>
            </w:pPr>
            <w:r>
              <w:rPr>
                <w:bCs/>
                <w:color w:val="000000" w:themeColor="text1"/>
                <w:sz w:val="21"/>
                <w:szCs w:val="21"/>
                <w:lang w:eastAsia="zh-CN"/>
                <w14:textFill>
                  <w14:solidFill>
                    <w14:schemeClr w14:val="tx1"/>
                  </w14:solidFill>
                </w14:textFill>
              </w:rPr>
              <w:t>选用低噪声设备、弹性衬垫减振降噪</w:t>
            </w:r>
          </w:p>
          <w:p>
            <w:pPr>
              <w:pStyle w:val="27"/>
              <w:ind w:left="111" w:leftChars="0"/>
              <w:jc w:val="center"/>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bCs/>
                <w:color w:val="000000" w:themeColor="text1"/>
                <w:sz w:val="21"/>
                <w:szCs w:val="21"/>
                <w:lang w:eastAsia="zh-CN"/>
                <w14:textFill>
                  <w14:solidFill>
                    <w14:schemeClr w14:val="tx1"/>
                  </w14:solidFill>
                </w14:textFill>
              </w:rPr>
              <w:t>等措施</w:t>
            </w:r>
            <w:r>
              <w:rPr>
                <w:color w:val="000000" w:themeColor="text1"/>
                <w:sz w:val="21"/>
                <w:szCs w:val="21"/>
                <w14:textFill>
                  <w14:solidFill>
                    <w14:schemeClr w14:val="tx1"/>
                  </w14:solidFill>
                </w14:textFill>
              </w:rPr>
              <w:t xml:space="preserve"> </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0.5</w:t>
            </w:r>
            <w:r>
              <w:rPr>
                <w:rFonts w:hint="eastAsia"/>
                <w:color w:val="000000" w:themeColor="text1"/>
                <w:sz w:val="21"/>
                <w:szCs w:val="21"/>
                <w14:textFill>
                  <w14:solidFill>
                    <w14:schemeClr w14:val="tx1"/>
                  </w14:solidFill>
                </w14:textFill>
              </w:rPr>
              <w:t>万元，</w:t>
            </w:r>
          </w:p>
          <w:p>
            <w:pPr>
              <w:adjustRightInd w:val="0"/>
              <w:snapToGrid w:val="0"/>
              <w:rPr>
                <w:rFonts w:hint="eastAsia" w:ascii="Times New Roman" w:hAnsi="Times New Roman" w:eastAsia="宋体" w:cs="Times New Roman"/>
                <w:bCs/>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149</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五</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生态</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恢复</w:t>
            </w:r>
          </w:p>
        </w:tc>
        <w:tc>
          <w:tcPr>
            <w:tcW w:w="955" w:type="pct"/>
            <w:vAlign w:val="center"/>
          </w:tcPr>
          <w:p>
            <w:pPr>
              <w:pStyle w:val="27"/>
              <w:jc w:val="center"/>
              <w:rPr>
                <w:rFonts w:hint="default" w:eastAsia="宋体"/>
                <w:color w:val="000000" w:themeColor="text1"/>
                <w:sz w:val="21"/>
                <w:szCs w:val="21"/>
                <w:lang w:val="en-US"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c>
          <w:tcPr>
            <w:tcW w:w="1131" w:type="pct"/>
            <w:vAlign w:val="center"/>
          </w:tcPr>
          <w:p>
            <w:pPr>
              <w:pStyle w:val="27"/>
              <w:ind w:left="111" w:leftChars="0"/>
              <w:jc w:val="center"/>
              <w:rPr>
                <w:color w:val="000000" w:themeColor="text1"/>
                <w:sz w:val="21"/>
                <w:szCs w:val="21"/>
                <w14:textFill>
                  <w14:solidFill>
                    <w14:schemeClr w14:val="tx1"/>
                  </w14:solidFill>
                </w14:textFill>
              </w:rPr>
            </w:pPr>
            <w:r>
              <w:rPr>
                <w:rFonts w:hint="eastAsia"/>
                <w:bCs/>
                <w:color w:val="000000" w:themeColor="text1"/>
                <w:sz w:val="21"/>
                <w:szCs w:val="21"/>
                <w:lang w:eastAsia="zh-CN"/>
                <w14:textFill>
                  <w14:solidFill>
                    <w14:schemeClr w14:val="tx1"/>
                  </w14:solidFill>
                </w14:textFill>
              </w:rPr>
              <w:t>平整场地，并对临时占地进行恢复</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单个井场费用</w:t>
            </w:r>
            <w:r>
              <w:rPr>
                <w:color w:val="000000" w:themeColor="text1"/>
                <w:sz w:val="21"/>
                <w:szCs w:val="21"/>
                <w14:textFill>
                  <w14:solidFill>
                    <w14:schemeClr w14:val="tx1"/>
                  </w14:solidFill>
                </w14:textFill>
              </w:rPr>
              <w:t>0.5</w:t>
            </w:r>
            <w:r>
              <w:rPr>
                <w:rFonts w:hint="eastAsia"/>
                <w:color w:val="000000" w:themeColor="text1"/>
                <w:sz w:val="21"/>
                <w:szCs w:val="21"/>
                <w14:textFill>
                  <w14:solidFill>
                    <w14:schemeClr w14:val="tx1"/>
                  </w14:solidFill>
                </w14:textFill>
              </w:rPr>
              <w:t>万元，</w:t>
            </w:r>
          </w:p>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149</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4" w:hRule="atLeast"/>
        </w:trPr>
        <w:tc>
          <w:tcPr>
            <w:tcW w:w="387"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六</w:t>
            </w:r>
          </w:p>
        </w:tc>
        <w:tc>
          <w:tcPr>
            <w:tcW w:w="445" w:type="pct"/>
            <w:vAlign w:val="center"/>
          </w:tcPr>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辐射</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环境</w:t>
            </w:r>
          </w:p>
          <w:p>
            <w:pPr>
              <w:adjustRightInd w:val="0"/>
              <w:snapToGrid w:val="0"/>
              <w:jc w:val="center"/>
              <w:rPr>
                <w:bCs/>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监测</w:t>
            </w:r>
          </w:p>
        </w:tc>
        <w:tc>
          <w:tcPr>
            <w:tcW w:w="955" w:type="pct"/>
            <w:vAlign w:val="center"/>
          </w:tcPr>
          <w:p>
            <w:pPr>
              <w:pStyle w:val="27"/>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w:t>
            </w:r>
          </w:p>
        </w:tc>
        <w:tc>
          <w:tcPr>
            <w:tcW w:w="1131" w:type="pct"/>
            <w:vAlign w:val="center"/>
          </w:tcPr>
          <w:p>
            <w:pPr>
              <w:adjustRightInd w:val="0"/>
              <w:snapToGrid w:val="0"/>
              <w:jc w:val="center"/>
              <w:rPr>
                <w:color w:val="000000" w:themeColor="text1"/>
                <w:sz w:val="21"/>
                <w:szCs w:val="21"/>
                <w14:textFill>
                  <w14:solidFill>
                    <w14:schemeClr w14:val="tx1"/>
                  </w14:solidFill>
                </w14:textFill>
              </w:rPr>
            </w:pPr>
            <w:r>
              <w:rPr>
                <w:rFonts w:ascii="Times New Roman"/>
                <w:color w:val="000000" w:themeColor="text1"/>
                <w:sz w:val="21"/>
                <w:szCs w:val="21"/>
                <w:lang w:eastAsia="zh-CN"/>
                <w14:textFill>
                  <w14:solidFill>
                    <w14:schemeClr w14:val="tx1"/>
                  </w14:solidFill>
                </w14:textFill>
              </w:rPr>
              <w:t>配备</w:t>
            </w:r>
            <w:r>
              <w:rPr>
                <w:rFonts w:hint="eastAsia" w:ascii="Times New Roman"/>
                <w:color w:val="000000" w:themeColor="text1"/>
                <w:sz w:val="21"/>
                <w:szCs w:val="21"/>
                <w:lang w:val="en-US" w:eastAsia="zh-CN"/>
                <w14:textFill>
                  <w14:solidFill>
                    <w14:schemeClr w14:val="tx1"/>
                  </w14:solidFill>
                </w14:textFill>
              </w:rPr>
              <w:t>4</w:t>
            </w:r>
            <w:r>
              <w:rPr>
                <w:rFonts w:hint="eastAsia" w:ascii="Times New Roman"/>
                <w:color w:val="000000" w:themeColor="text1"/>
                <w:sz w:val="21"/>
                <w:szCs w:val="21"/>
                <w:lang w:eastAsia="zh-CN"/>
                <w14:textFill>
                  <w14:solidFill>
                    <w14:schemeClr w14:val="tx1"/>
                  </w14:solidFill>
                </w14:textFill>
              </w:rPr>
              <w:t>台</w:t>
            </w:r>
            <w:r>
              <w:rPr>
                <w:rFonts w:ascii="Times New Roman" w:hAnsi="Times New Roman"/>
                <w:color w:val="000000" w:themeColor="text1"/>
                <w:sz w:val="21"/>
                <w:szCs w:val="21"/>
                <w14:textFill>
                  <w14:solidFill>
                    <w14:schemeClr w14:val="tx1"/>
                  </w14:solidFill>
                </w14:textFill>
              </w:rPr>
              <w:t>γ</w:t>
            </w:r>
            <w:r>
              <w:rPr>
                <w:rFonts w:ascii="Times New Roman"/>
                <w:color w:val="000000" w:themeColor="text1"/>
                <w:sz w:val="21"/>
                <w:szCs w:val="21"/>
                <w:lang w:eastAsia="zh-CN"/>
                <w14:textFill>
                  <w14:solidFill>
                    <w14:schemeClr w14:val="tx1"/>
                  </w14:solidFill>
                </w14:textFill>
              </w:rPr>
              <w:t>辐射剂量率监测仪器进行监测</w:t>
            </w:r>
          </w:p>
        </w:tc>
        <w:tc>
          <w:tcPr>
            <w:tcW w:w="1355" w:type="pct"/>
            <w:vAlign w:val="center"/>
          </w:tcPr>
          <w:p>
            <w:pPr>
              <w:adjustRightInd w:val="0"/>
              <w:snapToGrid w:val="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总费用</w:t>
            </w:r>
            <w:r>
              <w:rPr>
                <w:rFonts w:hint="eastAsia"/>
                <w:color w:val="000000" w:themeColor="text1"/>
                <w:sz w:val="21"/>
                <w:szCs w:val="21"/>
                <w:lang w:val="en-US" w:eastAsia="zh-CN"/>
                <w14:textFill>
                  <w14:solidFill>
                    <w14:schemeClr w14:val="tx1"/>
                  </w14:solidFill>
                </w14:textFill>
              </w:rPr>
              <w:t>4</w:t>
            </w:r>
            <w:r>
              <w:rPr>
                <w:rFonts w:hint="eastAsia"/>
                <w:color w:val="000000" w:themeColor="text1"/>
                <w:sz w:val="21"/>
                <w:szCs w:val="21"/>
                <w14:textFill>
                  <w14:solidFill>
                    <w14:schemeClr w14:val="tx1"/>
                  </w14:solidFill>
                </w14:textFill>
              </w:rPr>
              <w:t>万元</w:t>
            </w:r>
          </w:p>
        </w:tc>
        <w:tc>
          <w:tcPr>
            <w:tcW w:w="725" w:type="pct"/>
            <w:vMerge w:val="continue"/>
            <w:vAlign w:val="center"/>
          </w:tcPr>
          <w:p>
            <w:pPr>
              <w:adjustRightInd w:val="0"/>
              <w:snapToGrid w:val="0"/>
              <w:jc w:val="center"/>
              <w:rPr>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2918" w:type="pct"/>
            <w:gridSpan w:val="4"/>
            <w:vAlign w:val="center"/>
          </w:tcPr>
          <w:p>
            <w:pPr>
              <w:adjustRightInd w:val="0"/>
              <w:snapToGrid w:val="0"/>
              <w:jc w:val="center"/>
              <w:rPr>
                <w:color w:val="000000" w:themeColor="text1"/>
                <w:sz w:val="21"/>
                <w:szCs w:val="21"/>
                <w14:textFill>
                  <w14:solidFill>
                    <w14:schemeClr w14:val="tx1"/>
                  </w14:solidFill>
                </w14:textFill>
              </w:rPr>
            </w:pPr>
            <w:r>
              <w:rPr>
                <w:rFonts w:hint="eastAsia"/>
                <w:bCs/>
                <w:color w:val="000000" w:themeColor="text1"/>
                <w:sz w:val="21"/>
                <w:szCs w:val="21"/>
                <w14:textFill>
                  <w14:solidFill>
                    <w14:schemeClr w14:val="tx1"/>
                  </w14:solidFill>
                </w14:textFill>
              </w:rPr>
              <w:t>合计</w:t>
            </w:r>
          </w:p>
        </w:tc>
        <w:tc>
          <w:tcPr>
            <w:tcW w:w="2081" w:type="pct"/>
            <w:gridSpan w:val="2"/>
            <w:vAlign w:val="center"/>
          </w:tcPr>
          <w:p>
            <w:pPr>
              <w:adjustRightInd w:val="0"/>
              <w:snapToGrid w:val="0"/>
              <w:jc w:val="center"/>
              <w:rPr>
                <w:color w:val="000000" w:themeColor="text1"/>
                <w:sz w:val="21"/>
                <w:szCs w:val="21"/>
                <w:highlight w:val="yellow"/>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1166.2</w:t>
            </w:r>
            <w:r>
              <w:rPr>
                <w:rFonts w:hint="eastAsia"/>
                <w:color w:val="000000" w:themeColor="text1"/>
                <w:sz w:val="21"/>
                <w:szCs w:val="21"/>
                <w14:textFill>
                  <w14:solidFill>
                    <w14:schemeClr w14:val="tx1"/>
                  </w14:solidFill>
                </w14:textFill>
              </w:rPr>
              <w:t>万元</w:t>
            </w: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十一、</w:t>
      </w:r>
      <w:r>
        <w:rPr>
          <w:rFonts w:hint="eastAsia" w:eastAsia="黑体"/>
          <w:color w:val="000000" w:themeColor="text1"/>
          <w:sz w:val="32"/>
          <w14:textFill>
            <w14:solidFill>
              <w14:schemeClr w14:val="tx1"/>
            </w14:solidFill>
          </w14:textFill>
        </w:rPr>
        <w:t>环境管理与监测计划</w:t>
      </w:r>
    </w:p>
    <w:tbl>
      <w:tblPr>
        <w:tblStyle w:val="15"/>
        <w:tblW w:w="0" w:type="auto"/>
        <w:tblInd w:w="10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4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PrEx>
        <w:trPr>
          <w:trHeight w:val="13153" w:hRule="atLeast"/>
        </w:trPr>
        <w:tc>
          <w:tcPr>
            <w:tcW w:w="9740" w:type="dxa"/>
          </w:tcPr>
          <w:p>
            <w:pPr>
              <w:pStyle w:val="2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b/>
                <w:bCs/>
                <w:color w:val="000000" w:themeColor="text1"/>
                <w14:textFill>
                  <w14:solidFill>
                    <w14:schemeClr w14:val="tx1"/>
                  </w14:solidFill>
                </w14:textFill>
              </w:rPr>
              <w:t>1、环境管理</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建立环境管理机构是落实项目环保各项任务的保证。环境管理机构至少需安排专职环境管理人员1-2人（可适当安排兼职），总体负责本项目辐射防护和环境保护方面的工作，其主要职责体现在以下几个方面：</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（1）合理安排施工计划，确保文明施工；</w:t>
            </w:r>
          </w:p>
          <w:p>
            <w:pPr>
              <w:spacing w:line="360" w:lineRule="auto"/>
              <w:ind w:firstLine="480" w:firstLineChars="200"/>
              <w:rPr>
                <w:rFonts w:hint="default" w:ascii="Times New Roman" w:hAnsi="Times New Roman" w:cs="Times New Roman"/>
                <w:color w:val="000000" w:themeColor="text1"/>
                <w:sz w:val="24"/>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（2）监督工程所产生废物的处置情况及去向，确保各项环保措施的落实；</w:t>
            </w:r>
          </w:p>
          <w:p>
            <w:pPr>
              <w:pStyle w:val="26"/>
              <w:adjustRightInd/>
              <w:spacing w:line="360" w:lineRule="auto"/>
              <w:ind w:firstLine="480" w:firstLineChars="200"/>
              <w:jc w:val="both"/>
              <w:rPr>
                <w:rFonts w:hint="default" w:ascii="Times New Roman" w:hAnsi="Times New Roman" w:cs="Times New Roman"/>
                <w:b/>
                <w:bCs/>
                <w:color w:val="000000" w:themeColor="text1"/>
                <w14:textFill>
                  <w14:solidFill>
                    <w14:schemeClr w14:val="tx1"/>
                  </w14:solidFill>
                </w14:textFill>
              </w:rPr>
            </w:pPr>
            <w:r>
              <w:rPr>
                <w:rFonts w:hint="default" w:ascii="Times New Roman" w:hAnsi="Times New Roman" w:cs="Times New Roman"/>
                <w:color w:val="000000" w:themeColor="text1"/>
                <w:sz w:val="24"/>
                <w14:textFill>
                  <w14:solidFill>
                    <w14:schemeClr w14:val="tx1"/>
                  </w14:solidFill>
                </w14:textFill>
              </w:rPr>
              <w:t>（3）对工程实施过程中存在的污染环境的情况予以及时纠正。</w:t>
            </w:r>
          </w:p>
          <w:p>
            <w:pPr>
              <w:pStyle w:val="26"/>
              <w:adjustRightInd/>
              <w:spacing w:line="360" w:lineRule="auto"/>
              <w:jc w:val="both"/>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2、环境监测计划</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项目环境监测计划列于表1</w:t>
            </w:r>
            <w:r>
              <w:rPr>
                <w:color w:val="000000" w:themeColor="text1"/>
                <w:sz w:val="24"/>
                <w14:textFill>
                  <w14:solidFill>
                    <w14:schemeClr w14:val="tx1"/>
                  </w14:solidFill>
                </w14:textFill>
              </w:rPr>
              <w:t>1</w:t>
            </w:r>
            <w:r>
              <w:rPr>
                <w:rFonts w:hint="eastAsia"/>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井场环境监测布点见</w:t>
            </w:r>
            <w:r>
              <w:rPr>
                <w:rFonts w:hint="eastAsia"/>
                <w:color w:val="000000" w:themeColor="text1"/>
                <w:sz w:val="24"/>
                <w14:textFill>
                  <w14:solidFill>
                    <w14:schemeClr w14:val="tx1"/>
                  </w14:solidFill>
                </w14:textFill>
              </w:rPr>
              <w:t>附图</w:t>
            </w:r>
            <w:r>
              <w:rPr>
                <w:rFonts w:hint="eastAsia"/>
                <w:color w:val="000000" w:themeColor="text1"/>
                <w:sz w:val="24"/>
                <w:lang w:val="en-US" w:eastAsia="zh-CN"/>
                <w14:textFill>
                  <w14:solidFill>
                    <w14:schemeClr w14:val="tx1"/>
                  </w14:solidFill>
                </w14:textFill>
              </w:rPr>
              <w:t>15</w:t>
            </w:r>
            <w:r>
              <w:rPr>
                <w:rFonts w:hint="eastAsia"/>
                <w:color w:val="000000" w:themeColor="text1"/>
                <w:sz w:val="24"/>
                <w14:textFill>
                  <w14:solidFill>
                    <w14:schemeClr w14:val="tx1"/>
                  </w14:solidFill>
                </w14:textFill>
              </w:rPr>
              <w:t>。</w:t>
            </w:r>
          </w:p>
          <w:p>
            <w:pPr>
              <w:spacing w:line="240" w:lineRule="auto"/>
              <w:jc w:val="center"/>
              <w:rPr>
                <w:b w:val="0"/>
                <w:bCs w:val="0"/>
                <w:snapToGrid w:val="0"/>
                <w:color w:val="000000" w:themeColor="text1"/>
                <w:kern w:val="0"/>
                <w:sz w:val="24"/>
                <w14:textFill>
                  <w14:solidFill>
                    <w14:schemeClr w14:val="tx1"/>
                  </w14:solidFill>
                </w14:textFill>
              </w:rPr>
            </w:pPr>
            <w:r>
              <w:rPr>
                <w:b w:val="0"/>
                <w:bCs w:val="0"/>
                <w:snapToGrid w:val="0"/>
                <w:color w:val="000000" w:themeColor="text1"/>
                <w:kern w:val="0"/>
                <w:sz w:val="24"/>
                <w14:textFill>
                  <w14:solidFill>
                    <w14:schemeClr w14:val="tx1"/>
                  </w14:solidFill>
                </w14:textFill>
              </w:rPr>
              <w:t>表</w:t>
            </w:r>
            <w:r>
              <w:rPr>
                <w:rFonts w:hint="eastAsia"/>
                <w:b w:val="0"/>
                <w:bCs w:val="0"/>
                <w:snapToGrid w:val="0"/>
                <w:color w:val="000000" w:themeColor="text1"/>
                <w:kern w:val="0"/>
                <w:sz w:val="24"/>
                <w14:textFill>
                  <w14:solidFill>
                    <w14:schemeClr w14:val="tx1"/>
                  </w14:solidFill>
                </w14:textFill>
              </w:rPr>
              <w:t>1</w:t>
            </w:r>
            <w:r>
              <w:rPr>
                <w:b w:val="0"/>
                <w:bCs w:val="0"/>
                <w:snapToGrid w:val="0"/>
                <w:color w:val="000000" w:themeColor="text1"/>
                <w:kern w:val="0"/>
                <w:sz w:val="24"/>
                <w14:textFill>
                  <w14:solidFill>
                    <w14:schemeClr w14:val="tx1"/>
                  </w14:solidFill>
                </w14:textFill>
              </w:rPr>
              <w:t>1</w:t>
            </w:r>
            <w:r>
              <w:rPr>
                <w:rFonts w:hint="eastAsia"/>
                <w:b w:val="0"/>
                <w:bCs w:val="0"/>
                <w:snapToGrid w:val="0"/>
                <w:color w:val="000000" w:themeColor="text1"/>
                <w:kern w:val="0"/>
                <w:sz w:val="24"/>
                <w14:textFill>
                  <w14:solidFill>
                    <w14:schemeClr w14:val="tx1"/>
                  </w14:solidFill>
                </w14:textFill>
              </w:rPr>
              <w:t>-1</w:t>
            </w:r>
            <w:r>
              <w:rPr>
                <w:b w:val="0"/>
                <w:bCs w:val="0"/>
                <w:snapToGrid w:val="0"/>
                <w:color w:val="000000" w:themeColor="text1"/>
                <w:kern w:val="0"/>
                <w:sz w:val="24"/>
                <w14:textFill>
                  <w14:solidFill>
                    <w14:schemeClr w14:val="tx1"/>
                  </w14:solidFill>
                </w14:textFill>
              </w:rPr>
              <w:t xml:space="preserve">  环境</w:t>
            </w:r>
            <w:r>
              <w:rPr>
                <w:rFonts w:hint="eastAsia"/>
                <w:b w:val="0"/>
                <w:bCs w:val="0"/>
                <w:snapToGrid w:val="0"/>
                <w:color w:val="000000" w:themeColor="text1"/>
                <w:kern w:val="0"/>
                <w:sz w:val="24"/>
                <w14:textFill>
                  <w14:solidFill>
                    <w14:schemeClr w14:val="tx1"/>
                  </w14:solidFill>
                </w14:textFill>
              </w:rPr>
              <w:t>监测</w:t>
            </w:r>
            <w:r>
              <w:rPr>
                <w:b w:val="0"/>
                <w:bCs w:val="0"/>
                <w:snapToGrid w:val="0"/>
                <w:color w:val="000000" w:themeColor="text1"/>
                <w:kern w:val="0"/>
                <w:sz w:val="24"/>
                <w14:textFill>
                  <w14:solidFill>
                    <w14:schemeClr w14:val="tx1"/>
                  </w14:solidFill>
                </w14:textFill>
              </w:rPr>
              <w:t>计划表</w:t>
            </w:r>
          </w:p>
          <w:tbl>
            <w:tblPr>
              <w:tblStyle w:val="14"/>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4"/>
              <w:gridCol w:w="1540"/>
              <w:gridCol w:w="1418"/>
              <w:gridCol w:w="1701"/>
              <w:gridCol w:w="1418"/>
              <w:gridCol w:w="27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内容</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监测地点</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监测项目</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监测频次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监测时段</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控制标准或要求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辐射</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钻井场地</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γ辐射剂量率</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钻孔施工前和封孔后各监测一次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施工前封孔后</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确保前后两次剂量率监测结果处于同一水平范围内，所有监测数据存档备查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典型钻井场上风向及下风向</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颗粒物、SO</w:t>
                  </w:r>
                  <w:r>
                    <w:rPr>
                      <w:color w:val="000000" w:themeColor="text1"/>
                      <w:szCs w:val="21"/>
                      <w:vertAlign w:val="subscript"/>
                      <w14:textFill>
                        <w14:solidFill>
                          <w14:schemeClr w14:val="tx1"/>
                        </w14:solidFill>
                      </w14:textFill>
                    </w:rPr>
                    <w:t>2</w:t>
                  </w:r>
                  <w:r>
                    <w:rPr>
                      <w:rFonts w:hint="eastAsia"/>
                      <w:color w:val="000000" w:themeColor="text1"/>
                      <w:szCs w:val="21"/>
                      <w14:textFill>
                        <w14:solidFill>
                          <w14:schemeClr w14:val="tx1"/>
                        </w14:solidFill>
                      </w14:textFill>
                    </w:rPr>
                    <w:t>、NO</w:t>
                  </w:r>
                  <w:r>
                    <w:rPr>
                      <w:rFonts w:hint="eastAsia"/>
                      <w:color w:val="000000" w:themeColor="text1"/>
                      <w:szCs w:val="21"/>
                      <w:vertAlign w:val="subscript"/>
                      <w14:textFill>
                        <w14:solidFill>
                          <w14:schemeClr w14:val="tx1"/>
                        </w14:solidFill>
                      </w14:textFill>
                    </w:rPr>
                    <w:t>X</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《大气污染物综合排放标准》（</w:t>
                  </w:r>
                  <w:r>
                    <w:rPr>
                      <w:color w:val="000000" w:themeColor="text1"/>
                      <w:szCs w:val="21"/>
                      <w14:textFill>
                        <w14:solidFill>
                          <w14:schemeClr w14:val="tx1"/>
                        </w14:solidFill>
                      </w14:textFill>
                    </w:rPr>
                    <w:t>GB16297-1996</w:t>
                  </w:r>
                  <w:r>
                    <w:rPr>
                      <w:rFonts w:hint="eastAsia"/>
                      <w:color w:val="000000" w:themeColor="text1"/>
                      <w:szCs w:val="21"/>
                      <w14:textFill>
                        <w14:solidFill>
                          <w14:schemeClr w14:val="tx1"/>
                        </w14:solidFill>
                      </w14:textFill>
                    </w:rPr>
                    <w:t>）中“无组织排放监控浓度限值”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噪声</w:t>
                  </w:r>
                </w:p>
              </w:tc>
              <w:tc>
                <w:tcPr>
                  <w:tcW w:w="811"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典型钻井场界</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等效连续</w:t>
                  </w:r>
                  <w:r>
                    <w:rPr>
                      <w:color w:val="000000" w:themeColor="text1"/>
                      <w:szCs w:val="21"/>
                      <w:lang w:bidi="ar"/>
                      <w14:textFill>
                        <w14:solidFill>
                          <w14:schemeClr w14:val="tx1"/>
                        </w14:solidFill>
                      </w14:textFill>
                    </w:rPr>
                    <w:t>A</w:t>
                  </w:r>
                  <w:r>
                    <w:rPr>
                      <w:rFonts w:hint="eastAsia" w:cs="宋体"/>
                      <w:color w:val="000000" w:themeColor="text1"/>
                      <w:szCs w:val="21"/>
                      <w:lang w:bidi="ar"/>
                      <w14:textFill>
                        <w14:solidFill>
                          <w14:schemeClr w14:val="tx1"/>
                        </w14:solidFill>
                      </w14:textFill>
                    </w:rPr>
                    <w:t>声级</w:t>
                  </w:r>
                </w:p>
              </w:tc>
              <w:tc>
                <w:tcPr>
                  <w:tcW w:w="896"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一次</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s="宋体"/>
                      <w:color w:val="000000" w:themeColor="text1"/>
                      <w:szCs w:val="21"/>
                      <w:lang w:bidi="ar"/>
                      <w14:textFill>
                        <w14:solidFill>
                          <w14:schemeClr w14:val="tx1"/>
                        </w14:solidFill>
                      </w14:textFill>
                    </w:rPr>
                    <w:t>施工期</w:t>
                  </w:r>
                </w:p>
              </w:tc>
              <w:tc>
                <w:tcPr>
                  <w:tcW w:w="1423"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s="宋体"/>
                      <w:color w:val="000000" w:themeColor="text1"/>
                      <w:lang w:bidi="ar"/>
                      <w14:textFill>
                        <w14:solidFill>
                          <w14:schemeClr w14:val="tx1"/>
                        </w14:solidFill>
                      </w14:textFill>
                    </w:rPr>
                    <w:t>《建筑施工场界环境噪声排放标准》（</w:t>
                  </w:r>
                  <w:r>
                    <w:rPr>
                      <w:color w:val="000000" w:themeColor="text1"/>
                      <w:lang w:bidi="ar"/>
                      <w14:textFill>
                        <w14:solidFill>
                          <w14:schemeClr w14:val="tx1"/>
                        </w14:solidFill>
                      </w14:textFill>
                    </w:rPr>
                    <w:t>GB12523-2011</w:t>
                  </w:r>
                  <w:r>
                    <w:rPr>
                      <w:rFonts w:hint="eastAsia" w:cs="宋体"/>
                      <w:color w:val="000000" w:themeColor="text1"/>
                      <w:lang w:bidi="ar"/>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87" w:type="pct"/>
                  <w:gridSpan w:val="2"/>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钻井泥浆</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实验室分析U</w:t>
                  </w:r>
                  <w:r>
                    <w:rPr>
                      <w:rFonts w:hint="eastAsia"/>
                      <w:color w:val="000000" w:themeColor="text1"/>
                      <w:szCs w:val="21"/>
                      <w:vertAlign w:val="subscript"/>
                      <w14:textFill>
                        <w14:solidFill>
                          <w14:schemeClr w14:val="tx1"/>
                        </w14:solidFill>
                      </w14:textFill>
                    </w:rPr>
                    <w:t>天然</w:t>
                  </w:r>
                  <w:r>
                    <w:rPr>
                      <w:rFonts w:hint="eastAsia"/>
                      <w:color w:val="000000" w:themeColor="text1"/>
                      <w:szCs w:val="21"/>
                      <w14:textFill>
                        <w14:solidFill>
                          <w14:schemeClr w14:val="tx1"/>
                        </w14:solidFill>
                      </w14:textFill>
                    </w:rPr>
                    <w:t>、</w:t>
                  </w:r>
                  <w:r>
                    <w:rPr>
                      <w:rFonts w:hint="eastAsia"/>
                      <w:color w:val="000000" w:themeColor="text1"/>
                      <w:szCs w:val="21"/>
                      <w:vertAlign w:val="superscript"/>
                      <w14:textFill>
                        <w14:solidFill>
                          <w14:schemeClr w14:val="tx1"/>
                        </w14:solidFill>
                      </w14:textFill>
                    </w:rPr>
                    <w:t>226</w:t>
                  </w:r>
                  <w:r>
                    <w:rPr>
                      <w:rFonts w:hint="eastAsia"/>
                      <w:color w:val="000000" w:themeColor="text1"/>
                      <w:szCs w:val="21"/>
                      <w14:textFill>
                        <w14:solidFill>
                          <w14:schemeClr w14:val="tx1"/>
                        </w14:solidFill>
                      </w14:textFill>
                    </w:rPr>
                    <w:t>Ra</w:t>
                  </w:r>
                </w:p>
              </w:tc>
              <w:tc>
                <w:tcPr>
                  <w:tcW w:w="896" w:type="pct"/>
                  <w:tcBorders>
                    <w:tl2br w:val="nil"/>
                    <w:tr2bl w:val="nil"/>
                  </w:tcBorders>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每个</w:t>
                  </w:r>
                  <w:r>
                    <w:rPr>
                      <w:rFonts w:hint="eastAsia"/>
                      <w:color w:val="000000" w:themeColor="text1"/>
                      <w:szCs w:val="21"/>
                      <w:lang w:eastAsia="zh-CN"/>
                      <w14:textFill>
                        <w14:solidFill>
                          <w14:schemeClr w14:val="tx1"/>
                        </w14:solidFill>
                      </w14:textFill>
                    </w:rPr>
                    <w:t>勘查区</w:t>
                  </w:r>
                  <w:r>
                    <w:rPr>
                      <w:rFonts w:hint="eastAsia"/>
                      <w:color w:val="000000" w:themeColor="text1"/>
                      <w:szCs w:val="21"/>
                      <w14:textFill>
                        <w14:solidFill>
                          <w14:schemeClr w14:val="tx1"/>
                        </w14:solidFill>
                      </w14:textFill>
                    </w:rPr>
                    <w:t>选取有代表性的钻井泥浆采样检测</w:t>
                  </w:r>
                </w:p>
              </w:tc>
              <w:tc>
                <w:tcPr>
                  <w:tcW w:w="747"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施工结束后</w:t>
                  </w:r>
                </w:p>
              </w:tc>
              <w:tc>
                <w:tcPr>
                  <w:tcW w:w="1423" w:type="pct"/>
                  <w:tcBorders>
                    <w:tl2br w:val="nil"/>
                    <w:tr2bl w:val="nil"/>
                  </w:tcBorders>
                  <w:shd w:val="clear" w:color="auto" w:fill="auto"/>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检测数据存档备查</w:t>
                  </w:r>
                </w:p>
              </w:tc>
            </w:tr>
          </w:tbl>
          <w:p>
            <w:pPr>
              <w:spacing w:line="360" w:lineRule="auto"/>
              <w:ind w:firstLine="480" w:firstLineChars="200"/>
              <w:rPr>
                <w:color w:val="000000" w:themeColor="text1"/>
                <w:lang w:eastAsia="zh-CN"/>
                <w14:textFill>
                  <w14:solidFill>
                    <w14:schemeClr w14:val="tx1"/>
                  </w14:solidFill>
                </w14:textFill>
              </w:rPr>
            </w:pPr>
            <w:bookmarkStart w:id="27" w:name="_Toc99951926"/>
            <w:r>
              <w:rPr>
                <w:rFonts w:hint="eastAsia"/>
                <w:color w:val="000000" w:themeColor="text1"/>
                <w:sz w:val="24"/>
                <w:szCs w:val="24"/>
                <w:lang w:eastAsia="zh-CN"/>
                <w14:textFill>
                  <w14:solidFill>
                    <w14:schemeClr w14:val="tx1"/>
                  </w14:solidFill>
                </w14:textFill>
              </w:rPr>
              <w:t>若封孔后钻探场地</w:t>
            </w:r>
            <w:r>
              <w:rPr>
                <w:rFonts w:hint="eastAsia"/>
                <w:color w:val="000000" w:themeColor="text1"/>
                <w:sz w:val="24"/>
                <w:szCs w:val="24"/>
                <w14:textFill>
                  <w14:solidFill>
                    <w14:schemeClr w14:val="tx1"/>
                  </w14:solidFill>
                </w14:textFill>
              </w:rPr>
              <w:t>γ</w:t>
            </w:r>
            <w:r>
              <w:rPr>
                <w:rFonts w:hint="eastAsia"/>
                <w:color w:val="000000" w:themeColor="text1"/>
                <w:sz w:val="24"/>
                <w:szCs w:val="24"/>
                <w:lang w:eastAsia="zh-CN"/>
                <w14:textFill>
                  <w14:solidFill>
                    <w14:schemeClr w14:val="tx1"/>
                  </w14:solidFill>
                </w14:textFill>
              </w:rPr>
              <w:t>辐射空气吸收剂量率明显高于钻探场地施工前空气吸收剂量率监测值，表明钻探过程中产生的含矿岩心出现撒漏情况，且未完全清理，应将撒漏的含矿岩心完全清理后与非矿段岩心一起埋入岩芯池，表面覆盖土层、压实后，重新进行</w:t>
            </w:r>
            <w:r>
              <w:rPr>
                <w:rFonts w:hint="eastAsia"/>
                <w:color w:val="000000" w:themeColor="text1"/>
                <w:sz w:val="24"/>
                <w:szCs w:val="24"/>
                <w14:textFill>
                  <w14:solidFill>
                    <w14:schemeClr w14:val="tx1"/>
                  </w14:solidFill>
                </w14:textFill>
              </w:rPr>
              <w:t>γ</w:t>
            </w:r>
            <w:r>
              <w:rPr>
                <w:rFonts w:hint="eastAsia"/>
                <w:color w:val="000000" w:themeColor="text1"/>
                <w:sz w:val="24"/>
                <w:szCs w:val="24"/>
                <w:lang w:eastAsia="zh-CN"/>
                <w14:textFill>
                  <w14:solidFill>
                    <w14:schemeClr w14:val="tx1"/>
                  </w14:solidFill>
                </w14:textFill>
              </w:rPr>
              <w:t>辐射空气吸收剂量率监</w:t>
            </w:r>
            <w:r>
              <w:rPr>
                <w:color w:val="000000" w:themeColor="text1"/>
                <w:sz w:val="24"/>
                <w:lang w:eastAsia="zh-CN"/>
                <w14:textFill>
                  <w14:solidFill>
                    <w14:schemeClr w14:val="tx1"/>
                  </w14:solidFill>
                </w14:textFill>
              </w:rPr>
              <w:t>测，并监测泥浆池</w:t>
            </w:r>
            <w:r>
              <w:rPr>
                <w:rFonts w:hint="eastAsia"/>
                <w:color w:val="000000" w:themeColor="text1"/>
                <w:sz w:val="24"/>
                <w:lang w:eastAsia="zh-CN"/>
                <w14:textFill>
                  <w14:solidFill>
                    <w14:schemeClr w14:val="tx1"/>
                  </w14:solidFill>
                </w14:textFill>
              </w:rPr>
              <w:t>、岩芯池氡及子体、氡析出率、气溶胶</w:t>
            </w:r>
            <w:r>
              <w:rPr>
                <w:rFonts w:hint="eastAsia"/>
                <w:color w:val="000000" w:themeColor="text1"/>
                <w:sz w:val="24"/>
                <w:szCs w:val="24"/>
                <w:lang w:eastAsia="zh-CN"/>
                <w14:textFill>
                  <w14:solidFill>
                    <w14:schemeClr w14:val="tx1"/>
                  </w14:solidFill>
                </w14:textFill>
              </w:rPr>
              <w:t>，直至土层表面</w:t>
            </w:r>
            <w:r>
              <w:rPr>
                <w:rFonts w:hint="eastAsia"/>
                <w:color w:val="000000" w:themeColor="text1"/>
                <w:sz w:val="24"/>
                <w:szCs w:val="24"/>
                <w14:textFill>
                  <w14:solidFill>
                    <w14:schemeClr w14:val="tx1"/>
                  </w14:solidFill>
                </w14:textFill>
              </w:rPr>
              <w:t>γ</w:t>
            </w:r>
            <w:r>
              <w:rPr>
                <w:rFonts w:hint="eastAsia"/>
                <w:color w:val="000000" w:themeColor="text1"/>
                <w:sz w:val="24"/>
                <w:szCs w:val="24"/>
                <w:lang w:eastAsia="zh-CN"/>
                <w14:textFill>
                  <w14:solidFill>
                    <w14:schemeClr w14:val="tx1"/>
                  </w14:solidFill>
                </w14:textFill>
              </w:rPr>
              <w:t>辐射空气吸收剂量率监测值与施工前空气吸收剂量率处于同一水平。</w:t>
            </w:r>
          </w:p>
          <w:bookmarkEnd w:id="27"/>
          <w:p>
            <w:pPr>
              <w:spacing w:line="360" w:lineRule="auto"/>
              <w:ind w:firstLine="420" w:firstLineChars="200"/>
              <w:rPr>
                <w:color w:val="000000" w:themeColor="text1"/>
                <w14:textFill>
                  <w14:solidFill>
                    <w14:schemeClr w14:val="tx1"/>
                  </w14:solidFill>
                </w14:textFill>
              </w:rPr>
            </w:pP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十二、</w:t>
      </w:r>
      <w:r>
        <w:rPr>
          <w:rFonts w:hint="eastAsia" w:eastAsia="黑体"/>
          <w:color w:val="000000" w:themeColor="text1"/>
          <w:sz w:val="32"/>
          <w14:textFill>
            <w14:solidFill>
              <w14:schemeClr w14:val="tx1"/>
            </w14:solidFill>
          </w14:textFill>
        </w:rPr>
        <w:t>环境修复</w:t>
      </w:r>
    </w:p>
    <w:tbl>
      <w:tblPr>
        <w:tblStyle w:val="15"/>
        <w:tblW w:w="0" w:type="auto"/>
        <w:tblInd w:w="131"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autofit"/>
        <w:tblCellMar>
          <w:top w:w="0" w:type="dxa"/>
          <w:left w:w="108" w:type="dxa"/>
          <w:bottom w:w="0" w:type="dxa"/>
          <w:right w:w="108" w:type="dxa"/>
        </w:tblCellMar>
      </w:tblPr>
      <w:tblGrid>
        <w:gridCol w:w="9710"/>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12666" w:hRule="atLeast"/>
        </w:trPr>
        <w:tc>
          <w:tcPr>
            <w:tcW w:w="9710" w:type="dxa"/>
          </w:tcPr>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1、</w:t>
            </w:r>
            <w:r>
              <w:rPr>
                <w:rFonts w:hint="eastAsia"/>
                <w:b/>
                <w:bCs/>
                <w:color w:val="000000" w:themeColor="text1"/>
                <w:sz w:val="24"/>
                <w14:textFill>
                  <w14:solidFill>
                    <w14:schemeClr w14:val="tx1"/>
                  </w14:solidFill>
                </w14:textFill>
              </w:rPr>
              <w:t>环境修复</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本项目钻探工作完成后，需要对施工场地进行有效地生态环境修复，采取的主要措施体现在以下几个方面：</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①为防止含矿含水层与其上下的含水层贯通，采用水泥进行全孔封闭，即从钻孔底部灌注水泥浆，直至孔口返出水泥浆为止。水泥封孔结束后，现场用水泥浇注</w:t>
            </w:r>
            <w:r>
              <w:rPr>
                <w:color w:val="000000" w:themeColor="text1"/>
                <w:sz w:val="24"/>
                <w14:textFill>
                  <w14:solidFill>
                    <w14:schemeClr w14:val="tx1"/>
                  </w14:solidFill>
                </w14:textFill>
              </w:rPr>
              <w:t>40cm×40cm×40cm</w:t>
            </w:r>
            <w:r>
              <w:rPr>
                <w:rFonts w:hint="eastAsia"/>
                <w:color w:val="000000" w:themeColor="text1"/>
                <w:sz w:val="24"/>
                <w14:textFill>
                  <w14:solidFill>
                    <w14:schemeClr w14:val="tx1"/>
                  </w14:solidFill>
                </w14:textFill>
              </w:rPr>
              <w:t>的水泥块体作为孔口标志，其上注明孔号、孔深、封孔日期等信息。</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②钻探工作结束后，及时拆除现场施工设备、物资和临时设施，清除现场各类杂物及垃圾；</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③对施工现场进行清理，对开挖的坑、池进行回填掩埋，按原始地形地貌平整场地，达到与周边环境相协调；</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④非矿段岩芯放置在岩芯池内，废弃泥浆进入泥浆池内，钻孔完毕后均就地覆土填埋处置。</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⑤对施工现场进行植被恢复，选择的复垦植被与周边环境相协调，防止环境污染和水土流失；</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⑥技术人员对机台平整恢复情况进行验收，并进行放射性强度检测，保其监测值与施工前监测值处于同一范围内，经验收合格后方可撤离；</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⑦巡视调查工区区域，查看区域内施工场地的生态恢复情况，发现问题及时采取相应的环境保护措施进行处理，无遗漏环境问题。</w:t>
            </w:r>
          </w:p>
          <w:p>
            <w:pPr>
              <w:spacing w:line="360" w:lineRule="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2、长期监护</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本项目为铀矿地质勘查项目，地质钻孔进行封闭后，工程稳定性好，受其他因素影响小；场地平整和植被恢复措施落实后，临时占地可恢复原土地利用类型，对评价区域土地利用类型、植被影响较小。</w:t>
            </w:r>
            <w:r>
              <w:rPr>
                <w:rFonts w:hint="eastAsia"/>
                <w:color w:val="000000" w:themeColor="text1"/>
                <w:sz w:val="24"/>
                <w14:textFill>
                  <w14:solidFill>
                    <w14:schemeClr w14:val="tx1"/>
                  </w14:solidFill>
                </w14:textFill>
              </w:rPr>
              <w:t>因此</w:t>
            </w:r>
            <w:r>
              <w:rPr>
                <w:color w:val="000000" w:themeColor="text1"/>
                <w:sz w:val="24"/>
                <w14:textFill>
                  <w14:solidFill>
                    <w14:schemeClr w14:val="tx1"/>
                  </w14:solidFill>
                </w14:textFill>
              </w:rPr>
              <w:t>项目</w:t>
            </w:r>
            <w:r>
              <w:rPr>
                <w:rFonts w:hint="eastAsia"/>
                <w:color w:val="000000" w:themeColor="text1"/>
                <w:sz w:val="24"/>
                <w14:textFill>
                  <w14:solidFill>
                    <w14:schemeClr w14:val="tx1"/>
                  </w14:solidFill>
                </w14:textFill>
              </w:rPr>
              <w:t>完成</w:t>
            </w:r>
            <w:r>
              <w:rPr>
                <w:color w:val="000000" w:themeColor="text1"/>
                <w:sz w:val="24"/>
                <w14:textFill>
                  <w14:solidFill>
                    <w14:schemeClr w14:val="tx1"/>
                  </w14:solidFill>
                </w14:textFill>
              </w:rPr>
              <w:t>后不需要长期监护。</w:t>
            </w:r>
          </w:p>
        </w:tc>
      </w:tr>
    </w:tbl>
    <w:p>
      <w:pPr>
        <w:spacing w:line="360" w:lineRule="auto"/>
        <w:rPr>
          <w:color w:val="000000" w:themeColor="text1"/>
          <w:sz w:val="24"/>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outlineLvl w:val="0"/>
        <w:rPr>
          <w:rFonts w:eastAsia="黑体"/>
          <w:color w:val="000000" w:themeColor="text1"/>
          <w:sz w:val="32"/>
          <w14:textFill>
            <w14:solidFill>
              <w14:schemeClr w14:val="tx1"/>
            </w14:solidFill>
          </w14:textFill>
        </w:rPr>
      </w:pPr>
      <w:r>
        <w:rPr>
          <w:rFonts w:hint="eastAsia" w:eastAsia="黑体"/>
          <w:color w:val="000000" w:themeColor="text1"/>
          <w:sz w:val="32"/>
          <w:lang w:val="en-US" w:eastAsia="zh-CN"/>
          <w14:textFill>
            <w14:solidFill>
              <w14:schemeClr w14:val="tx1"/>
            </w14:solidFill>
          </w14:textFill>
        </w:rPr>
        <w:t>十三、</w:t>
      </w:r>
      <w:r>
        <w:rPr>
          <w:rFonts w:eastAsia="黑体"/>
          <w:color w:val="000000" w:themeColor="text1"/>
          <w:sz w:val="32"/>
          <w14:textFill>
            <w14:solidFill>
              <w14:schemeClr w14:val="tx1"/>
            </w14:solidFill>
          </w14:textFill>
        </w:rPr>
        <w:t>结论与建议</w:t>
      </w:r>
    </w:p>
    <w:tbl>
      <w:tblPr>
        <w:tblStyle w:val="14"/>
        <w:tblW w:w="4893" w:type="pct"/>
        <w:tblInd w:w="10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7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29" w:hRule="atLeast"/>
        </w:trPr>
        <w:tc>
          <w:tcPr>
            <w:tcW w:w="5000" w:type="pct"/>
          </w:tcPr>
          <w:p>
            <w:pPr>
              <w:spacing w:line="360" w:lineRule="auto"/>
              <w:rPr>
                <w:b/>
                <w:color w:val="000000" w:themeColor="text1"/>
                <w:sz w:val="28"/>
                <w:szCs w:val="28"/>
                <w14:textFill>
                  <w14:solidFill>
                    <w14:schemeClr w14:val="tx1"/>
                  </w14:solidFill>
                </w14:textFill>
              </w:rPr>
            </w:pPr>
            <w:r>
              <w:rPr>
                <w:rFonts w:hint="eastAsia"/>
                <w:b/>
                <w:color w:val="000000" w:themeColor="text1"/>
                <w:sz w:val="28"/>
                <w:szCs w:val="28"/>
                <w:lang w:val="en-US" w:eastAsia="zh-CN"/>
                <w14:textFill>
                  <w14:solidFill>
                    <w14:schemeClr w14:val="tx1"/>
                  </w14:solidFill>
                </w14:textFill>
              </w:rPr>
              <w:t>1</w:t>
            </w:r>
            <w:r>
              <w:rPr>
                <w:b/>
                <w:color w:val="000000" w:themeColor="text1"/>
                <w:sz w:val="28"/>
                <w:szCs w:val="28"/>
                <w14:textFill>
                  <w14:solidFill>
                    <w14:schemeClr w14:val="tx1"/>
                  </w14:solidFill>
                </w14:textFill>
              </w:rPr>
              <w:t>、结论</w:t>
            </w:r>
          </w:p>
          <w:p>
            <w:pPr>
              <w:pStyle w:val="5"/>
              <w:numPr>
                <w:ilvl w:val="0"/>
                <w:numId w:val="0"/>
              </w:numPr>
              <w:tabs>
                <w:tab w:val="left" w:pos="905"/>
              </w:tabs>
              <w:spacing w:before="0" w:after="0" w:line="360" w:lineRule="auto"/>
              <w:ind w:right="0" w:rightChars="0"/>
              <w:jc w:val="left"/>
              <w:rPr>
                <w:rFonts w:hint="default" w:ascii="Times New Roman" w:hAnsi="Times New Roman" w:cs="Times New Roman"/>
                <w:color w:val="000000" w:themeColor="text1"/>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1.1</w:t>
            </w:r>
            <w:r>
              <w:rPr>
                <w:rFonts w:hint="default" w:ascii="Times New Roman" w:hAnsi="Times New Roman" w:cs="Times New Roman"/>
                <w:color w:val="000000" w:themeColor="text1"/>
                <w14:textFill>
                  <w14:solidFill>
                    <w14:schemeClr w14:val="tx1"/>
                  </w14:solidFill>
                </w14:textFill>
              </w:rPr>
              <w:t>项目概况</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default" w:ascii="Times New Roman" w:hAnsi="Times New Roman" w:eastAsia="宋体" w:cs="Times New Roman"/>
                <w:bCs/>
                <w:color w:val="000000" w:themeColor="text1"/>
                <w:sz w:val="24"/>
                <w:szCs w:val="20"/>
                <w:lang w:val="en-US" w:eastAsia="zh-CN"/>
                <w14:textFill>
                  <w14:solidFill>
                    <w14:schemeClr w14:val="tx1"/>
                  </w14:solidFill>
                </w14:textFill>
              </w:rPr>
            </w:pPr>
            <w:r>
              <w:rPr>
                <w:rFonts w:hint="eastAsia" w:cs="Times New Roman"/>
                <w:bCs/>
                <w:color w:val="000000" w:themeColor="text1"/>
                <w:sz w:val="24"/>
                <w:szCs w:val="20"/>
                <w:lang w:val="en-US" w:eastAsia="zh-CN"/>
                <w14:textFill>
                  <w14:solidFill>
                    <w14:schemeClr w14:val="tx1"/>
                  </w14:solidFill>
                </w14:textFill>
              </w:rPr>
              <w:t>（1）基本概况</w:t>
            </w:r>
          </w:p>
          <w:p>
            <w:pPr>
              <w:keepNext w:val="0"/>
              <w:keepLines w:val="0"/>
              <w:pageBreakBefore w:val="0"/>
              <w:widowControl w:val="0"/>
              <w:kinsoku/>
              <w:wordWrap/>
              <w:overflowPunct/>
              <w:topLinePunct w:val="0"/>
              <w:autoSpaceDE/>
              <w:autoSpaceDN/>
              <w:bidi w:val="0"/>
              <w:adjustRightInd w:val="0"/>
              <w:snapToGrid/>
              <w:spacing w:line="360" w:lineRule="auto"/>
              <w:ind w:firstLine="480" w:firstLineChars="200"/>
              <w:textAlignment w:val="auto"/>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本项目为</w:t>
            </w:r>
            <w:r>
              <w:rPr>
                <w:rFonts w:hint="eastAsia"/>
                <w:color w:val="000000" w:themeColor="text1"/>
                <w:sz w:val="24"/>
                <w14:textFill>
                  <w14:solidFill>
                    <w14:schemeClr w14:val="tx1"/>
                  </w14:solidFill>
                </w14:textFill>
              </w:rPr>
              <w:t>鄂尔多斯盆地南部旬邑－盐池地区铀矿资源调查评价与勘查</w:t>
            </w:r>
            <w:r>
              <w:rPr>
                <w:rFonts w:hint="eastAsia" w:ascii="Times New Roman" w:hAnsi="Times New Roman" w:eastAsia="宋体" w:cs="Times New Roman"/>
                <w:b w:val="0"/>
                <w:bCs w:val="0"/>
                <w:color w:val="000000" w:themeColor="text1"/>
                <w:kern w:val="2"/>
                <w:sz w:val="24"/>
                <w:szCs w:val="24"/>
                <w:lang w:val="en-GB" w:eastAsia="zh-CN" w:bidi="ar-SA"/>
                <w14:textFill>
                  <w14:solidFill>
                    <w14:schemeClr w14:val="tx1"/>
                  </w14:solidFill>
                </w14:textFill>
              </w:rPr>
              <w:t>，</w:t>
            </w:r>
            <w:r>
              <w:rPr>
                <w:rFonts w:hint="eastAsia" w:cs="Times New Roman"/>
                <w:b w:val="0"/>
                <w:bCs w:val="0"/>
                <w:color w:val="000000" w:themeColor="text1"/>
                <w:kern w:val="2"/>
                <w:sz w:val="24"/>
                <w:szCs w:val="24"/>
                <w:lang w:val="en-US" w:eastAsia="zh-CN" w:bidi="ar-SA"/>
                <w14:textFill>
                  <w14:solidFill>
                    <w14:schemeClr w14:val="tx1"/>
                  </w14:solidFill>
                </w14:textFill>
              </w:rPr>
              <w:t>勘查区位于</w:t>
            </w:r>
            <w:r>
              <w:rPr>
                <w:rFonts w:hint="default" w:ascii="Times New Roman" w:hAnsi="Times New Roman" w:cs="Times New Roman"/>
                <w:bCs/>
                <w:color w:val="000000" w:themeColor="text1"/>
                <w:sz w:val="24"/>
                <w:szCs w:val="20"/>
                <w:lang w:val="en-US" w:eastAsia="zh-CN"/>
                <w14:textFill>
                  <w14:solidFill>
                    <w14:schemeClr w14:val="tx1"/>
                  </w14:solidFill>
                </w14:textFill>
              </w:rPr>
              <w:t>鄂尔多斯盆地南部，</w:t>
            </w:r>
            <w:r>
              <w:rPr>
                <w:rFonts w:hint="eastAsia" w:cs="Times New Roman"/>
                <w:bCs/>
                <w:color w:val="000000" w:themeColor="text1"/>
                <w:sz w:val="24"/>
                <w:szCs w:val="20"/>
                <w:lang w:val="en-US" w:eastAsia="zh-CN"/>
                <w14:textFill>
                  <w14:solidFill>
                    <w14:schemeClr w14:val="tx1"/>
                  </w14:solidFill>
                </w14:textFill>
              </w:rPr>
              <w:t>北起横山－鄂托克前旗，南止宝鸡市－凤翔县，西起六盘山东麓，东止山西省-吕梁市，地跨陕西省、甘肃省、宁夏回族自治区、内蒙古自治区、山西省</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pP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2</w:t>
            </w:r>
            <w:r>
              <w:rPr>
                <w:rFonts w:hint="eastAsia" w:ascii="Times New Roman" w:hAnsi="Times New Roman" w:eastAsia="宋体" w:cs="Times New Roman"/>
                <w:b w:val="0"/>
                <w:bCs/>
                <w:color w:val="000000" w:themeColor="text1"/>
                <w:kern w:val="2"/>
                <w:sz w:val="24"/>
                <w:szCs w:val="20"/>
                <w:lang w:val="en-GB" w:eastAsia="zh-CN" w:bidi="ar-SA"/>
                <w14:textFill>
                  <w14:solidFill>
                    <w14:schemeClr w14:val="tx1"/>
                  </w14:solidFill>
                </w14:textFill>
              </w:rPr>
              <w:t>）</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建设内容</w:t>
            </w:r>
          </w:p>
          <w:p>
            <w:pPr>
              <w:pStyle w:val="4"/>
              <w:keepNext/>
              <w:keepLines/>
              <w:pageBreakBefore w:val="0"/>
              <w:widowControl w:val="0"/>
              <w:kinsoku/>
              <w:wordWrap/>
              <w:overflowPunct/>
              <w:topLinePunct w:val="0"/>
              <w:autoSpaceDE/>
              <w:autoSpaceDN/>
              <w:bidi w:val="0"/>
              <w:adjustRightInd/>
              <w:snapToGrid/>
              <w:spacing w:before="0" w:after="0" w:line="360" w:lineRule="auto"/>
              <w:ind w:firstLine="480" w:firstLineChars="200"/>
              <w:textAlignment w:val="auto"/>
              <w:rPr>
                <w:rFonts w:hint="default"/>
                <w:color w:val="000000" w:themeColor="text1"/>
                <w:sz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本项目工作时间为2022-2026年，2022年</w:t>
            </w:r>
            <w:r>
              <w:rPr>
                <w:rFonts w:ascii="Times New Roman" w:hAnsi="Times New Roman" w:cs="Times New Roman"/>
                <w:b w:val="0"/>
                <w:bCs w:val="0"/>
                <w:color w:val="000000" w:themeColor="text1"/>
                <w:sz w:val="24"/>
                <w:lang w:eastAsia="zh-CN"/>
                <w14:textFill>
                  <w14:solidFill>
                    <w14:schemeClr w14:val="tx1"/>
                  </w14:solidFill>
                </w14:textFill>
              </w:rPr>
              <w:t>机械岩心钻探</w:t>
            </w:r>
            <w:r>
              <w:rPr>
                <w:rFonts w:hint="eastAsia" w:ascii="Times New Roman" w:hAnsi="Times New Roman" w:cs="Times New Roman"/>
                <w:b w:val="0"/>
                <w:bCs w:val="0"/>
                <w:color w:val="000000" w:themeColor="text1"/>
                <w:sz w:val="24"/>
                <w:lang w:val="en-US" w:eastAsia="zh-CN"/>
                <w14:textFill>
                  <w14:solidFill>
                    <w14:schemeClr w14:val="tx1"/>
                  </w14:solidFill>
                </w14:textFill>
              </w:rPr>
              <w:t>35000</w:t>
            </w:r>
            <w:r>
              <w:rPr>
                <w:rFonts w:hint="default" w:ascii="Times New Roman" w:hAnsi="Times New Roman" w:cs="Times New Roman"/>
                <w:b w:val="0"/>
                <w:bCs w:val="0"/>
                <w:color w:val="000000" w:themeColor="text1"/>
                <w:sz w:val="24"/>
                <w14:textFill>
                  <w14:solidFill>
                    <w14:schemeClr w14:val="tx1"/>
                  </w14:solidFill>
                </w14:textFill>
              </w:rPr>
              <w:t>m</w:t>
            </w:r>
            <w:r>
              <w:rPr>
                <w:rFonts w:ascii="Times New Roman" w:hAnsi="Times New Roman" w:cs="Times New Roman"/>
                <w:b w:val="0"/>
                <w:bCs w:val="0"/>
                <w:color w:val="000000" w:themeColor="text1"/>
                <w:sz w:val="24"/>
                <w:lang w:eastAsia="zh-CN"/>
                <w14:textFill>
                  <w14:solidFill>
                    <w14:schemeClr w14:val="tx1"/>
                  </w14:solidFill>
                </w14:textFill>
              </w:rPr>
              <w:t>，拟设钻孔</w:t>
            </w:r>
            <w:r>
              <w:rPr>
                <w:rFonts w:hint="eastAsia" w:ascii="Times New Roman" w:hAnsi="Times New Roman" w:cs="Times New Roman"/>
                <w:b w:val="0"/>
                <w:bCs w:val="0"/>
                <w:color w:val="000000" w:themeColor="text1"/>
                <w:sz w:val="24"/>
                <w:lang w:val="en-US" w:eastAsia="zh-CN"/>
                <w14:textFill>
                  <w14:solidFill>
                    <w14:schemeClr w14:val="tx1"/>
                  </w14:solidFill>
                </w14:textFill>
              </w:rPr>
              <w:t>58</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cs="Times New Roman"/>
                <w:b w:val="0"/>
                <w:bCs w:val="0"/>
                <w:color w:val="000000" w:themeColor="text1"/>
                <w:sz w:val="24"/>
                <w:lang w:eastAsia="zh-CN"/>
                <w14:textFill>
                  <w14:solidFill>
                    <w14:schemeClr w14:val="tx1"/>
                  </w14:solidFill>
                </w14:textFill>
              </w:rPr>
              <w:t>。</w:t>
            </w:r>
            <w:r>
              <w:rPr>
                <w:rFonts w:hint="eastAsia" w:ascii="Times New Roman" w:hAnsi="Times New Roman" w:cs="Times New Roman"/>
                <w:b w:val="0"/>
                <w:bCs w:val="0"/>
                <w:color w:val="000000" w:themeColor="text1"/>
                <w:sz w:val="24"/>
                <w:lang w:val="en-US" w:eastAsia="zh-CN"/>
                <w14:textFill>
                  <w14:solidFill>
                    <w14:schemeClr w14:val="tx1"/>
                  </w14:solidFill>
                </w14:textFill>
              </w:rPr>
              <w:t>2023-2026年</w:t>
            </w:r>
            <w:r>
              <w:rPr>
                <w:rFonts w:hint="eastAsia" w:ascii="Times New Roman" w:hAnsi="Times New Roman" w:eastAsia="宋体" w:cs="Times New Roman"/>
                <w:b w:val="0"/>
                <w:bCs w:val="0"/>
                <w:color w:val="000000" w:themeColor="text1"/>
                <w:kern w:val="2"/>
                <w:sz w:val="24"/>
                <w:szCs w:val="24"/>
                <w:lang w:val="en-US" w:eastAsia="zh-CN" w:bidi="ar-SA"/>
                <w14:textFill>
                  <w14:solidFill>
                    <w14:schemeClr w14:val="tx1"/>
                  </w14:solidFill>
                </w14:textFill>
              </w:rPr>
              <w:t>该勘查区内预估钻探工作量140000m，</w:t>
            </w:r>
            <w:r>
              <w:rPr>
                <w:rFonts w:ascii="Times New Roman" w:hAnsi="Times New Roman" w:cs="Times New Roman"/>
                <w:b w:val="0"/>
                <w:bCs w:val="0"/>
                <w:color w:val="000000" w:themeColor="text1"/>
                <w:sz w:val="24"/>
                <w:lang w:eastAsia="zh-CN"/>
                <w14:textFill>
                  <w14:solidFill>
                    <w14:schemeClr w14:val="tx1"/>
                  </w14:solidFill>
                </w14:textFill>
              </w:rPr>
              <w:t>钻孔</w:t>
            </w:r>
            <w:r>
              <w:rPr>
                <w:rFonts w:hint="eastAsia" w:ascii="Times New Roman" w:hAnsi="Times New Roman" w:cs="Times New Roman"/>
                <w:b w:val="0"/>
                <w:bCs w:val="0"/>
                <w:color w:val="000000" w:themeColor="text1"/>
                <w:sz w:val="24"/>
                <w:lang w:val="en-US" w:eastAsia="zh-CN"/>
                <w14:textFill>
                  <w14:solidFill>
                    <w14:schemeClr w14:val="tx1"/>
                  </w14:solidFill>
                </w14:textFill>
              </w:rPr>
              <w:t>240</w:t>
            </w:r>
            <w:r>
              <w:rPr>
                <w:rFonts w:ascii="Times New Roman" w:hAnsi="Times New Roman" w:cs="Times New Roman"/>
                <w:b w:val="0"/>
                <w:bCs w:val="0"/>
                <w:color w:val="000000" w:themeColor="text1"/>
                <w:sz w:val="24"/>
                <w:lang w:eastAsia="zh-CN"/>
                <w14:textFill>
                  <w14:solidFill>
                    <w14:schemeClr w14:val="tx1"/>
                  </w14:solidFill>
                </w14:textFill>
              </w:rPr>
              <w:t>个</w:t>
            </w:r>
            <w:r>
              <w:rPr>
                <w:rFonts w:hint="eastAsia" w:ascii="Times New Roman" w:hAnsi="Times New Roman" w:eastAsia="宋体" w:cs="Times New Roman"/>
                <w:b w:val="0"/>
                <w:bCs/>
                <w:color w:val="000000" w:themeColor="text1"/>
                <w:kern w:val="2"/>
                <w:sz w:val="24"/>
                <w:szCs w:val="20"/>
                <w:lang w:val="en-US" w:eastAsia="zh-CN" w:bidi="ar-SA"/>
                <w14:textFill>
                  <w14:solidFill>
                    <w14:schemeClr w14:val="tx1"/>
                  </w14:solidFill>
                </w14:textFill>
              </w:rPr>
              <w:t>。</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2分析判断相关情况</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（1）产业政策符合性分析</w:t>
            </w:r>
          </w:p>
          <w:p>
            <w:pPr>
              <w:spacing w:line="360" w:lineRule="auto"/>
              <w:ind w:firstLine="480" w:firstLineChars="200"/>
              <w:rPr>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本项目未列入《</w:t>
            </w:r>
            <w:r>
              <w:rPr>
                <w:rFonts w:hint="eastAsia"/>
                <w:color w:val="000000" w:themeColor="text1"/>
                <w:sz w:val="24"/>
                <w:lang w:val="en-GB"/>
                <w14:textFill>
                  <w14:solidFill>
                    <w14:schemeClr w14:val="tx1"/>
                  </w14:solidFill>
                </w14:textFill>
              </w:rPr>
              <w:t>陕西省国家重点生态功能区产业准入负面清单（试行）》、《甘肃省国家重点生态功能区产业准入负面清单（试行）》、</w:t>
            </w:r>
            <w:r>
              <w:rPr>
                <w:rFonts w:hint="eastAsia" w:ascii="宋体" w:hAnsi="宋体" w:cs="宋体"/>
                <w:color w:val="000000" w:themeColor="text1"/>
                <w:sz w:val="24"/>
                <w14:textFill>
                  <w14:solidFill>
                    <w14:schemeClr w14:val="tx1"/>
                  </w14:solidFill>
                </w14:textFill>
              </w:rPr>
              <w:t>《</w:t>
            </w:r>
            <w:r>
              <w:rPr>
                <w:rFonts w:hint="eastAsia"/>
                <w:color w:val="000000" w:themeColor="text1"/>
                <w:sz w:val="24"/>
                <w14:textFill>
                  <w14:solidFill>
                    <w14:schemeClr w14:val="tx1"/>
                  </w14:solidFill>
                </w14:textFill>
              </w:rPr>
              <w:t>宁夏回族自治区国家重点生态功能区产业准入负面清单</w:t>
            </w:r>
            <w:r>
              <w:rPr>
                <w:rFonts w:hint="eastAsia"/>
                <w:color w:val="000000" w:themeColor="text1"/>
                <w:sz w:val="24"/>
                <w:lang w:val="en-GB"/>
                <w14:textFill>
                  <w14:solidFill>
                    <w14:schemeClr w14:val="tx1"/>
                  </w14:solidFill>
                </w14:textFill>
              </w:rPr>
              <w:t>（试行）》</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山西</w:t>
            </w:r>
            <w:r>
              <w:rPr>
                <w:rFonts w:hint="eastAsia"/>
                <w:color w:val="000000" w:themeColor="text1"/>
                <w:sz w:val="24"/>
                <w:lang w:val="en-GB"/>
                <w14:textFill>
                  <w14:solidFill>
                    <w14:schemeClr w14:val="tx1"/>
                  </w14:solidFill>
                </w14:textFill>
              </w:rPr>
              <w:t>省国家重点生态功能区产业准入负面清单（试行）</w:t>
            </w:r>
            <w:r>
              <w:rPr>
                <w:rFonts w:hint="eastAsia"/>
                <w:color w:val="000000" w:themeColor="text1"/>
                <w:sz w:val="24"/>
                <w:lang w:val="en-GB" w:eastAsia="zh-CN"/>
                <w14:textFill>
                  <w14:solidFill>
                    <w14:schemeClr w14:val="tx1"/>
                  </w14:solidFill>
                </w14:textFill>
              </w:rPr>
              <w:t>》、</w:t>
            </w:r>
            <w:r>
              <w:rPr>
                <w:rFonts w:hint="eastAsia"/>
                <w:color w:val="000000" w:themeColor="text1"/>
                <w:sz w:val="24"/>
                <w:lang w:val="en-GB"/>
                <w14:textFill>
                  <w14:solidFill>
                    <w14:schemeClr w14:val="tx1"/>
                  </w14:solidFill>
                </w14:textFill>
              </w:rPr>
              <w:t>《内蒙古自治区国家重点生态功能区产业准入负面清单（试行）》。</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本项目属《产业结构调整指导目录（2019年本）》中“鼓励类”，符合国家产业政策。</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与相关区划、规划符合性分析</w:t>
            </w:r>
          </w:p>
          <w:p>
            <w:pPr>
              <w:spacing w:line="360" w:lineRule="auto"/>
              <w:ind w:firstLine="480" w:firstLineChars="200"/>
              <w:rPr>
                <w:rFonts w:hint="eastAsia" w:eastAsia="宋体"/>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本项目属铀矿地质勘查，在勘探施工过程避开禁止开发区域，同时采取生态保护与恢复措施，对生态环境影响小</w:t>
            </w:r>
            <w:r>
              <w:rPr>
                <w:rFonts w:hint="eastAsia"/>
                <w:color w:val="000000" w:themeColor="text1"/>
                <w:sz w:val="24"/>
                <w:lang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本项目符合</w:t>
            </w:r>
            <w:r>
              <w:rPr>
                <w:rFonts w:hint="eastAsia"/>
                <w:color w:val="000000" w:themeColor="text1"/>
                <w:sz w:val="24"/>
                <w14:textFill>
                  <w14:solidFill>
                    <w14:schemeClr w14:val="tx1"/>
                  </w14:solidFill>
                </w14:textFill>
              </w:rPr>
              <w:t>《陕西省主体功能区规划》、</w:t>
            </w:r>
            <w:r>
              <w:rPr>
                <w:rFonts w:hint="eastAsia"/>
                <w:color w:val="000000" w:themeColor="text1"/>
                <w:sz w:val="24"/>
                <w:lang w:val="en-GB"/>
                <w14:textFill>
                  <w14:solidFill>
                    <w14:schemeClr w14:val="tx1"/>
                  </w14:solidFill>
                </w14:textFill>
              </w:rPr>
              <w:t>《甘肃省主体功能区规划》、</w:t>
            </w:r>
            <w:r>
              <w:rPr>
                <w:rFonts w:hint="eastAsia"/>
                <w:color w:val="000000" w:themeColor="text1"/>
                <w:sz w:val="24"/>
                <w14:textFill>
                  <w14:solidFill>
                    <w14:schemeClr w14:val="tx1"/>
                  </w14:solidFill>
                </w14:textFill>
              </w:rPr>
              <w:t>《宁夏回族自治区主体功能区规划》、《内蒙古自治区主体功能区规划》</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山西省</w:t>
            </w:r>
            <w:r>
              <w:rPr>
                <w:rFonts w:hint="eastAsia"/>
                <w:color w:val="000000" w:themeColor="text1"/>
                <w:sz w:val="24"/>
                <w:lang w:val="en-GB"/>
                <w14:textFill>
                  <w14:solidFill>
                    <w14:schemeClr w14:val="tx1"/>
                  </w14:solidFill>
                </w14:textFill>
              </w:rPr>
              <w:t>省主体功能区规划</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及</w:t>
            </w:r>
            <w:r>
              <w:rPr>
                <w:rFonts w:hint="eastAsia"/>
                <w:color w:val="000000" w:themeColor="text1"/>
                <w:sz w:val="24"/>
                <w14:textFill>
                  <w14:solidFill>
                    <w14:schemeClr w14:val="tx1"/>
                  </w14:solidFill>
                </w14:textFill>
              </w:rPr>
              <w:t>《陕西省矿产资源总体规划（2</w:t>
            </w:r>
            <w:r>
              <w:rPr>
                <w:color w:val="000000" w:themeColor="text1"/>
                <w:sz w:val="24"/>
                <w14:textFill>
                  <w14:solidFill>
                    <w14:schemeClr w14:val="tx1"/>
                  </w14:solidFill>
                </w14:textFill>
              </w:rPr>
              <w:t>016-2020</w:t>
            </w:r>
            <w:r>
              <w:rPr>
                <w:rFonts w:hint="eastAsia"/>
                <w:color w:val="000000" w:themeColor="text1"/>
                <w:sz w:val="24"/>
                <w14:textFill>
                  <w14:solidFill>
                    <w14:schemeClr w14:val="tx1"/>
                  </w14:solidFill>
                </w14:textFill>
              </w:rPr>
              <w:t>）》、《甘肃省矿产资源总体规划（2016-2020年）》、《宁夏回族自治区矿产资源总体规划（2016-2020）》、《内蒙古自治区矿产资源总体规划（2016-2020年）》</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山西省</w:t>
            </w:r>
            <w:r>
              <w:rPr>
                <w:rFonts w:hint="eastAsia"/>
                <w:color w:val="000000" w:themeColor="text1"/>
                <w:sz w:val="24"/>
                <w14:textFill>
                  <w14:solidFill>
                    <w14:schemeClr w14:val="tx1"/>
                  </w14:solidFill>
                </w14:textFill>
              </w:rPr>
              <w:t>矿产资源总体规划（2</w:t>
            </w:r>
            <w:r>
              <w:rPr>
                <w:color w:val="000000" w:themeColor="text1"/>
                <w:sz w:val="24"/>
                <w14:textFill>
                  <w14:solidFill>
                    <w14:schemeClr w14:val="tx1"/>
                  </w14:solidFill>
                </w14:textFill>
              </w:rPr>
              <w:t>016-2020</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的要求</w:t>
            </w:r>
            <w:r>
              <w:rPr>
                <w:rFonts w:hint="eastAsia"/>
                <w:color w:val="000000" w:themeColor="text1"/>
                <w:sz w:val="24"/>
                <w:lang w:eastAsia="zh-CN"/>
                <w14:textFill>
                  <w14:solidFill>
                    <w14:schemeClr w14:val="tx1"/>
                  </w14:solidFill>
                </w14:textFill>
              </w:rPr>
              <w:t>。</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3区域环境质量现状</w:t>
            </w:r>
          </w:p>
          <w:p>
            <w:pPr>
              <w:keepNext/>
              <w:keepLines/>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（1）环境空气质量</w:t>
            </w:r>
          </w:p>
          <w:p>
            <w:pPr>
              <w:spacing w:line="360" w:lineRule="auto"/>
              <w:ind w:firstLine="480" w:firstLineChars="200"/>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color w:val="000000" w:themeColor="text1"/>
                <w:sz w:val="24"/>
                <w14:textFill>
                  <w14:solidFill>
                    <w14:schemeClr w14:val="tx1"/>
                  </w14:solidFill>
                </w14:textFill>
              </w:rPr>
              <w:t>咸阳市</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渭南市、宝鸡市、银川市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年超过《环境空气质量标准》（GB3095-2012）中二级标准限值的污染物为</w:t>
            </w:r>
            <w:r>
              <w:rPr>
                <w:color w:val="000000" w:themeColor="text1"/>
                <w:sz w:val="24"/>
                <w14:textFill>
                  <w14:solidFill>
                    <w14:schemeClr w14:val="tx1"/>
                  </w14:solidFill>
                </w14:textFill>
              </w:rPr>
              <w:t>PM</w:t>
            </w:r>
            <w:r>
              <w:rPr>
                <w:color w:val="000000" w:themeColor="text1"/>
                <w:sz w:val="24"/>
                <w:vertAlign w:val="subscript"/>
                <w14:textFill>
                  <w14:solidFill>
                    <w14:schemeClr w14:val="tx1"/>
                  </w14:solidFill>
                </w14:textFill>
              </w:rPr>
              <w:t>2.5</w:t>
            </w:r>
            <w:r>
              <w:rPr>
                <w:rFonts w:hint="eastAsia"/>
                <w:color w:val="000000" w:themeColor="text1"/>
                <w:sz w:val="24"/>
                <w14:textFill>
                  <w14:solidFill>
                    <w14:schemeClr w14:val="tx1"/>
                  </w14:solidFill>
                </w14:textFill>
              </w:rPr>
              <w:t>、PM</w:t>
            </w:r>
            <w:r>
              <w:rPr>
                <w:rFonts w:hint="eastAsia"/>
                <w:color w:val="000000" w:themeColor="text1"/>
                <w:sz w:val="24"/>
                <w:vertAlign w:val="subscript"/>
                <w14:textFill>
                  <w14:solidFill>
                    <w14:schemeClr w14:val="tx1"/>
                  </w14:solidFill>
                </w14:textFill>
              </w:rPr>
              <w:t>10</w:t>
            </w:r>
            <w:r>
              <w:rPr>
                <w:rFonts w:hint="eastAsia"/>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吕梁市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年超过《环境空气质量标准》（GB3095-2012）中二级标准限值的污染物为PM</w:t>
            </w:r>
            <w:r>
              <w:rPr>
                <w:rFonts w:hint="eastAsia"/>
                <w:color w:val="000000" w:themeColor="text1"/>
                <w:sz w:val="24"/>
                <w:vertAlign w:val="subscript"/>
                <w14:textFill>
                  <w14:solidFill>
                    <w14:schemeClr w14:val="tx1"/>
                  </w14:solidFill>
                </w14:textFill>
              </w:rPr>
              <w:t>10</w:t>
            </w:r>
            <w:r>
              <w:rPr>
                <w:rFonts w:hint="eastAsia"/>
                <w:color w:val="000000" w:themeColor="text1"/>
                <w:sz w:val="24"/>
                <w:lang w:val="en-US" w:eastAsia="zh-CN"/>
                <w14:textFill>
                  <w14:solidFill>
                    <w14:schemeClr w14:val="tx1"/>
                  </w14:solidFill>
                </w14:textFill>
              </w:rPr>
              <w:t>；临汾市</w:t>
            </w:r>
            <w:r>
              <w:rPr>
                <w:rFonts w:hint="eastAsia"/>
                <w:color w:val="000000" w:themeColor="text1"/>
                <w:sz w:val="24"/>
                <w14:textFill>
                  <w14:solidFill>
                    <w14:schemeClr w14:val="tx1"/>
                  </w14:solidFill>
                </w14:textFill>
              </w:rPr>
              <w:t>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年超过《环境空气质量标准》（GB3095-2012）中二级标准限值的污染物为</w:t>
            </w:r>
            <w:r>
              <w:rPr>
                <w:color w:val="000000" w:themeColor="text1"/>
                <w:sz w:val="24"/>
                <w14:textFill>
                  <w14:solidFill>
                    <w14:schemeClr w14:val="tx1"/>
                  </w14:solidFill>
                </w14:textFill>
              </w:rPr>
              <w:t>PM</w:t>
            </w:r>
            <w:r>
              <w:rPr>
                <w:color w:val="000000" w:themeColor="text1"/>
                <w:sz w:val="24"/>
                <w:vertAlign w:val="subscript"/>
                <w14:textFill>
                  <w14:solidFill>
                    <w14:schemeClr w14:val="tx1"/>
                  </w14:solidFill>
                </w14:textFill>
              </w:rPr>
              <w:t>2.5</w:t>
            </w:r>
            <w:r>
              <w:rPr>
                <w:rFonts w:hint="eastAsia"/>
                <w:color w:val="000000" w:themeColor="text1"/>
                <w:sz w:val="24"/>
                <w14:textFill>
                  <w14:solidFill>
                    <w14:schemeClr w14:val="tx1"/>
                  </w14:solidFill>
                </w14:textFill>
              </w:rPr>
              <w:t>、PM</w:t>
            </w:r>
            <w:r>
              <w:rPr>
                <w:rFonts w:hint="eastAsia"/>
                <w:color w:val="000000" w:themeColor="text1"/>
                <w:sz w:val="24"/>
                <w:vertAlign w:val="subscript"/>
                <w14:textFill>
                  <w14:solidFill>
                    <w14:schemeClr w14:val="tx1"/>
                  </w14:solidFill>
                </w14:textFill>
              </w:rPr>
              <w:t>10</w:t>
            </w:r>
            <w:r>
              <w:rPr>
                <w:rFonts w:hint="eastAsia"/>
                <w:color w:val="000000" w:themeColor="text1"/>
                <w:sz w:val="24"/>
                <w:vertAlign w:val="baseline"/>
                <w:lang w:eastAsia="zh-CN"/>
                <w14:textFill>
                  <w14:solidFill>
                    <w14:schemeClr w14:val="tx1"/>
                  </w14:solidFill>
                </w14:textFill>
              </w:rPr>
              <w:t>、</w:t>
            </w:r>
            <w:r>
              <w:rPr>
                <w:rFonts w:hint="eastAsia"/>
                <w:color w:val="000000" w:themeColor="text1"/>
                <w:sz w:val="24"/>
                <w:vertAlign w:val="baseline"/>
                <w:lang w:val="en-US" w:eastAsia="zh-CN"/>
                <w14:textFill>
                  <w14:solidFill>
                    <w14:schemeClr w14:val="tx1"/>
                  </w14:solidFill>
                </w14:textFill>
              </w:rPr>
              <w:t>O</w:t>
            </w:r>
            <w:r>
              <w:rPr>
                <w:rFonts w:hint="eastAsia"/>
                <w:color w:val="000000" w:themeColor="text1"/>
                <w:sz w:val="24"/>
                <w:vertAlign w:val="subscript"/>
                <w:lang w:val="en-US" w:eastAsia="zh-CN"/>
                <w14:textFill>
                  <w14:solidFill>
                    <w14:schemeClr w14:val="tx1"/>
                  </w14:solidFill>
                </w14:textFill>
              </w:rPr>
              <w:t>3</w:t>
            </w:r>
            <w:r>
              <w:rPr>
                <w:rFonts w:hint="eastAsia"/>
                <w:color w:val="000000" w:themeColor="text1"/>
                <w:sz w:val="24"/>
                <w:vertAlign w:val="baseline"/>
                <w:lang w:val="en-US" w:eastAsia="zh-CN"/>
                <w14:textFill>
                  <w14:solidFill>
                    <w14:schemeClr w14:val="tx1"/>
                  </w14:solidFill>
                </w14:textFill>
              </w:rPr>
              <w:t>；</w:t>
            </w:r>
            <w:r>
              <w:rPr>
                <w:rFonts w:hint="eastAsia"/>
                <w:color w:val="000000" w:themeColor="text1"/>
                <w:sz w:val="24"/>
                <w14:textFill>
                  <w14:solidFill>
                    <w14:schemeClr w14:val="tx1"/>
                  </w14:solidFill>
                </w14:textFill>
              </w:rPr>
              <w:t>延安市、榆林市、</w:t>
            </w:r>
            <w:r>
              <w:rPr>
                <w:rFonts w:hint="eastAsia"/>
                <w:color w:val="000000" w:themeColor="text1"/>
                <w:sz w:val="24"/>
                <w:lang w:val="en-US" w:eastAsia="zh-CN"/>
                <w14:textFill>
                  <w14:solidFill>
                    <w14:schemeClr w14:val="tx1"/>
                  </w14:solidFill>
                </w14:textFill>
              </w:rPr>
              <w:t>平凉市、</w:t>
            </w:r>
            <w:r>
              <w:rPr>
                <w:rFonts w:hint="eastAsia"/>
                <w:color w:val="000000" w:themeColor="text1"/>
                <w:sz w:val="24"/>
                <w14:textFill>
                  <w14:solidFill>
                    <w14:schemeClr w14:val="tx1"/>
                  </w14:solidFill>
                </w14:textFill>
              </w:rPr>
              <w:t>庆阳市、固原市、吴忠市、鄂尔多斯市20</w:t>
            </w:r>
            <w:r>
              <w:rPr>
                <w:color w:val="000000" w:themeColor="text1"/>
                <w:sz w:val="24"/>
                <w14:textFill>
                  <w14:solidFill>
                    <w14:schemeClr w14:val="tx1"/>
                  </w14:solidFill>
                </w14:textFill>
              </w:rPr>
              <w:t>20</w:t>
            </w:r>
            <w:r>
              <w:rPr>
                <w:rFonts w:hint="eastAsia"/>
                <w:color w:val="000000" w:themeColor="text1"/>
                <w:sz w:val="24"/>
                <w14:textFill>
                  <w14:solidFill>
                    <w14:schemeClr w14:val="tx1"/>
                  </w14:solidFill>
                </w14:textFill>
              </w:rPr>
              <w:t>年均满足《环境空气质量标准》（GB3095-2012）中二级标准限值。</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根据《环境影响评价技术导则 大气环境》（HJ2.2-2018），延安市、榆林市、</w:t>
            </w:r>
            <w:r>
              <w:rPr>
                <w:rFonts w:hint="eastAsia"/>
                <w:color w:val="000000" w:themeColor="text1"/>
                <w:sz w:val="24"/>
                <w:lang w:val="en-US" w:eastAsia="zh-CN"/>
                <w14:textFill>
                  <w14:solidFill>
                    <w14:schemeClr w14:val="tx1"/>
                  </w14:solidFill>
                </w14:textFill>
              </w:rPr>
              <w:t>平凉市、</w:t>
            </w:r>
            <w:r>
              <w:rPr>
                <w:rFonts w:hint="eastAsia"/>
                <w:color w:val="000000" w:themeColor="text1"/>
                <w:sz w:val="24"/>
                <w14:textFill>
                  <w14:solidFill>
                    <w14:schemeClr w14:val="tx1"/>
                  </w14:solidFill>
                </w14:textFill>
              </w:rPr>
              <w:t>庆阳市、固原市、吴忠市、鄂尔多斯市属于环境空气质量达标区；咸阳市</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渭南市、宝鸡市、银川市、吕梁市、临汾市属</w:t>
            </w:r>
            <w:r>
              <w:rPr>
                <w:rFonts w:hint="eastAsia"/>
                <w:color w:val="000000" w:themeColor="text1"/>
                <w:sz w:val="24"/>
                <w14:textFill>
                  <w14:solidFill>
                    <w14:schemeClr w14:val="tx1"/>
                  </w14:solidFill>
                </w14:textFill>
              </w:rPr>
              <w:t>于环境空气质量不达标区</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（2）环境噪声</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根据《2020年甘肃省生态环境状况公报》、《2020年内蒙古自治区生态环境状况公报》</w:t>
            </w:r>
            <w:r>
              <w:rPr>
                <w:rFonts w:hint="eastAsia" w:cs="Times New Roman"/>
                <w:color w:val="000000" w:themeColor="text1"/>
                <w:sz w:val="24"/>
                <w:lang w:val="en-US"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w:t>
            </w:r>
            <w:r>
              <w:rPr>
                <w:rFonts w:hint="eastAsia" w:ascii="Times New Roman" w:hAnsi="Times New Roman" w:cs="Times New Roman"/>
                <w:color w:val="000000" w:themeColor="text1"/>
                <w:sz w:val="24"/>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陕西省</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w:t>
            </w:r>
            <w:r>
              <w:rPr>
                <w:rFonts w:hint="eastAsia" w:ascii="Times New Roman" w:hAnsi="Times New Roman" w:cs="Times New Roman"/>
                <w:color w:val="000000" w:themeColor="text1"/>
                <w:sz w:val="24"/>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山西省</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》和《</w:t>
            </w:r>
            <w:r>
              <w:rPr>
                <w:rFonts w:hint="eastAsia" w:ascii="Times New Roman" w:hAnsi="Times New Roman" w:cs="Times New Roman"/>
                <w:color w:val="000000" w:themeColor="text1"/>
                <w:sz w:val="24"/>
                <w14:textFill>
                  <w14:solidFill>
                    <w14:schemeClr w14:val="tx1"/>
                  </w14:solidFill>
                </w14:textFill>
              </w:rPr>
              <w:t>2020年</w:t>
            </w:r>
            <w:r>
              <w:rPr>
                <w:rFonts w:hint="eastAsia" w:cs="Times New Roman"/>
                <w:color w:val="000000" w:themeColor="text1"/>
                <w:sz w:val="24"/>
                <w:lang w:val="en-US" w:eastAsia="zh-CN"/>
                <w14:textFill>
                  <w14:solidFill>
                    <w14:schemeClr w14:val="tx1"/>
                  </w14:solidFill>
                </w14:textFill>
              </w:rPr>
              <w:t>宁夏</w:t>
            </w:r>
            <w:r>
              <w:rPr>
                <w:rFonts w:hint="eastAsia" w:ascii="Times New Roman" w:hAnsi="Times New Roman" w:cs="Times New Roman"/>
                <w:color w:val="000000" w:themeColor="text1"/>
                <w:sz w:val="24"/>
                <w14:textFill>
                  <w14:solidFill>
                    <w14:schemeClr w14:val="tx1"/>
                  </w14:solidFill>
                </w14:textFill>
              </w:rPr>
              <w:t>生态环境状况公报</w:t>
            </w:r>
            <w:r>
              <w:rPr>
                <w:rFonts w:hint="eastAsia"/>
                <w:color w:val="000000" w:themeColor="text1"/>
                <w:sz w:val="24"/>
                <w:lang w:val="en-US" w:eastAsia="zh-CN"/>
                <w14:textFill>
                  <w14:solidFill>
                    <w14:schemeClr w14:val="tx1"/>
                  </w14:solidFill>
                </w14:textFill>
              </w:rPr>
              <w:t>》</w:t>
            </w:r>
            <w:r>
              <w:rPr>
                <w:rFonts w:hint="eastAsia" w:ascii="Times New Roman" w:hAnsi="Times New Roman" w:eastAsia="宋体" w:cs="Times New Roman"/>
                <w:color w:val="000000" w:themeColor="text1"/>
                <w:sz w:val="24"/>
                <w:lang w:val="en-US" w:eastAsia="zh-CN"/>
                <w14:textFill>
                  <w14:solidFill>
                    <w14:schemeClr w14:val="tx1"/>
                  </w14:solidFill>
                </w14:textFill>
              </w:rPr>
              <w:t>，区域声环境质量处在“较好”水平。</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（3）辐射环境</w:t>
            </w:r>
          </w:p>
          <w:p>
            <w:pPr>
              <w:spacing w:line="360" w:lineRule="auto"/>
              <w:ind w:firstLine="480" w:firstLineChars="200"/>
              <w:rPr>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szCs w:val="24"/>
                <w:lang w:eastAsia="zh-CN"/>
                <w14:textFill>
                  <w14:solidFill>
                    <w14:schemeClr w14:val="tx1"/>
                  </w14:solidFill>
                </w14:textFill>
              </w:rPr>
              <w:t>根据</w:t>
            </w:r>
            <w:r>
              <w:rPr>
                <w:rFonts w:ascii="Times New Roman" w:hAnsi="Times New Roman" w:cs="Times New Roman"/>
                <w:color w:val="000000" w:themeColor="text1"/>
                <w:sz w:val="24"/>
                <w:szCs w:val="24"/>
                <w:lang w:eastAsia="zh-CN"/>
                <w14:textFill>
                  <w14:solidFill>
                    <w14:schemeClr w14:val="tx1"/>
                  </w14:solidFill>
                </w14:textFill>
              </w:rPr>
              <w:t>《中国环境天然放射性水平》（2015版）</w:t>
            </w:r>
            <w:r>
              <w:rPr>
                <w:rFonts w:hint="eastAsia" w:ascii="Times New Roman" w:hAnsi="Times New Roman" w:cs="Times New Roman"/>
                <w:color w:val="000000" w:themeColor="text1"/>
                <w:sz w:val="24"/>
                <w:szCs w:val="24"/>
                <w:lang w:eastAsia="zh-CN"/>
                <w14:textFill>
                  <w14:solidFill>
                    <w14:schemeClr w14:val="tx1"/>
                  </w14:solidFill>
                </w14:textFill>
              </w:rPr>
              <w:t>中</w:t>
            </w:r>
            <w:r>
              <w:rPr>
                <w:rFonts w:hint="eastAsia"/>
                <w:color w:val="000000" w:themeColor="text1"/>
                <w:sz w:val="24"/>
                <w:lang w:eastAsia="zh-CN"/>
                <w14:textFill>
                  <w14:solidFill>
                    <w14:schemeClr w14:val="tx1"/>
                  </w14:solidFill>
                </w14:textFill>
              </w:rPr>
              <w:t>天然贯穿辐射剂量率、地表水和农村井水中U</w:t>
            </w:r>
            <w:r>
              <w:rPr>
                <w:rFonts w:hint="eastAsia"/>
                <w:color w:val="000000" w:themeColor="text1"/>
                <w:sz w:val="24"/>
                <w:vertAlign w:val="subscript"/>
                <w:lang w:eastAsia="zh-CN"/>
                <w14:textFill>
                  <w14:solidFill>
                    <w14:schemeClr w14:val="tx1"/>
                  </w14:solidFill>
                </w14:textFill>
              </w:rPr>
              <w:t>天然</w:t>
            </w:r>
            <w:r>
              <w:rPr>
                <w:rFonts w:hint="eastAsia"/>
                <w:color w:val="000000" w:themeColor="text1"/>
                <w:sz w:val="24"/>
                <w:lang w:eastAsia="zh-CN"/>
                <w14:textFill>
                  <w14:solidFill>
                    <w14:schemeClr w14:val="tx1"/>
                  </w14:solidFill>
                </w14:textFill>
              </w:rPr>
              <w:t>、</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Ra浓度、土壤中</w:t>
            </w:r>
            <w:r>
              <w:rPr>
                <w:rFonts w:hint="eastAsia"/>
                <w:color w:val="000000" w:themeColor="text1"/>
                <w:sz w:val="24"/>
                <w:vertAlign w:val="superscript"/>
                <w:lang w:eastAsia="zh-CN"/>
                <w14:textFill>
                  <w14:solidFill>
                    <w14:schemeClr w14:val="tx1"/>
                  </w14:solidFill>
                </w14:textFill>
              </w:rPr>
              <w:t>238</w:t>
            </w:r>
            <w:r>
              <w:rPr>
                <w:rFonts w:hint="eastAsia"/>
                <w:color w:val="000000" w:themeColor="text1"/>
                <w:sz w:val="24"/>
                <w:lang w:eastAsia="zh-CN"/>
                <w14:textFill>
                  <w14:solidFill>
                    <w14:schemeClr w14:val="tx1"/>
                  </w14:solidFill>
                </w14:textFill>
              </w:rPr>
              <w:t>U、</w:t>
            </w:r>
            <w:r>
              <w:rPr>
                <w:rFonts w:hint="eastAsia"/>
                <w:color w:val="000000" w:themeColor="text1"/>
                <w:sz w:val="24"/>
                <w:vertAlign w:val="superscript"/>
                <w:lang w:eastAsia="zh-CN"/>
                <w14:textFill>
                  <w14:solidFill>
                    <w14:schemeClr w14:val="tx1"/>
                  </w14:solidFill>
                </w14:textFill>
              </w:rPr>
              <w:t>226</w:t>
            </w:r>
            <w:r>
              <w:rPr>
                <w:rFonts w:hint="eastAsia"/>
                <w:color w:val="000000" w:themeColor="text1"/>
                <w:sz w:val="24"/>
                <w:lang w:eastAsia="zh-CN"/>
                <w14:textFill>
                  <w14:solidFill>
                    <w14:schemeClr w14:val="tx1"/>
                  </w14:solidFill>
                </w14:textFill>
              </w:rPr>
              <w:t>Ra数据可知，</w:t>
            </w:r>
            <w:r>
              <w:rPr>
                <w:rFonts w:ascii="Times New Roman" w:hAnsi="Times New Roman" w:cs="Times New Roman"/>
                <w:color w:val="000000" w:themeColor="text1"/>
                <w:sz w:val="24"/>
                <w:szCs w:val="24"/>
                <w:lang w:eastAsia="zh-CN"/>
                <w14:textFill>
                  <w14:solidFill>
                    <w14:schemeClr w14:val="tx1"/>
                  </w14:solidFill>
                </w14:textFill>
              </w:rPr>
              <w:t>项目所在区域</w:t>
            </w:r>
            <w:r>
              <w:rPr>
                <w:rFonts w:hint="eastAsia" w:ascii="Times New Roman" w:hAnsi="Times New Roman" w:cs="Times New Roman"/>
                <w:color w:val="000000" w:themeColor="text1"/>
                <w:sz w:val="24"/>
                <w:szCs w:val="24"/>
                <w:lang w:eastAsia="zh-CN"/>
                <w14:textFill>
                  <w14:solidFill>
                    <w14:schemeClr w14:val="tx1"/>
                  </w14:solidFill>
                </w14:textFill>
              </w:rPr>
              <w:t>内</w:t>
            </w:r>
            <w:r>
              <w:rPr>
                <w:rFonts w:ascii="Times New Roman" w:hAnsi="Times New Roman" w:cs="Times New Roman"/>
                <w:color w:val="000000" w:themeColor="text1"/>
                <w:sz w:val="24"/>
                <w:szCs w:val="24"/>
                <w:lang w:eastAsia="zh-CN"/>
                <w14:textFill>
                  <w14:solidFill>
                    <w14:schemeClr w14:val="tx1"/>
                  </w14:solidFill>
                </w14:textFill>
              </w:rPr>
              <w:t>辐射环境质量现状良好</w:t>
            </w:r>
            <w:r>
              <w:rPr>
                <w:rFonts w:hint="eastAsia"/>
                <w:color w:val="000000" w:themeColor="text1"/>
                <w:sz w:val="24"/>
                <w:lang w:eastAsia="zh-CN"/>
                <w14:textFill>
                  <w14:solidFill>
                    <w14:schemeClr w14:val="tx1"/>
                  </w14:solidFill>
                </w14:textFill>
              </w:rPr>
              <w:t>。</w:t>
            </w:r>
          </w:p>
          <w:p>
            <w:pPr>
              <w:spacing w:line="360" w:lineRule="auto"/>
              <w:ind w:firstLine="480" w:firstLineChars="200"/>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（4）生态环境</w:t>
            </w:r>
            <w:bookmarkStart w:id="28" w:name="_GoBack"/>
            <w:bookmarkEnd w:id="28"/>
          </w:p>
          <w:p>
            <w:pPr>
              <w:keepNext w:val="0"/>
              <w:keepLines w:val="0"/>
              <w:widowControl/>
              <w:suppressLineNumbers w:val="0"/>
              <w:spacing w:line="360" w:lineRule="auto"/>
              <w:ind w:firstLine="480" w:firstLineChars="200"/>
              <w:jc w:val="left"/>
              <w:rPr>
                <w:rFonts w:hint="eastAsia" w:ascii="Times New Roman" w:hAnsi="Times New Roman" w:eastAsia="宋体" w:cs="Times New Roman"/>
                <w:b w:val="0"/>
                <w:bCs w:val="0"/>
                <w:color w:val="000000" w:themeColor="text1"/>
                <w:kern w:val="0"/>
                <w:sz w:val="24"/>
                <w:szCs w:val="24"/>
                <w:lang w:val="en-US" w:eastAsia="zh-CN" w:bidi="ar-SA"/>
                <w14:textFill>
                  <w14:solidFill>
                    <w14:schemeClr w14:val="tx1"/>
                  </w14:solidFill>
                </w14:textFill>
              </w:rPr>
            </w:pPr>
            <w:r>
              <w:rPr>
                <w:rFonts w:hint="eastAsia"/>
                <w:color w:val="000000" w:themeColor="text1"/>
                <w:sz w:val="24"/>
                <w:lang w:val="en-US" w:eastAsia="zh-CN"/>
                <w14:textFill>
                  <w14:solidFill>
                    <w14:schemeClr w14:val="tx1"/>
                  </w14:solidFill>
                </w14:textFill>
              </w:rPr>
              <w:t>勘查区涉及陕西省榆林市、铜川市、咸阳市、渭南市、宝鸡市、延安市；根据《陕西省生态功能区划》，项目勘查区属长城沿线风沙草原生态区、黄土高原农牧生态区、渭河两侧黄土台塬农业生态功能区、关中平原城乡一体化生态功能区。</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勘查区涉及甘肃省平凉市、庆阳市，</w:t>
            </w:r>
            <w:r>
              <w:rPr>
                <w:rFonts w:hint="eastAsia"/>
                <w:color w:val="000000" w:themeColor="text1"/>
                <w:sz w:val="24"/>
                <w:lang w:val="en-US" w:eastAsia="zh-CN"/>
                <w14:textFill>
                  <w14:solidFill>
                    <w14:schemeClr w14:val="tx1"/>
                  </w14:solidFill>
                </w14:textFill>
              </w:rPr>
              <w:t>根据《甘肃省生态功能区划》，项目勘查区域属子午岭次生林水源涵养生态功能区、黄土残塬旱作农业强烈水土流失生态功能区、环县黄土丘陵滩地强烈水土流失牧农生态功能区、泾河谷地城镇与灌溉农业区、华亭农业生态功能区。</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勘查区涉及内蒙古自治区鄂尔多斯市的鄂托克前旗和乌审旗，</w:t>
            </w:r>
            <w:r>
              <w:rPr>
                <w:rFonts w:hint="eastAsia"/>
                <w:color w:val="000000" w:themeColor="text1"/>
                <w:sz w:val="24"/>
                <w:lang w:val="en-US" w:eastAsia="zh-CN"/>
                <w14:textFill>
                  <w14:solidFill>
                    <w14:schemeClr w14:val="tx1"/>
                  </w14:solidFill>
                </w14:textFill>
              </w:rPr>
              <w:t>根据《内蒙古自治区生态功能区划》，该区域</w:t>
            </w:r>
            <w:r>
              <w:rPr>
                <w:rFonts w:hint="eastAsia"/>
                <w:bCs/>
                <w:color w:val="000000" w:themeColor="text1"/>
                <w:sz w:val="24"/>
                <w:lang w:val="en-US" w:eastAsia="zh-CN"/>
                <w14:textFill>
                  <w14:solidFill>
                    <w14:schemeClr w14:val="tx1"/>
                  </w14:solidFill>
                </w14:textFill>
              </w:rPr>
              <w:t>属于防风固沙区。</w:t>
            </w:r>
          </w:p>
          <w:p>
            <w:pPr>
              <w:numPr>
                <w:ilvl w:val="0"/>
                <w:numId w:val="0"/>
              </w:num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涉及宁夏回族自治区的银川市、吴忠市、固原市，根据《宁夏回族自治区生态功能区划》，该区域属银吴平原引黄灌溉农田生态亚区，毛乌素沙地边缘灵盐陶台地荒漠草原生态亚区，中部低山、丘陵、平原水旱混合农业开发生态亚区。</w:t>
            </w:r>
          </w:p>
          <w:p>
            <w:pPr>
              <w:pStyle w:val="28"/>
              <w:numPr>
                <w:ilvl w:val="0"/>
                <w:numId w:val="0"/>
              </w:numPr>
              <w:spacing w:line="360" w:lineRule="auto"/>
              <w:ind w:firstLine="480" w:firstLineChars="200"/>
              <w:rPr>
                <w:rFonts w:hint="eastAsia" w:ascii="Times New Roman" w:hAnsi="Times New Roman" w:cs="Times New Roman"/>
                <w:color w:val="000000" w:themeColor="text1"/>
                <w:kern w:val="2"/>
                <w:sz w:val="24"/>
                <w:szCs w:val="24"/>
                <w:lang w:val="en-US" w:eastAsia="zh-CN" w:bidi="ar-SA"/>
                <w14:textFill>
                  <w14:solidFill>
                    <w14:schemeClr w14:val="tx1"/>
                  </w14:solidFill>
                </w14:textFill>
              </w:rPr>
            </w:pPr>
            <w:r>
              <w:rPr>
                <w:rFonts w:hint="eastAsia"/>
                <w:bCs/>
                <w:color w:val="000000" w:themeColor="text1"/>
                <w:sz w:val="24"/>
                <w:lang w:val="en-US" w:eastAsia="zh-CN"/>
                <w14:textFill>
                  <w14:solidFill>
                    <w14:schemeClr w14:val="tx1"/>
                  </w14:solidFill>
                </w14:textFill>
              </w:rPr>
              <w:t>勘查区</w:t>
            </w:r>
            <w:r>
              <w:rPr>
                <w:rFonts w:hint="eastAsia"/>
                <w:color w:val="000000" w:themeColor="text1"/>
                <w:sz w:val="24"/>
                <w:lang w:val="en-US" w:eastAsia="zh-CN"/>
                <w14:textFill>
                  <w14:solidFill>
                    <w14:schemeClr w14:val="tx1"/>
                  </w14:solidFill>
                </w14:textFill>
              </w:rPr>
              <w:t>涉及山西省吕梁市和临汾市区域，根据《山西省生态功能区划》，该区域属于晋西离柳煤焦业开发与农林牧业及水土保持生态功能区、晋西南部黄土塬农林牧业与水土保持生态功能区、管涔山汾河源头水源涵养与生物多样性保护生态功能区。</w:t>
            </w:r>
          </w:p>
          <w:p>
            <w:pPr>
              <w:pStyle w:val="5"/>
              <w:numPr>
                <w:ilvl w:val="0"/>
                <w:numId w:val="0"/>
              </w:numPr>
              <w:tabs>
                <w:tab w:val="left" w:pos="905"/>
              </w:tabs>
              <w:spacing w:before="0" w:after="0" w:line="360" w:lineRule="auto"/>
              <w:ind w:right="0" w:rightChars="0"/>
              <w:jc w:val="left"/>
              <w:rPr>
                <w:rFonts w:hint="default" w:ascii="Times New Roman" w:hAnsi="Times New Roman" w:eastAsia="宋体" w:cs="Times New Roman"/>
                <w:color w:val="000000" w:themeColor="text1"/>
                <w:lang w:val="en-US" w:eastAsia="zh-CN"/>
                <w14:textFill>
                  <w14:solidFill>
                    <w14:schemeClr w14:val="tx1"/>
                  </w14:solidFill>
                </w14:textFill>
              </w:rPr>
            </w:pPr>
            <w:r>
              <w:rPr>
                <w:rFonts w:hint="default" w:ascii="Times New Roman" w:hAnsi="Times New Roman" w:cs="Times New Roman"/>
                <w:color w:val="000000" w:themeColor="text1"/>
                <w:lang w:val="en-US" w:eastAsia="zh-CN"/>
                <w14:textFill>
                  <w14:solidFill>
                    <w14:schemeClr w14:val="tx1"/>
                  </w14:solidFill>
                </w14:textFill>
              </w:rPr>
              <w:t>1.</w:t>
            </w:r>
            <w:r>
              <w:rPr>
                <w:rFonts w:hint="eastAsia" w:ascii="Times New Roman" w:hAnsi="Times New Roman" w:cs="Times New Roman"/>
                <w:color w:val="000000" w:themeColor="text1"/>
                <w:lang w:val="en-US" w:eastAsia="zh-CN"/>
                <w14:textFill>
                  <w14:solidFill>
                    <w14:schemeClr w14:val="tx1"/>
                  </w14:solidFill>
                </w14:textFill>
              </w:rPr>
              <w:t>4主要环境影响分析及相关污染防治措施</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1.4.1水环境影响分析及污染防治措施</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施工期的废水主要来自项目部、钻探勘查区人员生活污水以及钻井施工中的钻井泥浆废水、设备冲洗废水。项目部依托周边村庄现有旱厕，生活洗漱污水用于抑尘；钻探施工区的生活区设旱厕，生活洗漱污水用于抑尘。钻井泥浆池中的上清液循环使用，过程需补充一定消耗水量，废水全部循环，不外排。设备冲洗废水进入泥浆池沉淀自然干化，不外排</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1.4.2大气环境影响分析及污染防治措施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施工扬尘主要产生在钻前场地平整、土方开挖、开辟临时道路等环节，及材料运输过程中的道路扬尘，属于无组织排放。</w:t>
            </w:r>
            <w:r>
              <w:rPr>
                <w:rFonts w:hint="eastAsia"/>
                <w:color w:val="000000" w:themeColor="text1"/>
                <w:sz w:val="24"/>
                <w:lang w:eastAsia="zh-CN"/>
                <w14:textFill>
                  <w14:solidFill>
                    <w14:schemeClr w14:val="tx1"/>
                  </w14:solidFill>
                </w14:textFill>
              </w:rPr>
              <w:t>项目工期较短，其产生的影响相对较小；柴油机工作时产生废气主要污染物为颗粒物、NO</w:t>
            </w:r>
            <w:r>
              <w:rPr>
                <w:rFonts w:hint="eastAsia"/>
                <w:color w:val="000000" w:themeColor="text1"/>
                <w:sz w:val="24"/>
                <w:vertAlign w:val="subscript"/>
                <w:lang w:eastAsia="zh-CN"/>
                <w14:textFill>
                  <w14:solidFill>
                    <w14:schemeClr w14:val="tx1"/>
                  </w14:solidFill>
                </w14:textFill>
              </w:rPr>
              <w:t>x</w:t>
            </w:r>
            <w:r>
              <w:rPr>
                <w:rFonts w:hint="eastAsia"/>
                <w:color w:val="000000" w:themeColor="text1"/>
                <w:sz w:val="24"/>
                <w:lang w:eastAsia="zh-CN"/>
                <w14:textFill>
                  <w14:solidFill>
                    <w14:schemeClr w14:val="tx1"/>
                  </w14:solidFill>
                </w14:textFill>
              </w:rPr>
              <w:t>、SO</w:t>
            </w:r>
            <w:r>
              <w:rPr>
                <w:rFonts w:hint="eastAsia"/>
                <w:color w:val="000000" w:themeColor="text1"/>
                <w:sz w:val="24"/>
                <w:vertAlign w:val="subscript"/>
                <w:lang w:eastAsia="zh-CN"/>
                <w14:textFill>
                  <w14:solidFill>
                    <w14:schemeClr w14:val="tx1"/>
                  </w14:solidFill>
                </w14:textFill>
              </w:rPr>
              <w:t>2</w:t>
            </w:r>
            <w:r>
              <w:rPr>
                <w:rFonts w:hint="eastAsia"/>
                <w:color w:val="000000" w:themeColor="text1"/>
                <w:sz w:val="24"/>
                <w:lang w:eastAsia="zh-CN"/>
                <w14:textFill>
                  <w14:solidFill>
                    <w14:schemeClr w14:val="tx1"/>
                  </w14:solidFill>
                </w14:textFill>
              </w:rPr>
              <w:t>、CO、总烃等，为无组织、分散排放。本项目选择符合环保要求的柴油机，每个钻孔用到柴油机的时间仅为15天左右，所在地地势较为开阔，周围没有密集的建筑物与居民区，有利于大气污染物扩散，随着钻井工作的结束，柴油机排放的废气对环境空气的影响会逐渐消失，因此该项目钻井柴油机械废气对周围环境影响不大。</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1.4.3声环境影响分析及污染防治措施</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钻井噪声主要来源于钻机、钻机自带柴油机、柴油发电机、泥浆泵等连续性噪声，噪声源强在90~95dB(A)，主要措施是柴油发电机自带消音装置，在柴油机、发电机、泥浆泵等设备下加减振垫料，在钻井过程中平稳操作，避免产生非正常的噪声。钻探施工时间较短，伴随施工结束，影响消失，采取评价中的噪声控制措施后，钻井噪声对声环境的影响可得到有效控制。</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1.4.4固体废物环境影响分析及污染防治措施</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ascii="宋体" w:cs="宋体"/>
                <w:color w:val="000000" w:themeColor="text1"/>
                <w:kern w:val="0"/>
                <w:sz w:val="24"/>
                <w14:textFill>
                  <w14:solidFill>
                    <w14:schemeClr w14:val="tx1"/>
                  </w14:solidFill>
                </w14:textFill>
              </w:rPr>
              <w:t>根据工程分析，本项目固体废物主要为</w:t>
            </w:r>
            <w:r>
              <w:rPr>
                <w:rFonts w:hint="eastAsia"/>
                <w:color w:val="000000" w:themeColor="text1"/>
                <w:sz w:val="24"/>
                <w14:textFill>
                  <w14:solidFill>
                    <w14:schemeClr w14:val="tx1"/>
                  </w14:solidFill>
                </w14:textFill>
              </w:rPr>
              <w:t>剥离表土、</w:t>
            </w:r>
            <w:r>
              <w:rPr>
                <w:rFonts w:hint="eastAsia" w:ascii="宋体" w:cs="宋体"/>
                <w:color w:val="000000" w:themeColor="text1"/>
                <w:kern w:val="0"/>
                <w:sz w:val="24"/>
                <w14:textFill>
                  <w14:solidFill>
                    <w14:schemeClr w14:val="tx1"/>
                  </w14:solidFill>
                </w14:textFill>
              </w:rPr>
              <w:t>钻井泥浆、岩芯、施工人员生活垃圾</w:t>
            </w:r>
            <w:r>
              <w:rPr>
                <w:rFonts w:hint="eastAsia"/>
                <w:color w:val="000000" w:themeColor="text1"/>
                <w:sz w:val="24"/>
                <w:lang w:val="en-US" w:eastAsia="zh-CN"/>
                <w14:textFill>
                  <w14:solidFill>
                    <w14:schemeClr w14:val="tx1"/>
                  </w14:solidFill>
                </w14:textFill>
              </w:rPr>
              <w:t>以及废机油。</w:t>
            </w:r>
          </w:p>
          <w:p>
            <w:pPr>
              <w:spacing w:line="360" w:lineRule="auto"/>
              <w:ind w:firstLine="480" w:firstLineChars="200"/>
              <w:rPr>
                <w:rFonts w:hint="default"/>
                <w:color w:val="000000" w:themeColor="text1"/>
                <w:sz w:val="24"/>
                <w:lang w:val="en-US" w:eastAsia="zh-CN"/>
                <w14:textFill>
                  <w14:solidFill>
                    <w14:schemeClr w14:val="tx1"/>
                  </w14:solidFill>
                </w14:textFill>
              </w:rPr>
            </w:pPr>
            <w:r>
              <w:rPr>
                <w:rFonts w:hint="eastAsia" w:hAnsi="Times New Roman"/>
                <w:color w:val="000000" w:themeColor="text1"/>
                <w:sz w:val="24"/>
                <w:szCs w:val="24"/>
                <w:lang w:eastAsia="zh-CN"/>
                <w14:textFill>
                  <w14:solidFill>
                    <w14:schemeClr w14:val="tx1"/>
                  </w14:solidFill>
                </w14:textFill>
              </w:rPr>
              <w:t>表土就近堆放于钻孔平台附近，待封孔后用于场地恢复。</w:t>
            </w:r>
            <w:r>
              <w:rPr>
                <w:rFonts w:hint="eastAsia"/>
                <w:color w:val="000000" w:themeColor="text1"/>
                <w:sz w:val="24"/>
                <w:lang w:eastAsia="zh-CN"/>
                <w14:textFill>
                  <w14:solidFill>
                    <w14:schemeClr w14:val="tx1"/>
                  </w14:solidFill>
                </w14:textFill>
              </w:rPr>
              <w:t>废弃泥浆自然蒸发后于防渗泥浆池填埋，并进行生态恢复。钻井过程中岩芯全部集中放置在岩芯箱内，施工结束后，矿段岩芯全部取样，送实验室进行分析；非矿段岩芯集中在岩芯池填埋，岩芯池铺设HDPE防渗膜。</w:t>
            </w:r>
            <w:r>
              <w:rPr>
                <w:rFonts w:hint="eastAsia"/>
                <w:color w:val="000000" w:themeColor="text1"/>
                <w:sz w:val="24"/>
                <w:lang w:val="en-GB" w:eastAsia="zh-CN"/>
                <w14:textFill>
                  <w14:solidFill>
                    <w14:schemeClr w14:val="tx1"/>
                  </w14:solidFill>
                </w14:textFill>
              </w:rPr>
              <w:t>对产生的废油</w:t>
            </w:r>
            <w:r>
              <w:rPr>
                <w:rFonts w:hint="eastAsia"/>
                <w:bCs/>
                <w:color w:val="000000" w:themeColor="text1"/>
                <w:sz w:val="24"/>
                <w:lang w:eastAsia="zh-CN"/>
                <w14:textFill>
                  <w14:solidFill>
                    <w14:schemeClr w14:val="tx1"/>
                  </w14:solidFill>
                </w14:textFill>
              </w:rPr>
              <w:t>物</w:t>
            </w:r>
            <w:r>
              <w:rPr>
                <w:rFonts w:hint="eastAsia"/>
                <w:color w:val="000000" w:themeColor="text1"/>
                <w:sz w:val="24"/>
                <w:lang w:val="en-GB" w:eastAsia="zh-CN"/>
                <w14:textFill>
                  <w14:solidFill>
                    <w14:schemeClr w14:val="tx1"/>
                  </w14:solidFill>
                </w14:textFill>
              </w:rPr>
              <w:t>采用专用收集桶集中收集，</w:t>
            </w:r>
            <w:r>
              <w:rPr>
                <w:rFonts w:hint="eastAsia"/>
                <w:color w:val="000000" w:themeColor="text1"/>
                <w:sz w:val="24"/>
                <w:szCs w:val="28"/>
                <w:lang w:eastAsia="zh-CN"/>
                <w14:textFill>
                  <w14:solidFill>
                    <w14:schemeClr w14:val="tx1"/>
                  </w14:solidFill>
                </w14:textFill>
              </w:rPr>
              <w:t>经收集后交有资质单位进行处置</w:t>
            </w:r>
            <w:r>
              <w:rPr>
                <w:rFonts w:hint="eastAsia"/>
                <w:color w:val="000000" w:themeColor="text1"/>
                <w:sz w:val="24"/>
                <w:lang w:eastAsia="zh-CN"/>
                <w14:textFill>
                  <w14:solidFill>
                    <w14:schemeClr w14:val="tx1"/>
                  </w14:solidFill>
                </w14:textFill>
              </w:rPr>
              <w:t>。钻探勘查区生活垃圾用垃圾袋带回项目部，项目部设垃圾桶进行收集，定期送往乡镇垃圾堆放点，由当地环卫部门清理处置。</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1.4.5土壤、地下水环境影响分析</w:t>
            </w:r>
          </w:p>
          <w:p>
            <w:pPr>
              <w:spacing w:line="360" w:lineRule="auto"/>
              <w:ind w:firstLine="480" w:firstLineChars="200"/>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根据《环境影响评价技术导则 地下水环境》（HJ610-2016），本项目属于附录A中 C地质勘查 24、矿产资源地质勘查（包括勘探活动），地下水环境影响评价项目类别是IV类；根据《环境影响评价技术导则 土壤环境（试行）》（HJ964-2018），本项目属于附录A中其他行业，土壤环境影响评价项目类别是IV类。所以，本次不开展土壤、地下水环境影响评价。</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1.4.6辐射环境影响分析</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钻探施工活动中无液态放射性流出物产生，本项目钻孔孔径较小，且采用湿法钻探，氡及其子体释放量极少，施工时间较短，</w:t>
            </w:r>
            <w:r>
              <w:rPr>
                <w:color w:val="000000" w:themeColor="text1"/>
                <w:sz w:val="24"/>
                <w14:textFill>
                  <w14:solidFill>
                    <w14:schemeClr w14:val="tx1"/>
                  </w14:solidFill>
                </w14:textFill>
              </w:rPr>
              <w:t>居民区</w:t>
            </w:r>
            <w:r>
              <w:rPr>
                <w:rFonts w:hint="eastAsia"/>
                <w:color w:val="000000" w:themeColor="text1"/>
                <w:sz w:val="24"/>
                <w14:textFill>
                  <w14:solidFill>
                    <w14:schemeClr w14:val="tx1"/>
                  </w14:solidFill>
                </w14:textFill>
              </w:rPr>
              <w:t>位于</w:t>
            </w:r>
            <w:r>
              <w:rPr>
                <w:color w:val="000000" w:themeColor="text1"/>
                <w:sz w:val="24"/>
                <w14:textFill>
                  <w14:solidFill>
                    <w14:schemeClr w14:val="tx1"/>
                  </w14:solidFill>
                </w14:textFill>
              </w:rPr>
              <w:t>钻探区域</w:t>
            </w:r>
            <w:r>
              <w:rPr>
                <w:rFonts w:hint="eastAsia"/>
                <w:color w:val="000000" w:themeColor="text1"/>
                <w:sz w:val="24"/>
                <w14:textFill>
                  <w14:solidFill>
                    <w14:schemeClr w14:val="tx1"/>
                  </w14:solidFill>
                </w14:textFill>
              </w:rPr>
              <w:t>5</w:t>
            </w:r>
            <w:r>
              <w:rPr>
                <w:color w:val="000000" w:themeColor="text1"/>
                <w:sz w:val="24"/>
                <w14:textFill>
                  <w14:solidFill>
                    <w14:schemeClr w14:val="tx1"/>
                  </w14:solidFill>
                </w14:textFill>
              </w:rPr>
              <w:t>0m外</w:t>
            </w:r>
            <w:r>
              <w:rPr>
                <w:rFonts w:hint="eastAsia"/>
                <w:color w:val="000000" w:themeColor="text1"/>
                <w:sz w:val="24"/>
                <w14:textFill>
                  <w14:solidFill>
                    <w14:schemeClr w14:val="tx1"/>
                  </w14:solidFill>
                </w14:textFill>
              </w:rPr>
              <w:t>，在钻孔附近空气稀释和氡气自发衰变（</w:t>
            </w:r>
            <w:r>
              <w:rPr>
                <w:color w:val="000000" w:themeColor="text1"/>
                <w:sz w:val="24"/>
                <w14:textFill>
                  <w14:solidFill>
                    <w14:schemeClr w14:val="tx1"/>
                  </w14:solidFill>
                </w14:textFill>
              </w:rPr>
              <w:t>半衰期3.825d</w:t>
            </w:r>
            <w:r>
              <w:rPr>
                <w:rFonts w:hint="eastAsia"/>
                <w:color w:val="000000" w:themeColor="text1"/>
                <w:sz w:val="24"/>
                <w14:textFill>
                  <w14:solidFill>
                    <w14:schemeClr w14:val="tx1"/>
                  </w14:solidFill>
                </w14:textFill>
              </w:rPr>
              <w:t>）作用下，钻探区域50m外环境空气中氡浓度已降至环境本底水平，对公众不产生附加剂量</w:t>
            </w:r>
            <w:r>
              <w:rPr>
                <w:color w:val="000000" w:themeColor="text1"/>
                <w:sz w:val="24"/>
                <w14:textFill>
                  <w14:solidFill>
                    <w14:schemeClr w14:val="tx1"/>
                  </w14:solidFill>
                </w14:textFill>
              </w:rPr>
              <w:t>。</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1.4.7环境风险影响分析</w:t>
            </w:r>
          </w:p>
          <w:p>
            <w:pPr>
              <w:spacing w:line="360" w:lineRule="auto"/>
              <w:ind w:firstLine="480" w:firstLineChars="200"/>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本项目的环境风险防范类型主要为柴油的泄漏、火灾爆炸产生的伴生或次生污染物的环境风险。在采取必要的环境风险防范措施的前提下，项目的环境风险能够得到有效控制，环境风险可接受。</w:t>
            </w:r>
          </w:p>
          <w:p>
            <w:pPr>
              <w:pStyle w:val="4"/>
              <w:keepNext/>
              <w:keepLines/>
              <w:pageBreakBefore w:val="0"/>
              <w:widowControl w:val="0"/>
              <w:numPr>
                <w:ilvl w:val="0"/>
                <w:numId w:val="0"/>
              </w:numPr>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2"/>
                <w:sz w:val="24"/>
                <w:szCs w:val="24"/>
                <w:lang w:val="en-US" w:eastAsia="zh-CN" w:bidi="ar-SA"/>
                <w14:textFill>
                  <w14:solidFill>
                    <w14:schemeClr w14:val="tx1"/>
                  </w14:solidFill>
                </w14:textFill>
              </w:rPr>
              <w:t>1.4.8生态环境影响分析</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本项目钻井位置不占用</w:t>
            </w:r>
            <w:r>
              <w:rPr>
                <w:rFonts w:hint="eastAsia"/>
                <w:color w:val="000000" w:themeColor="text1"/>
                <w:kern w:val="0"/>
                <w:sz w:val="24"/>
                <w:lang w:val="en-US" w:eastAsia="zh-CN"/>
                <w14:textFill>
                  <w14:solidFill>
                    <w14:schemeClr w14:val="tx1"/>
                  </w14:solidFill>
                </w14:textFill>
              </w:rPr>
              <w:t>勘查区内的</w:t>
            </w:r>
            <w:r>
              <w:rPr>
                <w:rFonts w:hint="eastAsia"/>
                <w:color w:val="000000" w:themeColor="text1"/>
                <w:kern w:val="0"/>
                <w:sz w:val="24"/>
                <w14:textFill>
                  <w14:solidFill>
                    <w14:schemeClr w14:val="tx1"/>
                  </w14:solidFill>
                </w14:textFill>
              </w:rPr>
              <w:t>自然保护区、世界文化自然遗产、风景名胜区、森林公园、地质公园、湿地公园、水源地等生态敏感区，不涉及基本农田，且均为临时占地。项目由于施工期短，施工期结束后恢复生态，对生态环境影响较小。</w:t>
            </w:r>
          </w:p>
          <w:p>
            <w:pPr>
              <w:spacing w:line="360" w:lineRule="auto"/>
              <w:ind w:firstLine="480" w:firstLineChars="200"/>
              <w:rPr>
                <w:rFonts w:hint="eastAsia"/>
                <w:color w:val="000000" w:themeColor="text1"/>
                <w:kern w:val="0"/>
                <w:sz w:val="24"/>
                <w14:textFill>
                  <w14:solidFill>
                    <w14:schemeClr w14:val="tx1"/>
                  </w14:solidFill>
                </w14:textFill>
              </w:rPr>
            </w:pPr>
            <w:r>
              <w:rPr>
                <w:rFonts w:hint="eastAsia"/>
                <w:color w:val="000000" w:themeColor="text1"/>
                <w:kern w:val="0"/>
                <w:sz w:val="24"/>
                <w:lang w:val="en-US" w:eastAsia="zh-CN"/>
                <w14:textFill>
                  <w14:solidFill>
                    <w14:schemeClr w14:val="tx1"/>
                  </w14:solidFill>
                </w14:textFill>
              </w:rPr>
              <w:t>考虑到</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22年拟布设钻孔在勘查中会根据实际情况进行调整，同时</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23-2026年钻孔位置尚未确定。因此，评价要求</w:t>
            </w:r>
            <w:r>
              <w:rPr>
                <w:rFonts w:hint="default"/>
                <w:color w:val="000000" w:themeColor="text1"/>
                <w:kern w:val="0"/>
                <w:sz w:val="24"/>
                <w:lang w:val="en-US" w:eastAsia="zh-CN"/>
                <w14:textFill>
                  <w14:solidFill>
                    <w14:schemeClr w14:val="tx1"/>
                  </w14:solidFill>
                </w14:textFill>
              </w:rPr>
              <w:t>202</w:t>
            </w:r>
            <w:r>
              <w:rPr>
                <w:rFonts w:hint="eastAsia"/>
                <w:color w:val="000000" w:themeColor="text1"/>
                <w:kern w:val="0"/>
                <w:sz w:val="24"/>
                <w:lang w:val="en-US" w:eastAsia="zh-CN"/>
                <w14:textFill>
                  <w14:solidFill>
                    <w14:schemeClr w14:val="tx1"/>
                  </w14:solidFill>
                </w14:textFill>
              </w:rPr>
              <w:t>2年钻孔调整以及</w:t>
            </w:r>
            <w:r>
              <w:rPr>
                <w:rFonts w:hint="default"/>
                <w:color w:val="000000" w:themeColor="text1"/>
                <w:kern w:val="0"/>
                <w:sz w:val="24"/>
                <w:lang w:val="en-US" w:eastAsia="zh-CN"/>
                <w14:textFill>
                  <w14:solidFill>
                    <w14:schemeClr w14:val="tx1"/>
                  </w14:solidFill>
                </w14:textFill>
              </w:rPr>
              <w:t>20</w:t>
            </w:r>
            <w:r>
              <w:rPr>
                <w:rFonts w:hint="eastAsia"/>
                <w:color w:val="000000" w:themeColor="text1"/>
                <w:kern w:val="0"/>
                <w:sz w:val="24"/>
                <w:lang w:val="en-US" w:eastAsia="zh-CN"/>
                <w14:textFill>
                  <w14:solidFill>
                    <w14:schemeClr w14:val="tx1"/>
                  </w14:solidFill>
                </w14:textFill>
              </w:rPr>
              <w:t>23-2026年拟布设的钻孔具体施工时，应对勘查区内环境敏感区的进行避让。</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lang w:val="en-US" w:eastAsia="zh-CN"/>
                <w14:textFill>
                  <w14:solidFill>
                    <w14:schemeClr w14:val="tx1"/>
                  </w14:solidFill>
                </w14:textFill>
              </w:rPr>
              <w:t>2</w:t>
            </w:r>
            <w:r>
              <w:rPr>
                <w:rFonts w:hint="eastAsia" w:eastAsia="黑体"/>
                <w:color w:val="000000" w:themeColor="text1"/>
                <w:sz w:val="28"/>
                <w:szCs w:val="28"/>
                <w14:textFill>
                  <w14:solidFill>
                    <w14:schemeClr w14:val="tx1"/>
                  </w14:solidFill>
                </w14:textFill>
              </w:rPr>
              <w:t>、</w:t>
            </w:r>
            <w:r>
              <w:rPr>
                <w:rFonts w:eastAsia="黑体"/>
                <w:color w:val="000000" w:themeColor="text1"/>
                <w:sz w:val="28"/>
                <w:szCs w:val="28"/>
                <w14:textFill>
                  <w14:solidFill>
                    <w14:schemeClr w14:val="tx1"/>
                  </w14:solidFill>
                </w14:textFill>
              </w:rPr>
              <w:t>总结论</w:t>
            </w:r>
          </w:p>
          <w:p>
            <w:pPr>
              <w:spacing w:line="360" w:lineRule="auto"/>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目的建设符合国家和地方政策，污染物产生途径和产生量相对较少，采取合理、可靠的防治措施后，可使污染物排放得到有效控制；工程采取的污染物防治和生态保护措施可行，对周围环境影响较小。因此，从环境保护角度来看，本项目是可行的。</w:t>
            </w:r>
          </w:p>
          <w:p>
            <w:pPr>
              <w:spacing w:line="360" w:lineRule="auto"/>
              <w:rPr>
                <w:rFonts w:eastAsia="黑体"/>
                <w:color w:val="000000" w:themeColor="text1"/>
                <w:sz w:val="28"/>
                <w:szCs w:val="28"/>
                <w14:textFill>
                  <w14:solidFill>
                    <w14:schemeClr w14:val="tx1"/>
                  </w14:solidFill>
                </w14:textFill>
              </w:rPr>
            </w:pPr>
            <w:r>
              <w:rPr>
                <w:rFonts w:hint="eastAsia" w:eastAsia="黑体"/>
                <w:color w:val="000000" w:themeColor="text1"/>
                <w:sz w:val="28"/>
                <w:szCs w:val="28"/>
                <w:lang w:val="en-US" w:eastAsia="zh-CN"/>
                <w14:textFill>
                  <w14:solidFill>
                    <w14:schemeClr w14:val="tx1"/>
                  </w14:solidFill>
                </w14:textFill>
              </w:rPr>
              <w:t>3</w:t>
            </w:r>
            <w:r>
              <w:rPr>
                <w:rFonts w:hint="eastAsia" w:eastAsia="黑体"/>
                <w:color w:val="000000" w:themeColor="text1"/>
                <w:sz w:val="28"/>
                <w:szCs w:val="28"/>
                <w14:textFill>
                  <w14:solidFill>
                    <w14:schemeClr w14:val="tx1"/>
                  </w14:solidFill>
                </w14:textFill>
              </w:rPr>
              <w:t>、</w:t>
            </w:r>
            <w:r>
              <w:rPr>
                <w:rFonts w:eastAsia="黑体"/>
                <w:color w:val="000000" w:themeColor="text1"/>
                <w:sz w:val="28"/>
                <w:szCs w:val="28"/>
                <w14:textFill>
                  <w14:solidFill>
                    <w14:schemeClr w14:val="tx1"/>
                  </w14:solidFill>
                </w14:textFill>
              </w:rPr>
              <w:t>建议和要求</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1</w:t>
            </w:r>
            <w:r>
              <w:rPr>
                <w:rFonts w:hint="eastAsia"/>
                <w:color w:val="000000" w:themeColor="text1"/>
                <w:sz w:val="24"/>
                <w:lang w:val="en-US" w:eastAsia="zh-CN"/>
                <w14:textFill>
                  <w14:solidFill>
                    <w14:schemeClr w14:val="tx1"/>
                  </w14:solidFill>
                </w14:textFill>
              </w:rPr>
              <w:t>）严格按照施工设计方案要求，现场注意文明施工，安全施工，合理安排施工时间和限制施工范围，加强生态保护。</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2</w:t>
            </w:r>
            <w:r>
              <w:rPr>
                <w:rFonts w:hint="eastAsia"/>
                <w:color w:val="000000" w:themeColor="text1"/>
                <w:sz w:val="24"/>
                <w:lang w:val="en-US" w:eastAsia="zh-CN"/>
                <w14:textFill>
                  <w14:solidFill>
                    <w14:schemeClr w14:val="tx1"/>
                  </w14:solidFill>
                </w14:textFill>
              </w:rPr>
              <w:t>）严格落实钻井泥浆、生活废水处理等环保措施，减少污染物排放，降低对周围环境的影响。</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color w:val="000000" w:themeColor="text1"/>
                <w:sz w:val="24"/>
                <w:lang w:val="en-US" w:eastAsia="zh-CN"/>
                <w14:textFill>
                  <w14:solidFill>
                    <w14:schemeClr w14:val="tx1"/>
                  </w14:solidFill>
                </w14:textFill>
              </w:rPr>
              <w:t>3</w:t>
            </w:r>
            <w:r>
              <w:rPr>
                <w:rFonts w:hint="eastAsia"/>
                <w:color w:val="000000" w:themeColor="text1"/>
                <w:sz w:val="24"/>
                <w:lang w:val="en-US" w:eastAsia="zh-CN"/>
                <w14:textFill>
                  <w14:solidFill>
                    <w14:schemeClr w14:val="tx1"/>
                  </w14:solidFill>
                </w14:textFill>
              </w:rPr>
              <w:t>）施工作业应采取有效的生态保护措施保护动植物，减少对生态环境的影响。</w:t>
            </w:r>
          </w:p>
          <w:p>
            <w:pPr>
              <w:spacing w:line="400" w:lineRule="atLeast"/>
              <w:ind w:firstLine="480" w:firstLineChars="200"/>
              <w:rPr>
                <w:rFonts w:ascii="宋体" w:hAnsi="Calibri" w:cs="宋体"/>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pPr>
    </w:p>
    <w:p>
      <w:pPr>
        <w:pStyle w:val="13"/>
        <w:spacing w:line="360" w:lineRule="auto"/>
        <w:jc w:val="center"/>
        <w:rPr>
          <w:rFonts w:ascii="方正小标宋_GBK" w:hAnsi="黑体"/>
          <w:color w:val="000000" w:themeColor="text1"/>
          <w:kern w:val="0"/>
          <w:sz w:val="32"/>
          <w:szCs w:val="32"/>
          <w14:textFill>
            <w14:solidFill>
              <w14:schemeClr w14:val="tx1"/>
            </w14:solidFill>
          </w14:textFill>
        </w:rPr>
      </w:pPr>
      <w:r>
        <w:rPr>
          <w:rFonts w:ascii="方正小标宋_GBK" w:hAnsi="方正小标宋_GBK"/>
          <w:color w:val="000000" w:themeColor="text1"/>
          <w:sz w:val="32"/>
          <w:szCs w:val="32"/>
          <w14:textFill>
            <w14:solidFill>
              <w14:schemeClr w14:val="tx1"/>
            </w14:solidFill>
          </w14:textFill>
        </w:rPr>
        <w:t>建设项目污染物排放量汇总表</w:t>
      </w:r>
    </w:p>
    <w:tbl>
      <w:tblPr>
        <w:tblStyle w:val="14"/>
        <w:tblW w:w="0" w:type="auto"/>
        <w:tblInd w:w="8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959"/>
        <w:gridCol w:w="82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12" w:space="0"/>
              <w:left w:val="single" w:color="auto" w:sz="12" w:space="0"/>
              <w:bottom w:val="single" w:color="auto" w:sz="4" w:space="0"/>
              <w:right w:val="single" w:color="auto" w:sz="4" w:space="0"/>
              <w:tl2br w:val="single" w:color="auto" w:sz="4" w:space="0"/>
            </w:tcBorders>
            <w:tcMar>
              <w:top w:w="0" w:type="dxa"/>
              <w:left w:w="28" w:type="dxa"/>
              <w:bottom w:w="0" w:type="dxa"/>
              <w:right w:w="28" w:type="dxa"/>
            </w:tcMar>
            <w:vAlign w:val="center"/>
          </w:tcPr>
          <w:p>
            <w:pPr>
              <w:pStyle w:val="34"/>
              <w:jc w:val="right"/>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项目</w:t>
            </w:r>
          </w:p>
          <w:p>
            <w:pPr>
              <w:pStyle w:val="34"/>
              <w:jc w:val="both"/>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分类</w:t>
            </w:r>
          </w:p>
        </w:tc>
        <w:tc>
          <w:tcPr>
            <w:tcW w:w="1417"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污染物名称</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①</w:t>
            </w:r>
          </w:p>
        </w:tc>
        <w:tc>
          <w:tcPr>
            <w:tcW w:w="1276"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现有工程</w:t>
            </w:r>
          </w:p>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许可排放量</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②</w:t>
            </w:r>
          </w:p>
        </w:tc>
        <w:tc>
          <w:tcPr>
            <w:tcW w:w="170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在建工程</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③</w:t>
            </w:r>
          </w:p>
        </w:tc>
        <w:tc>
          <w:tcPr>
            <w:tcW w:w="15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本项目</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排放量（固体废物产生量）</w:t>
            </w:r>
            <w:r>
              <w:rPr>
                <w:rFonts w:hint="eastAsia" w:ascii="宋体" w:hAnsi="宋体" w:eastAsia="宋体" w:cs="宋体"/>
                <w:color w:val="000000" w:themeColor="text1"/>
                <w:spacing w:val="-6"/>
                <w:kern w:val="21"/>
                <w:sz w:val="21"/>
                <w:szCs w:val="21"/>
                <w14:textFill>
                  <w14:solidFill>
                    <w14:schemeClr w14:val="tx1"/>
                  </w14:solidFill>
                </w14:textFill>
              </w:rPr>
              <w:t>④</w:t>
            </w:r>
          </w:p>
        </w:tc>
        <w:tc>
          <w:tcPr>
            <w:tcW w:w="1761"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以新带老削减量</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（新建项目不填）</w:t>
            </w:r>
            <w:r>
              <w:rPr>
                <w:rFonts w:hint="eastAsia" w:ascii="宋体" w:hAnsi="宋体" w:eastAsia="宋体" w:cs="宋体"/>
                <w:color w:val="000000" w:themeColor="text1"/>
                <w:spacing w:val="-16"/>
                <w:kern w:val="21"/>
                <w:sz w:val="21"/>
                <w:szCs w:val="21"/>
                <w14:textFill>
                  <w14:solidFill>
                    <w14:schemeClr w14:val="tx1"/>
                  </w14:solidFill>
                </w14:textFill>
              </w:rPr>
              <w:t>⑤</w:t>
            </w:r>
          </w:p>
        </w:tc>
        <w:tc>
          <w:tcPr>
            <w:tcW w:w="1959" w:type="dxa"/>
            <w:tcBorders>
              <w:top w:val="single" w:color="auto" w:sz="12" w:space="0"/>
              <w:left w:val="single" w:color="auto" w:sz="4" w:space="0"/>
              <w:bottom w:val="single" w:color="auto" w:sz="4" w:space="0"/>
              <w:right w:val="single" w:color="auto" w:sz="4"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16"/>
                <w:kern w:val="21"/>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本项目建成后</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ascii="Times New Roman" w:hAnsi="Times New Roman" w:eastAsia="宋体" w:cs="Times New Roman"/>
                <w:color w:val="000000" w:themeColor="text1"/>
                <w:spacing w:val="-16"/>
                <w:kern w:val="21"/>
                <w:sz w:val="21"/>
                <w:szCs w:val="21"/>
                <w14:textFill>
                  <w14:solidFill>
                    <w14:schemeClr w14:val="tx1"/>
                  </w14:solidFill>
                </w14:textFill>
              </w:rPr>
              <w:t>全厂排放量（固体废物产生量）</w:t>
            </w:r>
            <w:r>
              <w:rPr>
                <w:rFonts w:hint="eastAsia" w:ascii="宋体" w:hAnsi="宋体" w:eastAsia="宋体" w:cs="宋体"/>
                <w:color w:val="000000" w:themeColor="text1"/>
                <w:spacing w:val="-16"/>
                <w:kern w:val="21"/>
                <w:sz w:val="21"/>
                <w:szCs w:val="21"/>
                <w14:textFill>
                  <w14:solidFill>
                    <w14:schemeClr w14:val="tx1"/>
                  </w14:solidFill>
                </w14:textFill>
              </w:rPr>
              <w:t>⑥</w:t>
            </w:r>
          </w:p>
        </w:tc>
        <w:tc>
          <w:tcPr>
            <w:tcW w:w="826" w:type="dxa"/>
            <w:tcBorders>
              <w:top w:val="single" w:color="auto" w:sz="12" w:space="0"/>
              <w:left w:val="single" w:color="auto" w:sz="4" w:space="0"/>
              <w:bottom w:val="single" w:color="auto" w:sz="4" w:space="0"/>
              <w:right w:val="single" w:color="auto" w:sz="12" w:space="0"/>
            </w:tcBorders>
            <w:tcMar>
              <w:top w:w="0" w:type="dxa"/>
              <w:left w:w="28" w:type="dxa"/>
              <w:bottom w:w="0" w:type="dxa"/>
              <w:right w:w="28" w:type="dxa"/>
            </w:tcMar>
            <w:vAlign w:val="center"/>
          </w:tcPr>
          <w:p>
            <w:pPr>
              <w:pStyle w:val="34"/>
              <w:rPr>
                <w:rFonts w:ascii="Times New Roman" w:hAnsi="Times New Roman" w:eastAsia="宋体" w:cs="Times New Roman"/>
                <w:color w:val="000000" w:themeColor="text1"/>
                <w:spacing w:val="-6"/>
                <w:kern w:val="21"/>
                <w:sz w:val="21"/>
                <w:szCs w:val="21"/>
                <w14:textFill>
                  <w14:solidFill>
                    <w14:schemeClr w14:val="tx1"/>
                  </w14:solidFill>
                </w14:textFill>
              </w:rPr>
            </w:pPr>
            <w:r>
              <w:rPr>
                <w:rFonts w:ascii="Times New Roman" w:hAnsi="Times New Roman" w:eastAsia="宋体" w:cs="Times New Roman"/>
                <w:color w:val="000000" w:themeColor="text1"/>
                <w:spacing w:val="-6"/>
                <w:kern w:val="21"/>
                <w:sz w:val="21"/>
                <w:szCs w:val="21"/>
                <w14:textFill>
                  <w14:solidFill>
                    <w14:schemeClr w14:val="tx1"/>
                  </w14:solidFill>
                </w14:textFill>
              </w:rPr>
              <w:t>变化量</w:t>
            </w:r>
          </w:p>
          <w:p>
            <w:pPr>
              <w:pStyle w:val="34"/>
              <w:rPr>
                <w:rFonts w:ascii="Times New Roman" w:hAnsi="Times New Roman" w:eastAsia="宋体" w:cs="Times New Roman"/>
                <w:color w:val="000000" w:themeColor="text1"/>
                <w:kern w:val="0"/>
                <w:sz w:val="21"/>
                <w:szCs w:val="21"/>
                <w14:textFill>
                  <w14:solidFill>
                    <w14:schemeClr w14:val="tx1"/>
                  </w14:solidFill>
                </w14:textFill>
              </w:rPr>
            </w:pPr>
            <w:r>
              <w:rPr>
                <w:rFonts w:hint="eastAsia" w:ascii="宋体" w:hAnsi="宋体" w:eastAsia="宋体" w:cs="宋体"/>
                <w:color w:val="000000" w:themeColor="text1"/>
                <w:spacing w:val="-6"/>
                <w:kern w:val="21"/>
                <w:sz w:val="21"/>
                <w:szCs w:val="21"/>
                <w14:textFill>
                  <w14:solidFill>
                    <w14:schemeClr w14:val="tx1"/>
                  </w14:solidFill>
                </w14:textFill>
              </w:rPr>
              <w:t>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废气</w:t>
            </w: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颗粒物</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0.45t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0.45t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SO</w:t>
            </w:r>
            <w:r>
              <w:rPr>
                <w:rFonts w:ascii="Times New Roman" w:hAnsi="Times New Roman" w:eastAsia="宋体" w:cs="Times New Roman"/>
                <w:color w:val="000000" w:themeColor="text1"/>
                <w:kern w:val="21"/>
                <w:sz w:val="21"/>
                <w:szCs w:val="21"/>
                <w:vertAlign w:val="subscript"/>
                <w14:textFill>
                  <w14:solidFill>
                    <w14:schemeClr w14:val="tx1"/>
                  </w14:solidFill>
                </w14:textFill>
              </w:rPr>
              <w:t>2</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2.52t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2.52t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NO</w:t>
            </w:r>
            <w:r>
              <w:rPr>
                <w:rFonts w:hint="eastAsia" w:ascii="Times New Roman" w:hAnsi="Times New Roman" w:eastAsia="宋体" w:cs="Times New Roman"/>
                <w:color w:val="000000" w:themeColor="text1"/>
                <w:kern w:val="21"/>
                <w:sz w:val="21"/>
                <w:szCs w:val="21"/>
                <w:vertAlign w:val="subscript"/>
                <w14:textFill>
                  <w14:solidFill>
                    <w14:schemeClr w14:val="tx1"/>
                  </w14:solidFill>
                </w14:textFill>
              </w:rPr>
              <w:t>X</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1.613t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1.613t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CO</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0.945t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0.945t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widowControl/>
              <w:spacing w:beforeAutospacing="1" w:afterAutospacing="1"/>
              <w:jc w:val="left"/>
              <w:rPr>
                <w:color w:val="000000" w:themeColor="text1"/>
                <w:kern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总烃</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0.938t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s="Times New Roman"/>
                <w:color w:val="000000" w:themeColor="text1"/>
                <w:kern w:val="21"/>
                <w:sz w:val="21"/>
                <w:szCs w:val="21"/>
                <w:lang w:val="en-US" w:eastAsia="zh-CN"/>
                <w14:textFill>
                  <w14:solidFill>
                    <w14:schemeClr w14:val="tx1"/>
                  </w14:solidFill>
                </w14:textFill>
              </w:rPr>
              <w:t>0.938t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废水</w:t>
            </w: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pStyle w:val="34"/>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restart"/>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一般工业</w:t>
            </w:r>
          </w:p>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固体废物</w:t>
            </w: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泥浆</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921.81t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921.81t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vMerge w:val="continue"/>
            <w:tcBorders>
              <w:top w:val="single" w:color="auto" w:sz="4" w:space="0"/>
              <w:left w:val="single" w:color="auto" w:sz="12"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岩芯</w:t>
            </w: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682.5t</w:t>
            </w:r>
          </w:p>
        </w:tc>
        <w:tc>
          <w:tcPr>
            <w:tcW w:w="1761" w:type="dxa"/>
            <w:tcBorders>
              <w:top w:val="single" w:color="auto" w:sz="4" w:space="0"/>
              <w:left w:val="single" w:color="auto" w:sz="4" w:space="0"/>
              <w:bottom w:val="single" w:color="auto" w:sz="4"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eastAsia="宋体" w:cs="Times New Roman"/>
                <w:color w:val="000000" w:themeColor="text1"/>
                <w:kern w:val="21"/>
                <w:sz w:val="2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682.5t</w:t>
            </w:r>
          </w:p>
        </w:tc>
        <w:tc>
          <w:tcPr>
            <w:tcW w:w="826" w:type="dxa"/>
            <w:tcBorders>
              <w:top w:val="single" w:color="auto" w:sz="4" w:space="0"/>
              <w:left w:val="single" w:color="auto" w:sz="4" w:space="0"/>
              <w:bottom w:val="single" w:color="auto" w:sz="4"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88" w:type="dxa"/>
            <w:tcBorders>
              <w:top w:val="single" w:color="auto" w:sz="4" w:space="0"/>
              <w:left w:val="single" w:color="auto" w:sz="12"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ascii="Times New Roman" w:hAnsi="Times New Roman" w:eastAsia="宋体" w:cs="Times New Roman"/>
                <w:color w:val="000000" w:themeColor="text1"/>
                <w:kern w:val="21"/>
                <w:sz w:val="21"/>
                <w:szCs w:val="21"/>
                <w14:textFill>
                  <w14:solidFill>
                    <w14:schemeClr w14:val="tx1"/>
                  </w14:solidFill>
                </w14:textFill>
              </w:rPr>
              <w:t>危险废物</w:t>
            </w:r>
          </w:p>
        </w:tc>
        <w:tc>
          <w:tcPr>
            <w:tcW w:w="1417" w:type="dxa"/>
            <w:tcBorders>
              <w:top w:val="single" w:color="auto" w:sz="4" w:space="0"/>
              <w:left w:val="single" w:color="auto" w:sz="4"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14:textFill>
                  <w14:solidFill>
                    <w14:schemeClr w14:val="tx1"/>
                  </w14:solidFill>
                </w14:textFill>
              </w:rPr>
              <w:t>废矿物油</w:t>
            </w:r>
          </w:p>
        </w:tc>
        <w:tc>
          <w:tcPr>
            <w:tcW w:w="1701" w:type="dxa"/>
            <w:tcBorders>
              <w:top w:val="single" w:color="auto" w:sz="4" w:space="0"/>
              <w:left w:val="single" w:color="auto" w:sz="4"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276" w:type="dxa"/>
            <w:tcBorders>
              <w:top w:val="single" w:color="auto" w:sz="4" w:space="0"/>
              <w:left w:val="single" w:color="auto" w:sz="4"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701" w:type="dxa"/>
            <w:tcBorders>
              <w:top w:val="single" w:color="auto" w:sz="4" w:space="0"/>
              <w:left w:val="single" w:color="auto" w:sz="4"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559" w:type="dxa"/>
            <w:tcBorders>
              <w:top w:val="single" w:color="auto" w:sz="4" w:space="0"/>
              <w:left w:val="single" w:color="auto" w:sz="4" w:space="0"/>
              <w:bottom w:val="single" w:color="auto" w:sz="12" w:space="0"/>
              <w:right w:val="single" w:color="auto" w:sz="4" w:space="0"/>
            </w:tcBorders>
            <w:vAlign w:val="center"/>
          </w:tcPr>
          <w:p>
            <w:pPr>
              <w:pStyle w:val="34"/>
              <w:rPr>
                <w:rFonts w:hint="default"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lang w:val="en-US" w:eastAsia="zh-CN"/>
                <w14:textFill>
                  <w14:solidFill>
                    <w14:schemeClr w14:val="tx1"/>
                  </w14:solidFill>
                </w14:textFill>
              </w:rPr>
              <w:t>1.192</w:t>
            </w: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t</w:t>
            </w:r>
          </w:p>
        </w:tc>
        <w:tc>
          <w:tcPr>
            <w:tcW w:w="1761" w:type="dxa"/>
            <w:tcBorders>
              <w:top w:val="single" w:color="auto" w:sz="4" w:space="0"/>
              <w:left w:val="single" w:color="auto" w:sz="4"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c>
          <w:tcPr>
            <w:tcW w:w="1959" w:type="dxa"/>
            <w:tcBorders>
              <w:top w:val="single" w:color="auto" w:sz="4" w:space="0"/>
              <w:left w:val="single" w:color="auto" w:sz="4" w:space="0"/>
              <w:bottom w:val="single" w:color="auto" w:sz="12" w:space="0"/>
              <w:right w:val="single" w:color="auto" w:sz="4"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r>
              <w:rPr>
                <w:rFonts w:hint="eastAsia" w:ascii="Times New Roman" w:hAnsi="Times New Roman" w:eastAsia="宋体" w:cs="Times New Roman"/>
                <w:color w:val="000000" w:themeColor="text1"/>
                <w:kern w:val="21"/>
                <w:sz w:val="21"/>
                <w:szCs w:val="21"/>
                <w:lang w:val="en-US" w:eastAsia="zh-CN"/>
                <w14:textFill>
                  <w14:solidFill>
                    <w14:schemeClr w14:val="tx1"/>
                  </w14:solidFill>
                </w14:textFill>
              </w:rPr>
              <w:t>1.192</w:t>
            </w:r>
            <w:r>
              <w:rPr>
                <w:rFonts w:hint="default" w:ascii="Times New Roman" w:hAnsi="Times New Roman" w:eastAsia="宋体" w:cs="Times New Roman"/>
                <w:color w:val="000000" w:themeColor="text1"/>
                <w:kern w:val="21"/>
                <w:sz w:val="21"/>
                <w:szCs w:val="21"/>
                <w:lang w:val="en-US" w:eastAsia="zh-CN"/>
                <w14:textFill>
                  <w14:solidFill>
                    <w14:schemeClr w14:val="tx1"/>
                  </w14:solidFill>
                </w14:textFill>
              </w:rPr>
              <w:t>t</w:t>
            </w:r>
          </w:p>
        </w:tc>
        <w:tc>
          <w:tcPr>
            <w:tcW w:w="826" w:type="dxa"/>
            <w:tcBorders>
              <w:top w:val="single" w:color="auto" w:sz="4" w:space="0"/>
              <w:left w:val="single" w:color="auto" w:sz="4" w:space="0"/>
              <w:bottom w:val="single" w:color="auto" w:sz="12" w:space="0"/>
              <w:right w:val="single" w:color="auto" w:sz="12" w:space="0"/>
            </w:tcBorders>
            <w:vAlign w:val="center"/>
          </w:tcPr>
          <w:p>
            <w:pPr>
              <w:pStyle w:val="34"/>
              <w:rPr>
                <w:rFonts w:ascii="Times New Roman" w:hAnsi="Times New Roman" w:eastAsia="宋体" w:cs="Times New Roman"/>
                <w:color w:val="000000" w:themeColor="text1"/>
                <w:kern w:val="21"/>
                <w:sz w:val="21"/>
                <w:szCs w:val="21"/>
                <w14:textFill>
                  <w14:solidFill>
                    <w14:schemeClr w14:val="tx1"/>
                  </w14:solidFill>
                </w14:textFill>
              </w:rPr>
            </w:pPr>
          </w:p>
        </w:tc>
      </w:tr>
    </w:tbl>
    <w:p>
      <w:pPr>
        <w:pStyle w:val="34"/>
        <w:spacing w:line="360" w:lineRule="auto"/>
        <w:jc w:val="both"/>
        <w:rPr>
          <w:rFonts w:ascii="宋体" w:hAnsi="宋体" w:cs="Times New Roman"/>
          <w:color w:val="000000" w:themeColor="text1"/>
          <w:spacing w:val="-6"/>
          <w:kern w:val="21"/>
          <w:sz w:val="21"/>
          <w:szCs w:val="21"/>
          <w14:textFill>
            <w14:solidFill>
              <w14:schemeClr w14:val="tx1"/>
            </w14:solidFill>
          </w14:textFill>
        </w:rPr>
      </w:pPr>
      <w:r>
        <w:rPr>
          <w:rFonts w:hint="eastAsia" w:hAnsi="宋体"/>
          <w:color w:val="000000" w:themeColor="text1"/>
          <w:kern w:val="21"/>
          <w:sz w:val="21"/>
          <w:szCs w:val="21"/>
          <w14:textFill>
            <w14:solidFill>
              <w14:schemeClr w14:val="tx1"/>
            </w14:solidFill>
          </w14:textFill>
        </w:rPr>
        <w:t>注：</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③</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④</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⑤</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⑦</w:t>
      </w:r>
      <w:r>
        <w:rPr>
          <w:rFonts w:hint="eastAsia" w:hAnsi="宋体"/>
          <w:color w:val="000000" w:themeColor="text1"/>
          <w:spacing w:val="-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⑥</w:t>
      </w:r>
      <w:r>
        <w:rPr>
          <w:rFonts w:hint="eastAsia" w:hAnsi="宋体"/>
          <w:color w:val="000000" w:themeColor="text1"/>
          <w:spacing w:val="-16"/>
          <w:kern w:val="21"/>
          <w:sz w:val="21"/>
          <w:szCs w:val="21"/>
          <w14:textFill>
            <w14:solidFill>
              <w14:schemeClr w14:val="tx1"/>
            </w14:solidFill>
          </w14:textFill>
        </w:rPr>
        <w:t>-</w:t>
      </w:r>
      <w:r>
        <w:rPr>
          <w:rFonts w:hint="eastAsia" w:hAnsi="宋体"/>
          <w:color w:val="000000" w:themeColor="text1"/>
          <w:sz w:val="21"/>
          <w:szCs w:val="21"/>
          <w14:textFill>
            <w14:solidFill>
              <w14:schemeClr w14:val="tx1"/>
            </w14:solidFill>
          </w14:textFill>
        </w:rPr>
        <w:t>①</w:t>
      </w:r>
    </w:p>
    <w:p>
      <w:pPr>
        <w:rPr>
          <w:color w:val="000000" w:themeColor="text1"/>
          <w14:textFill>
            <w14:solidFill>
              <w14:schemeClr w14:val="tx1"/>
            </w14:solidFill>
          </w14:textFill>
        </w:rPr>
      </w:pPr>
    </w:p>
    <w:p>
      <w:pPr>
        <w:rPr>
          <w:color w:val="000000" w:themeColor="text1"/>
          <w14:textFill>
            <w14:solidFill>
              <w14:schemeClr w14:val="tx1"/>
            </w14:solidFill>
          </w14:textFill>
        </w:rPr>
      </w:pPr>
    </w:p>
    <w:sectPr>
      <w:pgSz w:w="16838" w:h="11906" w:orient="landscape"/>
      <w:pgMar w:top="1080" w:right="1440" w:bottom="1080"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汉鼎简书宋">
    <w:altName w:val="宋体"/>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Arial Unicode MS">
    <w:altName w:val="宋体"/>
    <w:panose1 w:val="020B0604020202020204"/>
    <w:charset w:val="86"/>
    <w:family w:val="swiss"/>
    <w:pitch w:val="default"/>
    <w:sig w:usb0="00000000" w:usb1="00000000" w:usb2="0000003F" w:usb3="00000000" w:csb0="003F01FF" w:csb1="00000000"/>
  </w:font>
  <w:font w:name="华文行楷">
    <w:panose1 w:val="02010800040101010101"/>
    <w:charset w:val="86"/>
    <w:family w:val="auto"/>
    <w:pitch w:val="default"/>
    <w:sig w:usb0="00000001" w:usb1="080F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Wingdings 2">
    <w:panose1 w:val="05020102010507070707"/>
    <w:charset w:val="02"/>
    <w:family w:val="roman"/>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 w:name="方正小标宋_GBK">
    <w:altName w:val="微软雅黑"/>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Wingdings 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sz w:val="21"/>
        <w:szCs w:val="21"/>
      </w:rPr>
      <w:id w:val="768580829"/>
    </w:sdtPr>
    <w:sdtEndPr>
      <w:rPr>
        <w:sz w:val="21"/>
        <w:szCs w:val="21"/>
      </w:rPr>
    </w:sdtEndPr>
    <w:sdtContent>
      <w:p>
        <w:pPr>
          <w:pStyle w:val="10"/>
          <w:pBdr>
            <w:top w:val="thickThinSmallGap" w:color="auto" w:sz="24" w:space="1"/>
          </w:pBdr>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w:t>
        </w:r>
        <w:r>
          <w:rPr>
            <w:sz w:val="21"/>
            <w:szCs w:val="21"/>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thinThickSmallGap" w:color="auto" w:sz="24" w:space="1"/>
      </w:pBdr>
      <w:jc w:val="center"/>
      <w:rPr>
        <w:rFonts w:hint="eastAsia" w:eastAsia="宋体"/>
        <w:sz w:val="21"/>
        <w:lang w:eastAsia="zh-CN"/>
      </w:rPr>
    </w:pPr>
    <w:r>
      <w:rPr>
        <w:rFonts w:hint="eastAsia"/>
        <w:sz w:val="21"/>
        <w:lang w:val="en-US" w:eastAsia="zh-CN"/>
      </w:rPr>
      <w:t>鄂尔多斯盆地南部旬邑－盐池地区铀矿资源调查评价与勘查</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8727C1"/>
    <w:multiLevelType w:val="multilevel"/>
    <w:tmpl w:val="328727C1"/>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43B6193"/>
    <w:rsid w:val="000B1496"/>
    <w:rsid w:val="004131D7"/>
    <w:rsid w:val="00923AF7"/>
    <w:rsid w:val="00A40F28"/>
    <w:rsid w:val="00D13DA0"/>
    <w:rsid w:val="01137772"/>
    <w:rsid w:val="0121455D"/>
    <w:rsid w:val="014A5A89"/>
    <w:rsid w:val="0155445F"/>
    <w:rsid w:val="0156379E"/>
    <w:rsid w:val="016C0EF9"/>
    <w:rsid w:val="017F057C"/>
    <w:rsid w:val="01A75D4F"/>
    <w:rsid w:val="01B57749"/>
    <w:rsid w:val="01B84E2C"/>
    <w:rsid w:val="01C54678"/>
    <w:rsid w:val="021C05FA"/>
    <w:rsid w:val="024E6AC0"/>
    <w:rsid w:val="02881BDC"/>
    <w:rsid w:val="02A41FF1"/>
    <w:rsid w:val="02B424F3"/>
    <w:rsid w:val="033346A9"/>
    <w:rsid w:val="037926A2"/>
    <w:rsid w:val="04024380"/>
    <w:rsid w:val="042C089C"/>
    <w:rsid w:val="04AB332C"/>
    <w:rsid w:val="04CA7006"/>
    <w:rsid w:val="04E823FF"/>
    <w:rsid w:val="04FB5351"/>
    <w:rsid w:val="05026AC7"/>
    <w:rsid w:val="054841CA"/>
    <w:rsid w:val="057D1457"/>
    <w:rsid w:val="058701C0"/>
    <w:rsid w:val="058D1D95"/>
    <w:rsid w:val="05D649CD"/>
    <w:rsid w:val="05EA2042"/>
    <w:rsid w:val="06607543"/>
    <w:rsid w:val="0674372B"/>
    <w:rsid w:val="069646AC"/>
    <w:rsid w:val="06C50DD1"/>
    <w:rsid w:val="06D5380A"/>
    <w:rsid w:val="07563614"/>
    <w:rsid w:val="07B81FF8"/>
    <w:rsid w:val="07BA05B4"/>
    <w:rsid w:val="081C64B6"/>
    <w:rsid w:val="08272EE8"/>
    <w:rsid w:val="083E7568"/>
    <w:rsid w:val="08DC79B3"/>
    <w:rsid w:val="08DF0073"/>
    <w:rsid w:val="09336BBC"/>
    <w:rsid w:val="09581A15"/>
    <w:rsid w:val="09E54A69"/>
    <w:rsid w:val="09FD1C4C"/>
    <w:rsid w:val="0A303F0C"/>
    <w:rsid w:val="0A694708"/>
    <w:rsid w:val="0AB42156"/>
    <w:rsid w:val="0AC40BFD"/>
    <w:rsid w:val="0AEC3173"/>
    <w:rsid w:val="0B1F1433"/>
    <w:rsid w:val="0B5E35C5"/>
    <w:rsid w:val="0B811EE1"/>
    <w:rsid w:val="0BA658AA"/>
    <w:rsid w:val="0BB46FFE"/>
    <w:rsid w:val="0BC32C78"/>
    <w:rsid w:val="0C212BB5"/>
    <w:rsid w:val="0C486FA7"/>
    <w:rsid w:val="0C5F698A"/>
    <w:rsid w:val="0C6A5938"/>
    <w:rsid w:val="0C784278"/>
    <w:rsid w:val="0CE530AE"/>
    <w:rsid w:val="0CE97319"/>
    <w:rsid w:val="0D2A5E99"/>
    <w:rsid w:val="0D340A6F"/>
    <w:rsid w:val="0D79712C"/>
    <w:rsid w:val="0DA2115F"/>
    <w:rsid w:val="0DE85CA4"/>
    <w:rsid w:val="0E28758B"/>
    <w:rsid w:val="0E325B64"/>
    <w:rsid w:val="0E375313"/>
    <w:rsid w:val="0EC77705"/>
    <w:rsid w:val="0ECE3EA1"/>
    <w:rsid w:val="0F2B24FB"/>
    <w:rsid w:val="0F6E364D"/>
    <w:rsid w:val="0FE27F07"/>
    <w:rsid w:val="0FFE7A83"/>
    <w:rsid w:val="1020215A"/>
    <w:rsid w:val="1049068C"/>
    <w:rsid w:val="105118A5"/>
    <w:rsid w:val="106E2FD7"/>
    <w:rsid w:val="10750DFA"/>
    <w:rsid w:val="108678AF"/>
    <w:rsid w:val="109810CC"/>
    <w:rsid w:val="10AB32D9"/>
    <w:rsid w:val="10E907AA"/>
    <w:rsid w:val="11202119"/>
    <w:rsid w:val="11420BC4"/>
    <w:rsid w:val="114D2313"/>
    <w:rsid w:val="125B42DB"/>
    <w:rsid w:val="12BA48D6"/>
    <w:rsid w:val="12C1714F"/>
    <w:rsid w:val="12C8547B"/>
    <w:rsid w:val="12C95371"/>
    <w:rsid w:val="12D26084"/>
    <w:rsid w:val="13226477"/>
    <w:rsid w:val="134706C6"/>
    <w:rsid w:val="137E4E85"/>
    <w:rsid w:val="137F37D6"/>
    <w:rsid w:val="13D06919"/>
    <w:rsid w:val="14245641"/>
    <w:rsid w:val="144E4E60"/>
    <w:rsid w:val="14515E73"/>
    <w:rsid w:val="146D0167"/>
    <w:rsid w:val="14832ED4"/>
    <w:rsid w:val="149B4994"/>
    <w:rsid w:val="14B13E00"/>
    <w:rsid w:val="14B76620"/>
    <w:rsid w:val="14D01C0D"/>
    <w:rsid w:val="14E43024"/>
    <w:rsid w:val="157B0246"/>
    <w:rsid w:val="159D5A50"/>
    <w:rsid w:val="15AA0CCE"/>
    <w:rsid w:val="15D057D9"/>
    <w:rsid w:val="15DC062F"/>
    <w:rsid w:val="16041A66"/>
    <w:rsid w:val="16051669"/>
    <w:rsid w:val="16115694"/>
    <w:rsid w:val="162E7B2B"/>
    <w:rsid w:val="165E37AE"/>
    <w:rsid w:val="16920507"/>
    <w:rsid w:val="16CD2C44"/>
    <w:rsid w:val="16D12CD0"/>
    <w:rsid w:val="16DA640F"/>
    <w:rsid w:val="17174F36"/>
    <w:rsid w:val="17341EB4"/>
    <w:rsid w:val="17974C6B"/>
    <w:rsid w:val="17EE7E49"/>
    <w:rsid w:val="180177B4"/>
    <w:rsid w:val="180F57B3"/>
    <w:rsid w:val="18300BD7"/>
    <w:rsid w:val="185A7553"/>
    <w:rsid w:val="185A7832"/>
    <w:rsid w:val="193B407C"/>
    <w:rsid w:val="199D2220"/>
    <w:rsid w:val="19B73661"/>
    <w:rsid w:val="19C6275B"/>
    <w:rsid w:val="1A394523"/>
    <w:rsid w:val="1A642898"/>
    <w:rsid w:val="1A6C43CA"/>
    <w:rsid w:val="1A97036F"/>
    <w:rsid w:val="1AB5271F"/>
    <w:rsid w:val="1AC024ED"/>
    <w:rsid w:val="1AC81DA8"/>
    <w:rsid w:val="1B3D7173"/>
    <w:rsid w:val="1B575EBB"/>
    <w:rsid w:val="1B8506FE"/>
    <w:rsid w:val="1B9A73D9"/>
    <w:rsid w:val="1BB10132"/>
    <w:rsid w:val="1C042587"/>
    <w:rsid w:val="1C1A4DD3"/>
    <w:rsid w:val="1C463AC9"/>
    <w:rsid w:val="1C8D2ECF"/>
    <w:rsid w:val="1CE25A52"/>
    <w:rsid w:val="1CF60082"/>
    <w:rsid w:val="1D461709"/>
    <w:rsid w:val="1D5A3118"/>
    <w:rsid w:val="1D6E5F60"/>
    <w:rsid w:val="1D9D5404"/>
    <w:rsid w:val="1DBA0101"/>
    <w:rsid w:val="1DC9494A"/>
    <w:rsid w:val="1DCF6994"/>
    <w:rsid w:val="1E12163F"/>
    <w:rsid w:val="1E5B5F2D"/>
    <w:rsid w:val="1E5B7AC7"/>
    <w:rsid w:val="1E9C142C"/>
    <w:rsid w:val="1EAF30A0"/>
    <w:rsid w:val="1EB30654"/>
    <w:rsid w:val="1EFA5D77"/>
    <w:rsid w:val="1F54488E"/>
    <w:rsid w:val="1F731D17"/>
    <w:rsid w:val="1FBA2DE0"/>
    <w:rsid w:val="201F486B"/>
    <w:rsid w:val="20304CB0"/>
    <w:rsid w:val="2044029C"/>
    <w:rsid w:val="20457D24"/>
    <w:rsid w:val="204D462F"/>
    <w:rsid w:val="2064455C"/>
    <w:rsid w:val="20714AE8"/>
    <w:rsid w:val="20850E04"/>
    <w:rsid w:val="20AC79B2"/>
    <w:rsid w:val="20C43AB7"/>
    <w:rsid w:val="20D6053C"/>
    <w:rsid w:val="21544A60"/>
    <w:rsid w:val="217159FC"/>
    <w:rsid w:val="219A30BC"/>
    <w:rsid w:val="21AE250B"/>
    <w:rsid w:val="21B10E65"/>
    <w:rsid w:val="21C90611"/>
    <w:rsid w:val="21CF13D7"/>
    <w:rsid w:val="21D001AB"/>
    <w:rsid w:val="21D17F14"/>
    <w:rsid w:val="21D60610"/>
    <w:rsid w:val="22267FD0"/>
    <w:rsid w:val="222E42E5"/>
    <w:rsid w:val="222E78DB"/>
    <w:rsid w:val="22582043"/>
    <w:rsid w:val="227D5808"/>
    <w:rsid w:val="22885BF3"/>
    <w:rsid w:val="22A77EC2"/>
    <w:rsid w:val="22C40C28"/>
    <w:rsid w:val="23972B94"/>
    <w:rsid w:val="23AB3547"/>
    <w:rsid w:val="241D7220"/>
    <w:rsid w:val="24643ACA"/>
    <w:rsid w:val="24842FD4"/>
    <w:rsid w:val="24B041A7"/>
    <w:rsid w:val="24ED68B7"/>
    <w:rsid w:val="24FA3D36"/>
    <w:rsid w:val="25014367"/>
    <w:rsid w:val="251A2E35"/>
    <w:rsid w:val="251A5E97"/>
    <w:rsid w:val="253A27C7"/>
    <w:rsid w:val="262A37CE"/>
    <w:rsid w:val="2639096C"/>
    <w:rsid w:val="264F7CC1"/>
    <w:rsid w:val="26C823CF"/>
    <w:rsid w:val="270D4EB8"/>
    <w:rsid w:val="270D6927"/>
    <w:rsid w:val="270E6088"/>
    <w:rsid w:val="273231C3"/>
    <w:rsid w:val="274D7B0F"/>
    <w:rsid w:val="276C2649"/>
    <w:rsid w:val="277343D9"/>
    <w:rsid w:val="27B85FEC"/>
    <w:rsid w:val="27D758AC"/>
    <w:rsid w:val="28003CC6"/>
    <w:rsid w:val="28271B9F"/>
    <w:rsid w:val="283451C2"/>
    <w:rsid w:val="286A6A6A"/>
    <w:rsid w:val="28860261"/>
    <w:rsid w:val="288E7560"/>
    <w:rsid w:val="2891016B"/>
    <w:rsid w:val="28B45C58"/>
    <w:rsid w:val="28CB6023"/>
    <w:rsid w:val="28E11475"/>
    <w:rsid w:val="293C028B"/>
    <w:rsid w:val="2952317D"/>
    <w:rsid w:val="299B3DAD"/>
    <w:rsid w:val="29B31F1C"/>
    <w:rsid w:val="29D13117"/>
    <w:rsid w:val="29EC3339"/>
    <w:rsid w:val="2A0A12D3"/>
    <w:rsid w:val="2A3516E2"/>
    <w:rsid w:val="2AAB0711"/>
    <w:rsid w:val="2AC002A3"/>
    <w:rsid w:val="2B074607"/>
    <w:rsid w:val="2B0E061D"/>
    <w:rsid w:val="2B3044C4"/>
    <w:rsid w:val="2B583D10"/>
    <w:rsid w:val="2B5F7DE7"/>
    <w:rsid w:val="2BE66D53"/>
    <w:rsid w:val="2BF72A5C"/>
    <w:rsid w:val="2BF751D9"/>
    <w:rsid w:val="2C030476"/>
    <w:rsid w:val="2C343B2F"/>
    <w:rsid w:val="2C352AB5"/>
    <w:rsid w:val="2C3F6725"/>
    <w:rsid w:val="2C40106D"/>
    <w:rsid w:val="2C480A58"/>
    <w:rsid w:val="2C6C2468"/>
    <w:rsid w:val="2C8B58A9"/>
    <w:rsid w:val="2CD730B7"/>
    <w:rsid w:val="2D2339ED"/>
    <w:rsid w:val="2D260D0E"/>
    <w:rsid w:val="2D443A6D"/>
    <w:rsid w:val="2D461C33"/>
    <w:rsid w:val="2D852BCD"/>
    <w:rsid w:val="2D8E609A"/>
    <w:rsid w:val="2E4F5189"/>
    <w:rsid w:val="2EB74DA9"/>
    <w:rsid w:val="2ECA1C79"/>
    <w:rsid w:val="2ECE6CD2"/>
    <w:rsid w:val="2EF05333"/>
    <w:rsid w:val="2F0723C4"/>
    <w:rsid w:val="2F6C2C4B"/>
    <w:rsid w:val="2FBF7029"/>
    <w:rsid w:val="2FCD054D"/>
    <w:rsid w:val="2FE33E8B"/>
    <w:rsid w:val="2FE6441F"/>
    <w:rsid w:val="2FE853BE"/>
    <w:rsid w:val="2FF33706"/>
    <w:rsid w:val="3008125F"/>
    <w:rsid w:val="301809D7"/>
    <w:rsid w:val="302823F7"/>
    <w:rsid w:val="302C6D8E"/>
    <w:rsid w:val="303E620B"/>
    <w:rsid w:val="303E6655"/>
    <w:rsid w:val="30521CD4"/>
    <w:rsid w:val="306D2F40"/>
    <w:rsid w:val="30C9052A"/>
    <w:rsid w:val="30D32E45"/>
    <w:rsid w:val="31021C02"/>
    <w:rsid w:val="31340151"/>
    <w:rsid w:val="31381E0E"/>
    <w:rsid w:val="315F61D4"/>
    <w:rsid w:val="318863C1"/>
    <w:rsid w:val="31A367E8"/>
    <w:rsid w:val="31CA45B5"/>
    <w:rsid w:val="32453DAA"/>
    <w:rsid w:val="32480AEF"/>
    <w:rsid w:val="32572DBD"/>
    <w:rsid w:val="32723654"/>
    <w:rsid w:val="329B625D"/>
    <w:rsid w:val="32A879D3"/>
    <w:rsid w:val="32AB0A36"/>
    <w:rsid w:val="331020A8"/>
    <w:rsid w:val="33412CB1"/>
    <w:rsid w:val="337623F8"/>
    <w:rsid w:val="33BF1769"/>
    <w:rsid w:val="33D515CA"/>
    <w:rsid w:val="34002D58"/>
    <w:rsid w:val="342F6E72"/>
    <w:rsid w:val="344C109B"/>
    <w:rsid w:val="34593D31"/>
    <w:rsid w:val="34596615"/>
    <w:rsid w:val="345B6403"/>
    <w:rsid w:val="345F723C"/>
    <w:rsid w:val="347B7A9C"/>
    <w:rsid w:val="34E04DD1"/>
    <w:rsid w:val="34FA5CFC"/>
    <w:rsid w:val="35157EBF"/>
    <w:rsid w:val="35244322"/>
    <w:rsid w:val="3574346C"/>
    <w:rsid w:val="35D416F7"/>
    <w:rsid w:val="35E01D3F"/>
    <w:rsid w:val="35E02CBB"/>
    <w:rsid w:val="35F83BE8"/>
    <w:rsid w:val="361E1C8C"/>
    <w:rsid w:val="36312174"/>
    <w:rsid w:val="36321486"/>
    <w:rsid w:val="36683DD1"/>
    <w:rsid w:val="36860C3A"/>
    <w:rsid w:val="36C800E9"/>
    <w:rsid w:val="36ED7CA5"/>
    <w:rsid w:val="36F22CCC"/>
    <w:rsid w:val="37287EFB"/>
    <w:rsid w:val="37A23079"/>
    <w:rsid w:val="37A4338F"/>
    <w:rsid w:val="37CA682B"/>
    <w:rsid w:val="37F13905"/>
    <w:rsid w:val="38631076"/>
    <w:rsid w:val="386C032C"/>
    <w:rsid w:val="38770712"/>
    <w:rsid w:val="38CB598B"/>
    <w:rsid w:val="3944168A"/>
    <w:rsid w:val="394F287A"/>
    <w:rsid w:val="39521B08"/>
    <w:rsid w:val="39923CF9"/>
    <w:rsid w:val="399E705B"/>
    <w:rsid w:val="39D344C8"/>
    <w:rsid w:val="39D62F11"/>
    <w:rsid w:val="3A342D49"/>
    <w:rsid w:val="3A455988"/>
    <w:rsid w:val="3A521E69"/>
    <w:rsid w:val="3A573108"/>
    <w:rsid w:val="3A573E09"/>
    <w:rsid w:val="3A6A7367"/>
    <w:rsid w:val="3A7719D3"/>
    <w:rsid w:val="3A8400BF"/>
    <w:rsid w:val="3AED0D79"/>
    <w:rsid w:val="3B156144"/>
    <w:rsid w:val="3B29217F"/>
    <w:rsid w:val="3B577E16"/>
    <w:rsid w:val="3B8C4DC5"/>
    <w:rsid w:val="3BB93A76"/>
    <w:rsid w:val="3BFA4767"/>
    <w:rsid w:val="3C0C238D"/>
    <w:rsid w:val="3C201A83"/>
    <w:rsid w:val="3C235652"/>
    <w:rsid w:val="3C4F416F"/>
    <w:rsid w:val="3C534BF6"/>
    <w:rsid w:val="3C621E3F"/>
    <w:rsid w:val="3C722C0A"/>
    <w:rsid w:val="3CA6059D"/>
    <w:rsid w:val="3CA76A2C"/>
    <w:rsid w:val="3D1B1B9C"/>
    <w:rsid w:val="3D4C3523"/>
    <w:rsid w:val="3DBC44D7"/>
    <w:rsid w:val="3E0D04DF"/>
    <w:rsid w:val="3E202B18"/>
    <w:rsid w:val="3ECB5933"/>
    <w:rsid w:val="3F0C0124"/>
    <w:rsid w:val="3F8410F6"/>
    <w:rsid w:val="3F977411"/>
    <w:rsid w:val="3FD062E1"/>
    <w:rsid w:val="403B63FC"/>
    <w:rsid w:val="40525D74"/>
    <w:rsid w:val="4059711E"/>
    <w:rsid w:val="40DE4B88"/>
    <w:rsid w:val="40EB162C"/>
    <w:rsid w:val="41013C42"/>
    <w:rsid w:val="411576C6"/>
    <w:rsid w:val="416D4416"/>
    <w:rsid w:val="41935A75"/>
    <w:rsid w:val="41E12C29"/>
    <w:rsid w:val="41EF08D7"/>
    <w:rsid w:val="420304AD"/>
    <w:rsid w:val="421C7623"/>
    <w:rsid w:val="42247A33"/>
    <w:rsid w:val="423C1DEE"/>
    <w:rsid w:val="42855C77"/>
    <w:rsid w:val="429D3335"/>
    <w:rsid w:val="42CB57A5"/>
    <w:rsid w:val="42E413F2"/>
    <w:rsid w:val="433661A8"/>
    <w:rsid w:val="437C13EC"/>
    <w:rsid w:val="43A85E88"/>
    <w:rsid w:val="44337E09"/>
    <w:rsid w:val="443D3443"/>
    <w:rsid w:val="44E469BF"/>
    <w:rsid w:val="44ED7E57"/>
    <w:rsid w:val="45252167"/>
    <w:rsid w:val="45372D1F"/>
    <w:rsid w:val="45BB0068"/>
    <w:rsid w:val="45D179F4"/>
    <w:rsid w:val="45D8410F"/>
    <w:rsid w:val="4620750B"/>
    <w:rsid w:val="466300E5"/>
    <w:rsid w:val="46867684"/>
    <w:rsid w:val="46A559DC"/>
    <w:rsid w:val="46C23EA0"/>
    <w:rsid w:val="47376DE3"/>
    <w:rsid w:val="47417754"/>
    <w:rsid w:val="478B01DF"/>
    <w:rsid w:val="47C8574D"/>
    <w:rsid w:val="47F34A0D"/>
    <w:rsid w:val="480272DC"/>
    <w:rsid w:val="482D2DFD"/>
    <w:rsid w:val="484F65D9"/>
    <w:rsid w:val="48A01758"/>
    <w:rsid w:val="48B94127"/>
    <w:rsid w:val="48D93F74"/>
    <w:rsid w:val="48E45868"/>
    <w:rsid w:val="497103C3"/>
    <w:rsid w:val="49836B17"/>
    <w:rsid w:val="49B0045E"/>
    <w:rsid w:val="49CA0B0E"/>
    <w:rsid w:val="4A1268DF"/>
    <w:rsid w:val="4A2F28B7"/>
    <w:rsid w:val="4A3F43D6"/>
    <w:rsid w:val="4A4F02EA"/>
    <w:rsid w:val="4AC64981"/>
    <w:rsid w:val="4BA501D3"/>
    <w:rsid w:val="4BA845A8"/>
    <w:rsid w:val="4BAC158A"/>
    <w:rsid w:val="4BD16213"/>
    <w:rsid w:val="4BE367F2"/>
    <w:rsid w:val="4BFB6530"/>
    <w:rsid w:val="4C156D18"/>
    <w:rsid w:val="4C327906"/>
    <w:rsid w:val="4C5654CD"/>
    <w:rsid w:val="4CA62A6D"/>
    <w:rsid w:val="4CD90151"/>
    <w:rsid w:val="4CE72E5F"/>
    <w:rsid w:val="4CE82399"/>
    <w:rsid w:val="4CF62006"/>
    <w:rsid w:val="4CFF6742"/>
    <w:rsid w:val="4D854F5A"/>
    <w:rsid w:val="4DB31981"/>
    <w:rsid w:val="4DCA188E"/>
    <w:rsid w:val="4E1421EA"/>
    <w:rsid w:val="4E2429BA"/>
    <w:rsid w:val="4E2F59DC"/>
    <w:rsid w:val="4E3709A7"/>
    <w:rsid w:val="4E6301F0"/>
    <w:rsid w:val="4E6B289D"/>
    <w:rsid w:val="4EBC0FB5"/>
    <w:rsid w:val="4ED25DE6"/>
    <w:rsid w:val="4F4C6DDC"/>
    <w:rsid w:val="4F7E4B29"/>
    <w:rsid w:val="502241C5"/>
    <w:rsid w:val="503110FC"/>
    <w:rsid w:val="504B32B4"/>
    <w:rsid w:val="50660A7A"/>
    <w:rsid w:val="50871521"/>
    <w:rsid w:val="50E91143"/>
    <w:rsid w:val="50F45124"/>
    <w:rsid w:val="50FB315F"/>
    <w:rsid w:val="51102E62"/>
    <w:rsid w:val="51251094"/>
    <w:rsid w:val="51563B75"/>
    <w:rsid w:val="51691F45"/>
    <w:rsid w:val="51D20430"/>
    <w:rsid w:val="52155E53"/>
    <w:rsid w:val="52291272"/>
    <w:rsid w:val="52311EE5"/>
    <w:rsid w:val="523F4642"/>
    <w:rsid w:val="52DE3266"/>
    <w:rsid w:val="52E57099"/>
    <w:rsid w:val="52F97AAC"/>
    <w:rsid w:val="53857938"/>
    <w:rsid w:val="53AB2CA3"/>
    <w:rsid w:val="53FE75AA"/>
    <w:rsid w:val="54243747"/>
    <w:rsid w:val="54D43D93"/>
    <w:rsid w:val="55033B59"/>
    <w:rsid w:val="550F7852"/>
    <w:rsid w:val="55432812"/>
    <w:rsid w:val="55743A29"/>
    <w:rsid w:val="55854B46"/>
    <w:rsid w:val="55954D96"/>
    <w:rsid w:val="55CF1ABF"/>
    <w:rsid w:val="55DE4484"/>
    <w:rsid w:val="55EA2CAB"/>
    <w:rsid w:val="55F57708"/>
    <w:rsid w:val="560A4E42"/>
    <w:rsid w:val="56380DBD"/>
    <w:rsid w:val="56495938"/>
    <w:rsid w:val="56B30654"/>
    <w:rsid w:val="56DD2AF8"/>
    <w:rsid w:val="56EA0CD9"/>
    <w:rsid w:val="56EB4B0C"/>
    <w:rsid w:val="56F3193C"/>
    <w:rsid w:val="56F523AD"/>
    <w:rsid w:val="57147B00"/>
    <w:rsid w:val="571E49AB"/>
    <w:rsid w:val="57451CFE"/>
    <w:rsid w:val="575871B3"/>
    <w:rsid w:val="5779575F"/>
    <w:rsid w:val="577E46D6"/>
    <w:rsid w:val="57BB15F2"/>
    <w:rsid w:val="580355BA"/>
    <w:rsid w:val="58EC176B"/>
    <w:rsid w:val="58EF0A5A"/>
    <w:rsid w:val="590E6510"/>
    <w:rsid w:val="592B1F73"/>
    <w:rsid w:val="59387CB4"/>
    <w:rsid w:val="594B1E48"/>
    <w:rsid w:val="595E77E9"/>
    <w:rsid w:val="59816BB0"/>
    <w:rsid w:val="59984B84"/>
    <w:rsid w:val="59A83E94"/>
    <w:rsid w:val="59F02E45"/>
    <w:rsid w:val="5A0A36EF"/>
    <w:rsid w:val="5A0A6D8E"/>
    <w:rsid w:val="5A146FA7"/>
    <w:rsid w:val="5A1518AA"/>
    <w:rsid w:val="5A310D8E"/>
    <w:rsid w:val="5A444546"/>
    <w:rsid w:val="5A5D3B50"/>
    <w:rsid w:val="5A8D214A"/>
    <w:rsid w:val="5AA64F4C"/>
    <w:rsid w:val="5AAC4B1B"/>
    <w:rsid w:val="5AC87939"/>
    <w:rsid w:val="5B832C97"/>
    <w:rsid w:val="5B8449A5"/>
    <w:rsid w:val="5B9E1498"/>
    <w:rsid w:val="5BF82879"/>
    <w:rsid w:val="5C131F7B"/>
    <w:rsid w:val="5C2F30D5"/>
    <w:rsid w:val="5C3F4017"/>
    <w:rsid w:val="5C4C09B0"/>
    <w:rsid w:val="5C654979"/>
    <w:rsid w:val="5C8148B6"/>
    <w:rsid w:val="5D1B7EB7"/>
    <w:rsid w:val="5D7235E7"/>
    <w:rsid w:val="5D7C06A7"/>
    <w:rsid w:val="5D7E59B2"/>
    <w:rsid w:val="5DA87282"/>
    <w:rsid w:val="5DD126A2"/>
    <w:rsid w:val="5DDF7B43"/>
    <w:rsid w:val="5E27606E"/>
    <w:rsid w:val="5E6917D7"/>
    <w:rsid w:val="5EB71F4B"/>
    <w:rsid w:val="5F093559"/>
    <w:rsid w:val="5F096124"/>
    <w:rsid w:val="5F195A3F"/>
    <w:rsid w:val="5F1F2857"/>
    <w:rsid w:val="5F8D311C"/>
    <w:rsid w:val="5FC20C59"/>
    <w:rsid w:val="5FC525D7"/>
    <w:rsid w:val="5FD97617"/>
    <w:rsid w:val="600F17AF"/>
    <w:rsid w:val="601F1FFA"/>
    <w:rsid w:val="602A514C"/>
    <w:rsid w:val="60A04347"/>
    <w:rsid w:val="60EC0984"/>
    <w:rsid w:val="61475F3A"/>
    <w:rsid w:val="614D1CBB"/>
    <w:rsid w:val="616D525E"/>
    <w:rsid w:val="61750529"/>
    <w:rsid w:val="617C5CB2"/>
    <w:rsid w:val="61917782"/>
    <w:rsid w:val="61A05EC7"/>
    <w:rsid w:val="622E6DD2"/>
    <w:rsid w:val="62361A1C"/>
    <w:rsid w:val="625427D4"/>
    <w:rsid w:val="62632EC6"/>
    <w:rsid w:val="62862479"/>
    <w:rsid w:val="629134F4"/>
    <w:rsid w:val="62A77BD7"/>
    <w:rsid w:val="62B06354"/>
    <w:rsid w:val="62BC3A54"/>
    <w:rsid w:val="62D05DC3"/>
    <w:rsid w:val="633B4AF2"/>
    <w:rsid w:val="63B86790"/>
    <w:rsid w:val="63C15FBE"/>
    <w:rsid w:val="63E40B3B"/>
    <w:rsid w:val="63ED6F91"/>
    <w:rsid w:val="640642E2"/>
    <w:rsid w:val="64100538"/>
    <w:rsid w:val="642C67D2"/>
    <w:rsid w:val="645F6E31"/>
    <w:rsid w:val="65160AA5"/>
    <w:rsid w:val="65322C48"/>
    <w:rsid w:val="654A53FD"/>
    <w:rsid w:val="65571261"/>
    <w:rsid w:val="657C4392"/>
    <w:rsid w:val="65CA7492"/>
    <w:rsid w:val="65D251FE"/>
    <w:rsid w:val="65F913EB"/>
    <w:rsid w:val="663379F1"/>
    <w:rsid w:val="66A334BD"/>
    <w:rsid w:val="67002810"/>
    <w:rsid w:val="67525C25"/>
    <w:rsid w:val="67531717"/>
    <w:rsid w:val="676D69A6"/>
    <w:rsid w:val="67943D1B"/>
    <w:rsid w:val="679873FB"/>
    <w:rsid w:val="67EB7095"/>
    <w:rsid w:val="67FB6E93"/>
    <w:rsid w:val="680B1B5B"/>
    <w:rsid w:val="680F7225"/>
    <w:rsid w:val="682A06A8"/>
    <w:rsid w:val="684649B6"/>
    <w:rsid w:val="684E6143"/>
    <w:rsid w:val="68F43020"/>
    <w:rsid w:val="690D1B6E"/>
    <w:rsid w:val="693070EB"/>
    <w:rsid w:val="696A1097"/>
    <w:rsid w:val="699B52B4"/>
    <w:rsid w:val="69B10BD4"/>
    <w:rsid w:val="69C56DDC"/>
    <w:rsid w:val="6A15483C"/>
    <w:rsid w:val="6A7E0DC0"/>
    <w:rsid w:val="6B104D49"/>
    <w:rsid w:val="6B2B6902"/>
    <w:rsid w:val="6B5601D9"/>
    <w:rsid w:val="6B57416D"/>
    <w:rsid w:val="6B657F37"/>
    <w:rsid w:val="6B7C640C"/>
    <w:rsid w:val="6BC06B92"/>
    <w:rsid w:val="6BE14EEC"/>
    <w:rsid w:val="6C024594"/>
    <w:rsid w:val="6C5E429A"/>
    <w:rsid w:val="6C6B18D9"/>
    <w:rsid w:val="6CB8016B"/>
    <w:rsid w:val="6CDC4AC2"/>
    <w:rsid w:val="6CF40DD4"/>
    <w:rsid w:val="6D016B97"/>
    <w:rsid w:val="6D20066B"/>
    <w:rsid w:val="6D69018B"/>
    <w:rsid w:val="6D7E6620"/>
    <w:rsid w:val="6D8034BE"/>
    <w:rsid w:val="6DC61A79"/>
    <w:rsid w:val="6E154A94"/>
    <w:rsid w:val="6E321929"/>
    <w:rsid w:val="6EEA6055"/>
    <w:rsid w:val="6EF42A86"/>
    <w:rsid w:val="6F09593D"/>
    <w:rsid w:val="6F595205"/>
    <w:rsid w:val="6F5D282E"/>
    <w:rsid w:val="6FB466D8"/>
    <w:rsid w:val="6FBA402A"/>
    <w:rsid w:val="6FCE4051"/>
    <w:rsid w:val="701C0B81"/>
    <w:rsid w:val="70E14C37"/>
    <w:rsid w:val="70E85E19"/>
    <w:rsid w:val="70EF3192"/>
    <w:rsid w:val="71633BEB"/>
    <w:rsid w:val="716C6C09"/>
    <w:rsid w:val="718528E3"/>
    <w:rsid w:val="71CE68B1"/>
    <w:rsid w:val="71F40560"/>
    <w:rsid w:val="720179CB"/>
    <w:rsid w:val="72017D60"/>
    <w:rsid w:val="722608F1"/>
    <w:rsid w:val="72266FF9"/>
    <w:rsid w:val="72557FAE"/>
    <w:rsid w:val="72762346"/>
    <w:rsid w:val="72B03795"/>
    <w:rsid w:val="72D0188E"/>
    <w:rsid w:val="73A8121A"/>
    <w:rsid w:val="74104D68"/>
    <w:rsid w:val="74233CC2"/>
    <w:rsid w:val="74296324"/>
    <w:rsid w:val="743B6193"/>
    <w:rsid w:val="74640F42"/>
    <w:rsid w:val="747F13A9"/>
    <w:rsid w:val="74E7501E"/>
    <w:rsid w:val="74EC500E"/>
    <w:rsid w:val="74F863BD"/>
    <w:rsid w:val="75213CB1"/>
    <w:rsid w:val="756F458B"/>
    <w:rsid w:val="75750869"/>
    <w:rsid w:val="75C939A1"/>
    <w:rsid w:val="75DD3B78"/>
    <w:rsid w:val="75F92EDD"/>
    <w:rsid w:val="76460AE3"/>
    <w:rsid w:val="7651042F"/>
    <w:rsid w:val="765519E7"/>
    <w:rsid w:val="767752D2"/>
    <w:rsid w:val="7691303C"/>
    <w:rsid w:val="76F61F76"/>
    <w:rsid w:val="771F2974"/>
    <w:rsid w:val="77314685"/>
    <w:rsid w:val="77AD05EC"/>
    <w:rsid w:val="780579E4"/>
    <w:rsid w:val="78202A3D"/>
    <w:rsid w:val="78234F31"/>
    <w:rsid w:val="782F2AED"/>
    <w:rsid w:val="783D3B92"/>
    <w:rsid w:val="78EA52F5"/>
    <w:rsid w:val="790409F2"/>
    <w:rsid w:val="79051C60"/>
    <w:rsid w:val="798D5C50"/>
    <w:rsid w:val="79D461BE"/>
    <w:rsid w:val="79F012AC"/>
    <w:rsid w:val="79F80BD0"/>
    <w:rsid w:val="7A0B3F0A"/>
    <w:rsid w:val="7A4D35EB"/>
    <w:rsid w:val="7A5F45C7"/>
    <w:rsid w:val="7A617C0E"/>
    <w:rsid w:val="7A6D79BE"/>
    <w:rsid w:val="7A93506A"/>
    <w:rsid w:val="7B216C8A"/>
    <w:rsid w:val="7B3B35F8"/>
    <w:rsid w:val="7B6B706B"/>
    <w:rsid w:val="7BB013DB"/>
    <w:rsid w:val="7BB46597"/>
    <w:rsid w:val="7BD82673"/>
    <w:rsid w:val="7BEB57E8"/>
    <w:rsid w:val="7C115D5C"/>
    <w:rsid w:val="7C3028EB"/>
    <w:rsid w:val="7C4950C8"/>
    <w:rsid w:val="7C7A4F18"/>
    <w:rsid w:val="7CB61E3A"/>
    <w:rsid w:val="7CDC5E0F"/>
    <w:rsid w:val="7D0210D0"/>
    <w:rsid w:val="7D1C134B"/>
    <w:rsid w:val="7D474EE0"/>
    <w:rsid w:val="7DAA7CBF"/>
    <w:rsid w:val="7E3563FA"/>
    <w:rsid w:val="7E79667D"/>
    <w:rsid w:val="7EB96CB1"/>
    <w:rsid w:val="7F13618E"/>
    <w:rsid w:val="7F3274AB"/>
    <w:rsid w:val="7F4A41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bidi="ar"/>
    </w:rPr>
  </w:style>
  <w:style w:type="paragraph" w:styleId="4">
    <w:name w:val="heading 2"/>
    <w:basedOn w:val="1"/>
    <w:next w:val="1"/>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qFormat/>
    <w:uiPriority w:val="1"/>
    <w:pPr>
      <w:ind w:left="861" w:hanging="421"/>
      <w:outlineLvl w:val="3"/>
    </w:pPr>
    <w:rPr>
      <w:rFonts w:ascii="宋体" w:hAnsi="宋体" w:eastAsia="宋体" w:cs="宋体"/>
      <w:b/>
      <w:bCs/>
      <w:sz w:val="24"/>
      <w:szCs w:val="24"/>
      <w:lang w:val="zh-CN" w:eastAsia="zh-CN" w:bidi="zh-CN"/>
    </w:rPr>
  </w:style>
  <w:style w:type="character" w:default="1" w:styleId="16">
    <w:name w:val="Default Paragraph Font"/>
    <w:semiHidden/>
    <w:qFormat/>
    <w:uiPriority w:val="0"/>
  </w:style>
  <w:style w:type="table" w:default="1" w:styleId="14">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1"/>
    <w:rPr>
      <w:rFonts w:ascii="宋体" w:hAnsi="宋体" w:eastAsia="宋体" w:cs="宋体"/>
      <w:sz w:val="24"/>
      <w:szCs w:val="24"/>
      <w:lang w:val="zh-CN" w:eastAsia="zh-CN" w:bidi="zh-CN"/>
    </w:rPr>
  </w:style>
  <w:style w:type="paragraph" w:styleId="6">
    <w:name w:val="Normal Indent"/>
    <w:basedOn w:val="1"/>
    <w:qFormat/>
    <w:uiPriority w:val="0"/>
    <w:pPr>
      <w:spacing w:line="460" w:lineRule="atLeast"/>
      <w:ind w:firstLine="420"/>
    </w:pPr>
    <w:rPr>
      <w:rFonts w:ascii="Arial" w:hAnsi="Arial" w:cs="Verdana"/>
      <w:b/>
      <w:sz w:val="24"/>
      <w:szCs w:val="20"/>
    </w:rPr>
  </w:style>
  <w:style w:type="paragraph" w:styleId="7">
    <w:name w:val="Body Text Indent"/>
    <w:basedOn w:val="1"/>
    <w:next w:val="8"/>
    <w:qFormat/>
    <w:uiPriority w:val="0"/>
    <w:pPr>
      <w:spacing w:line="540" w:lineRule="exact"/>
      <w:ind w:firstLine="540"/>
    </w:pPr>
    <w:rPr>
      <w:rFonts w:ascii="宋体" w:hAnsi="宋体"/>
      <w:w w:val="95"/>
      <w:sz w:val="28"/>
    </w:rPr>
  </w:style>
  <w:style w:type="paragraph" w:styleId="8">
    <w:name w:val="Body Text Indent 2"/>
    <w:basedOn w:val="1"/>
    <w:next w:val="9"/>
    <w:qFormat/>
    <w:uiPriority w:val="0"/>
    <w:pPr>
      <w:spacing w:line="540" w:lineRule="exact"/>
      <w:ind w:firstLine="539"/>
    </w:pPr>
    <w:rPr>
      <w:rFonts w:ascii="宋体" w:hAnsi="宋体"/>
      <w:w w:val="95"/>
      <w:sz w:val="28"/>
    </w:rPr>
  </w:style>
  <w:style w:type="paragraph" w:styleId="9">
    <w:name w:val="Body Text First Indent 2"/>
    <w:basedOn w:val="7"/>
    <w:next w:val="1"/>
    <w:qFormat/>
    <w:uiPriority w:val="0"/>
    <w:pPr>
      <w:ind w:left="0" w:firstLine="420" w:firstLineChars="200"/>
    </w:pPr>
    <w:rPr>
      <w:rFonts w:ascii="宋体" w:hAnsi="宋体"/>
      <w:sz w:val="28"/>
      <w:szCs w:val="21"/>
    </w:rPr>
  </w:style>
  <w:style w:type="paragraph" w:styleId="10">
    <w:name w:val="footer"/>
    <w:basedOn w:val="1"/>
    <w:qFormat/>
    <w:uiPriority w:val="0"/>
    <w:pPr>
      <w:tabs>
        <w:tab w:val="center" w:pos="4153"/>
        <w:tab w:val="right" w:pos="8306"/>
      </w:tabs>
      <w:snapToGrid w:val="0"/>
      <w:jc w:val="left"/>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Body Text Indent 3"/>
    <w:basedOn w:val="1"/>
    <w:unhideWhenUsed/>
    <w:qFormat/>
    <w:uiPriority w:val="0"/>
    <w:pPr>
      <w:spacing w:after="120"/>
      <w:ind w:left="420" w:leftChars="200"/>
    </w:pPr>
    <w:rPr>
      <w:sz w:val="16"/>
      <w:szCs w:val="16"/>
    </w:rPr>
  </w:style>
  <w:style w:type="paragraph" w:styleId="13">
    <w:name w:val="Normal (Web)"/>
    <w:basedOn w:val="1"/>
    <w:unhideWhenUsed/>
    <w:qFormat/>
    <w:uiPriority w:val="99"/>
    <w:pPr>
      <w:spacing w:before="0" w:beforeAutospacing="1" w:after="0" w:afterAutospacing="1"/>
      <w:ind w:left="0" w:right="0"/>
      <w:jc w:val="left"/>
    </w:pPr>
    <w:rPr>
      <w:kern w:val="0"/>
      <w:sz w:val="24"/>
      <w:lang w:val="en-US" w:eastAsia="zh-CN" w:bidi="ar"/>
    </w:rPr>
  </w:style>
  <w:style w:type="table" w:styleId="15">
    <w:name w:val="Table Grid"/>
    <w:basedOn w:val="14"/>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Strong"/>
    <w:basedOn w:val="16"/>
    <w:qFormat/>
    <w:uiPriority w:val="0"/>
    <w:rPr>
      <w:b/>
    </w:rPr>
  </w:style>
  <w:style w:type="character" w:styleId="18">
    <w:name w:val="FollowedHyperlink"/>
    <w:basedOn w:val="16"/>
    <w:uiPriority w:val="0"/>
    <w:rPr>
      <w:color w:val="000000"/>
      <w:u w:val="none"/>
    </w:rPr>
  </w:style>
  <w:style w:type="character" w:styleId="19">
    <w:name w:val="Emphasis"/>
    <w:basedOn w:val="16"/>
    <w:qFormat/>
    <w:uiPriority w:val="0"/>
  </w:style>
  <w:style w:type="character" w:styleId="20">
    <w:name w:val="HTML Definition"/>
    <w:basedOn w:val="16"/>
    <w:qFormat/>
    <w:uiPriority w:val="0"/>
  </w:style>
  <w:style w:type="character" w:styleId="21">
    <w:name w:val="HTML Acronym"/>
    <w:basedOn w:val="16"/>
    <w:uiPriority w:val="0"/>
  </w:style>
  <w:style w:type="character" w:styleId="22">
    <w:name w:val="HTML Variable"/>
    <w:basedOn w:val="16"/>
    <w:qFormat/>
    <w:uiPriority w:val="0"/>
  </w:style>
  <w:style w:type="character" w:styleId="23">
    <w:name w:val="Hyperlink"/>
    <w:basedOn w:val="16"/>
    <w:qFormat/>
    <w:uiPriority w:val="0"/>
    <w:rPr>
      <w:color w:val="0000FF"/>
      <w:u w:val="single"/>
    </w:rPr>
  </w:style>
  <w:style w:type="character" w:styleId="24">
    <w:name w:val="HTML Code"/>
    <w:basedOn w:val="16"/>
    <w:qFormat/>
    <w:uiPriority w:val="0"/>
    <w:rPr>
      <w:rFonts w:ascii="Courier New" w:hAnsi="Courier New"/>
      <w:sz w:val="20"/>
    </w:rPr>
  </w:style>
  <w:style w:type="character" w:styleId="25">
    <w:name w:val="HTML Cite"/>
    <w:basedOn w:val="16"/>
    <w:uiPriority w:val="0"/>
  </w:style>
  <w:style w:type="paragraph" w:customStyle="1" w:styleId="26">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27">
    <w:name w:val="Table Paragraph"/>
    <w:basedOn w:val="1"/>
    <w:qFormat/>
    <w:uiPriority w:val="0"/>
    <w:pPr>
      <w:autoSpaceDE w:val="0"/>
      <w:autoSpaceDN w:val="0"/>
      <w:adjustRightInd w:val="0"/>
      <w:jc w:val="left"/>
    </w:pPr>
    <w:rPr>
      <w:kern w:val="0"/>
      <w:sz w:val="24"/>
    </w:rPr>
  </w:style>
  <w:style w:type="paragraph" w:styleId="28">
    <w:name w:val="List Paragraph"/>
    <w:basedOn w:val="1"/>
    <w:qFormat/>
    <w:uiPriority w:val="34"/>
    <w:pPr>
      <w:ind w:firstLine="420" w:firstLineChars="200"/>
    </w:pPr>
  </w:style>
  <w:style w:type="character" w:customStyle="1" w:styleId="29">
    <w:name w:val="标题1"/>
    <w:qFormat/>
    <w:uiPriority w:val="0"/>
    <w:rPr>
      <w:rFonts w:ascii="宋体" w:hAnsi="宋体" w:eastAsia="汉鼎简书宋" w:cs="宋体"/>
      <w:sz w:val="24"/>
    </w:rPr>
  </w:style>
  <w:style w:type="paragraph" w:customStyle="1" w:styleId="30">
    <w:name w:val="列表段落1"/>
    <w:basedOn w:val="1"/>
    <w:qFormat/>
    <w:uiPriority w:val="0"/>
    <w:pPr>
      <w:ind w:firstLine="420" w:firstLineChars="200"/>
    </w:pPr>
    <w:rPr>
      <w:szCs w:val="21"/>
    </w:rPr>
  </w:style>
  <w:style w:type="paragraph" w:customStyle="1" w:styleId="31">
    <w:name w:val="xl48"/>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szCs w:val="21"/>
    </w:rPr>
  </w:style>
  <w:style w:type="paragraph" w:customStyle="1" w:styleId="32">
    <w:name w:val="表格(张曦)"/>
    <w:basedOn w:val="1"/>
    <w:qFormat/>
    <w:uiPriority w:val="0"/>
    <w:pPr>
      <w:autoSpaceDE w:val="0"/>
      <w:autoSpaceDN w:val="0"/>
      <w:snapToGrid w:val="0"/>
      <w:jc w:val="center"/>
    </w:pPr>
    <w:rPr>
      <w:rFonts w:ascii="宋体" w:hAnsi="宋体" w:cs="宋体"/>
      <w:kern w:val="0"/>
      <w:szCs w:val="22"/>
      <w:lang w:eastAsia="en-US" w:bidi="en-US"/>
    </w:rPr>
  </w:style>
  <w:style w:type="paragraph" w:customStyle="1" w:styleId="33">
    <w:name w:val="无间隔1"/>
    <w:qFormat/>
    <w:uiPriority w:val="0"/>
    <w:pPr>
      <w:jc w:val="center"/>
    </w:pPr>
    <w:rPr>
      <w:rFonts w:ascii="Times New Roman" w:hAnsi="Times New Roman" w:eastAsiaTheme="minorEastAsia" w:cstheme="minorBidi"/>
      <w:sz w:val="21"/>
      <w:szCs w:val="22"/>
      <w:lang w:val="en-US" w:eastAsia="zh-CN" w:bidi="ar-SA"/>
    </w:rPr>
  </w:style>
  <w:style w:type="paragraph" w:customStyle="1" w:styleId="34">
    <w:name w:val="表格"/>
    <w:qFormat/>
    <w:uiPriority w:val="0"/>
    <w:pPr>
      <w:jc w:val="center"/>
    </w:pPr>
    <w:rPr>
      <w:rFonts w:asciiTheme="minorHAnsi" w:hAnsiTheme="minorHAnsi" w:eastAsiaTheme="minorEastAsia" w:cstheme="minorBidi"/>
      <w:kern w:val="2"/>
      <w:sz w:val="24"/>
      <w:szCs w:val="22"/>
      <w:lang w:val="en-US" w:eastAsia="zh-CN" w:bidi="ar-SA"/>
    </w:rPr>
  </w:style>
  <w:style w:type="paragraph" w:customStyle="1" w:styleId="35">
    <w:name w:val="A-正文"/>
    <w:basedOn w:val="1"/>
    <w:qFormat/>
    <w:uiPriority w:val="99"/>
    <w:pPr>
      <w:spacing w:line="400" w:lineRule="atLeast"/>
      <w:ind w:firstLine="200" w:firstLineChars="200"/>
    </w:pPr>
  </w:style>
  <w:style w:type="paragraph" w:customStyle="1" w:styleId="36">
    <w:name w:val="插图题注"/>
    <w:basedOn w:val="1"/>
    <w:qFormat/>
    <w:uiPriority w:val="0"/>
    <w:pPr>
      <w:adjustRightInd w:val="0"/>
      <w:snapToGrid w:val="0"/>
      <w:spacing w:line="360" w:lineRule="auto"/>
      <w:jc w:val="center"/>
    </w:pPr>
    <w:rPr>
      <w:rFonts w:ascii="仿宋" w:hAnsi="仿宋" w:eastAsia="仿宋"/>
      <w:b/>
      <w:bCs/>
      <w:color w:val="000000"/>
      <w:szCs w:val="21"/>
    </w:rPr>
  </w:style>
  <w:style w:type="character" w:customStyle="1" w:styleId="37">
    <w:name w:val="font11"/>
    <w:basedOn w:val="16"/>
    <w:qFormat/>
    <w:uiPriority w:val="0"/>
    <w:rPr>
      <w:rFonts w:hint="default" w:ascii="Times New Roman" w:hAnsi="Times New Roman" w:cs="Times New Roman"/>
      <w:color w:val="000000"/>
      <w:sz w:val="22"/>
      <w:szCs w:val="22"/>
      <w:u w:val="none"/>
    </w:rPr>
  </w:style>
  <w:style w:type="character" w:customStyle="1" w:styleId="38">
    <w:name w:val="font01"/>
    <w:basedOn w:val="16"/>
    <w:qFormat/>
    <w:uiPriority w:val="0"/>
    <w:rPr>
      <w:rFonts w:ascii="仿宋_GB2312" w:eastAsia="仿宋_GB2312" w:cs="仿宋_GB2312"/>
      <w:color w:val="000000"/>
      <w:sz w:val="22"/>
      <w:szCs w:val="22"/>
      <w:u w:val="none"/>
    </w:rPr>
  </w:style>
  <w:style w:type="character" w:customStyle="1" w:styleId="39">
    <w:name w:val="font41"/>
    <w:basedOn w:val="16"/>
    <w:qFormat/>
    <w:uiPriority w:val="0"/>
    <w:rPr>
      <w:rFonts w:hint="eastAsia" w:ascii="宋体" w:hAnsi="宋体" w:eastAsia="宋体" w:cs="宋体"/>
      <w:b/>
      <w:color w:val="000000"/>
      <w:sz w:val="18"/>
      <w:szCs w:val="18"/>
      <w:u w:val="none"/>
    </w:rPr>
  </w:style>
  <w:style w:type="character" w:customStyle="1" w:styleId="40">
    <w:name w:val="font51"/>
    <w:basedOn w:val="16"/>
    <w:qFormat/>
    <w:uiPriority w:val="0"/>
    <w:rPr>
      <w:rFonts w:hint="eastAsia" w:ascii="宋体" w:hAnsi="宋体" w:eastAsia="宋体" w:cs="宋体"/>
      <w:b/>
      <w:color w:val="000000"/>
      <w:sz w:val="18"/>
      <w:szCs w:val="18"/>
      <w:u w:val="none"/>
    </w:rPr>
  </w:style>
  <w:style w:type="paragraph" w:customStyle="1" w:styleId="41">
    <w:name w:val="text"/>
    <w:basedOn w:val="1"/>
    <w:qFormat/>
    <w:uiPriority w:val="0"/>
    <w:pPr>
      <w:widowControl/>
      <w:spacing w:before="100" w:beforeAutospacing="1" w:after="100" w:afterAutospacing="1" w:line="368" w:lineRule="atLeast"/>
      <w:jc w:val="left"/>
    </w:pPr>
    <w:rPr>
      <w:rFonts w:ascii="仿宋_GB2312" w:hAnsi="Calibri" w:eastAsia="Arial Unicode MS" w:cs="Arial Unicode MS"/>
      <w:color w:val="000000"/>
      <w:kern w:val="0"/>
      <w:sz w:val="23"/>
      <w:szCs w:val="23"/>
    </w:rPr>
  </w:style>
  <w:style w:type="paragraph" w:customStyle="1" w:styleId="42">
    <w:name w:val="样式"/>
    <w:qFormat/>
    <w:uiPriority w:val="0"/>
    <w:pPr>
      <w:widowControl w:val="0"/>
      <w:autoSpaceDE w:val="0"/>
      <w:autoSpaceDN w:val="0"/>
      <w:adjustRightInd w:val="0"/>
    </w:pPr>
    <w:rPr>
      <w:rFonts w:ascii="Times New Roman" w:hAnsi="Times New Roman" w:eastAsia="宋体" w:cs="Times New Roman"/>
      <w:sz w:val="24"/>
      <w:szCs w:val="24"/>
      <w:lang w:val="en-US" w:eastAsia="zh-CN" w:bidi="ar-SA"/>
    </w:rPr>
  </w:style>
  <w:style w:type="character" w:customStyle="1" w:styleId="43">
    <w:name w:val="tj"/>
    <w:basedOn w:val="16"/>
    <w:uiPriority w:val="0"/>
    <w:rPr>
      <w:b/>
      <w:color w:val="095794"/>
    </w:rPr>
  </w:style>
  <w:style w:type="character" w:customStyle="1" w:styleId="44">
    <w:name w:val="bggrey"/>
    <w:basedOn w:val="16"/>
    <w:qFormat/>
    <w:uiPriority w:val="0"/>
    <w:rPr>
      <w:shd w:val="clear" w:fill="E7E7E7"/>
    </w:rPr>
  </w:style>
  <w:style w:type="character" w:customStyle="1" w:styleId="45">
    <w:name w:val="video"/>
    <w:basedOn w:val="16"/>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emf"/><Relationship Id="rId21" Type="http://schemas.openxmlformats.org/officeDocument/2006/relationships/oleObject" Target="embeddings/oleObject3.bin"/><Relationship Id="rId20" Type="http://schemas.openxmlformats.org/officeDocument/2006/relationships/image" Target="media/image13.e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2.emf"/><Relationship Id="rId17" Type="http://schemas.openxmlformats.org/officeDocument/2006/relationships/oleObject" Target="embeddings/oleObject1.bin"/><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107</Pages>
  <Words>71582</Words>
  <Characters>82276</Characters>
  <Lines>0</Lines>
  <Paragraphs>0</Paragraphs>
  <TotalTime>10</TotalTime>
  <ScaleCrop>false</ScaleCrop>
  <LinksUpToDate>false</LinksUpToDate>
  <CharactersWithSpaces>82499</CharactersWithSpaces>
  <Application>WPS Office_11.1.0.9914_F1E327BC-269C-435d-A152-05C5408002CA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2022-02-15T08:19:00Z</dcterms:created>
  <dc:creator>晓琼</dc:creator>
  <cp:lastModifiedBy>晓琼</cp:lastModifiedBy>
  <dcterms:modified xsi:type="dcterms:W3CDTF">2022-03-22T03:09:15Z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2052-11.1.0.9914</vt:lpwstr>
  </property>
</Properties>
</file>