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312" w:beforeLines="100" w:after="312" w:afterLines="100" w:line="360" w:lineRule="auto"/>
        <w:jc w:val="center"/>
        <w:rPr>
          <w:rFonts w:hint="eastAsia" w:eastAsia="宋体"/>
          <w:b/>
          <w:bCs/>
          <w:sz w:val="44"/>
          <w:szCs w:val="44"/>
          <w:lang w:val="en-US" w:eastAsia="zh-CN"/>
        </w:rPr>
      </w:pPr>
      <w:bookmarkStart w:id="0" w:name="_Toc3795897"/>
    </w:p>
    <w:p>
      <w:pPr>
        <w:spacing w:before="312" w:beforeLines="100" w:after="312" w:afterLines="100" w:line="360" w:lineRule="auto"/>
        <w:jc w:val="center"/>
        <w:rPr>
          <w:b/>
          <w:bCs/>
          <w:color w:val="000000" w:themeColor="text1"/>
          <w:sz w:val="44"/>
          <w:szCs w:val="44"/>
          <w:lang w:val="en-GB"/>
          <w14:textFill>
            <w14:solidFill>
              <w14:schemeClr w14:val="tx1"/>
            </w14:solidFill>
          </w14:textFill>
        </w:rPr>
      </w:pPr>
    </w:p>
    <w:p>
      <w:pPr>
        <w:adjustRightInd w:val="0"/>
        <w:snapToGrid w:val="0"/>
        <w:spacing w:line="300" w:lineRule="auto"/>
        <w:jc w:val="center"/>
        <w:rPr>
          <w:rFonts w:hint="eastAsia" w:hAnsi="宋体"/>
          <w:b/>
          <w:color w:val="000000" w:themeColor="text1"/>
          <w:sz w:val="48"/>
          <w:szCs w:val="22"/>
          <w:lang w:val="en-GB"/>
          <w14:textFill>
            <w14:solidFill>
              <w14:schemeClr w14:val="tx1"/>
            </w14:solidFill>
          </w14:textFill>
        </w:rPr>
      </w:pPr>
      <w:r>
        <w:rPr>
          <w:rFonts w:hint="eastAsia" w:hAnsi="宋体"/>
          <w:b/>
          <w:color w:val="000000" w:themeColor="text1"/>
          <w:sz w:val="48"/>
          <w:szCs w:val="22"/>
          <w:lang w:val="en-GB"/>
          <w14:textFill>
            <w14:solidFill>
              <w14:schemeClr w14:val="tx1"/>
            </w14:solidFill>
          </w14:textFill>
        </w:rPr>
        <w:t>巴丹吉林盆地及周缘铀矿资源</w:t>
      </w:r>
    </w:p>
    <w:p>
      <w:pPr>
        <w:adjustRightInd w:val="0"/>
        <w:snapToGrid w:val="0"/>
        <w:spacing w:line="300" w:lineRule="auto"/>
        <w:jc w:val="center"/>
        <w:rPr>
          <w:rFonts w:hint="eastAsia" w:hAnsi="宋体"/>
          <w:b/>
          <w:color w:val="000000" w:themeColor="text1"/>
          <w:sz w:val="48"/>
          <w:szCs w:val="22"/>
          <w:lang w:val="en-GB" w:eastAsia="zh-CN"/>
          <w14:textFill>
            <w14:solidFill>
              <w14:schemeClr w14:val="tx1"/>
            </w14:solidFill>
          </w14:textFill>
        </w:rPr>
      </w:pPr>
      <w:r>
        <w:rPr>
          <w:rFonts w:hint="eastAsia" w:hAnsi="宋体"/>
          <w:b/>
          <w:color w:val="000000" w:themeColor="text1"/>
          <w:sz w:val="48"/>
          <w:szCs w:val="22"/>
          <w:lang w:val="en-GB"/>
          <w14:textFill>
            <w14:solidFill>
              <w14:schemeClr w14:val="tx1"/>
            </w14:solidFill>
          </w14:textFill>
        </w:rPr>
        <w:t>调查评价</w:t>
      </w:r>
    </w:p>
    <w:p>
      <w:pPr>
        <w:spacing w:before="156" w:beforeLines="50" w:after="156" w:afterLines="50" w:line="360" w:lineRule="auto"/>
        <w:jc w:val="center"/>
        <w:rPr>
          <w:rFonts w:ascii="华文行楷" w:eastAsia="华文行楷"/>
          <w:color w:val="000000" w:themeColor="text1"/>
          <w:sz w:val="72"/>
          <w:szCs w:val="72"/>
          <w:lang w:val="en-GB"/>
          <w14:textFill>
            <w14:solidFill>
              <w14:schemeClr w14:val="tx1"/>
            </w14:solidFill>
          </w14:textFill>
        </w:rPr>
      </w:pPr>
      <w:r>
        <w:rPr>
          <w:rFonts w:hint="eastAsia" w:ascii="华文行楷" w:eastAsia="华文行楷"/>
          <w:color w:val="000000" w:themeColor="text1"/>
          <w:sz w:val="72"/>
          <w:szCs w:val="72"/>
          <w:lang w:val="en-GB"/>
          <w14:textFill>
            <w14:solidFill>
              <w14:schemeClr w14:val="tx1"/>
            </w14:solidFill>
          </w14:textFill>
        </w:rPr>
        <w:t>环境影响报告表</w:t>
      </w: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ind w:left="1260" w:leftChars="600"/>
        <w:rPr>
          <w:color w:val="000000" w:themeColor="text1"/>
          <w:sz w:val="28"/>
          <w:szCs w:val="28"/>
          <w:lang w:val="en-GB"/>
          <w14:textFill>
            <w14:solidFill>
              <w14:schemeClr w14:val="tx1"/>
            </w14:solidFill>
          </w14:textFill>
        </w:rPr>
      </w:pPr>
      <w:r>
        <w:rPr>
          <w:rFonts w:hint="eastAsia"/>
          <w:color w:val="000000" w:themeColor="text1"/>
          <w:sz w:val="28"/>
          <w:szCs w:val="28"/>
          <w:lang w:val="en-GB"/>
          <w14:textFill>
            <w14:solidFill>
              <w14:schemeClr w14:val="tx1"/>
            </w14:solidFill>
          </w14:textFill>
        </w:rPr>
        <w:t>建设单位：核工业二</w:t>
      </w:r>
      <w:r>
        <w:rPr>
          <w:rFonts w:hint="eastAsia"/>
          <w:color w:val="000000" w:themeColor="text1"/>
          <w:sz w:val="24"/>
          <w:lang w:val="en-GB" w:eastAsia="zh-CN"/>
          <w14:textFill>
            <w14:solidFill>
              <w14:schemeClr w14:val="tx1"/>
            </w14:solidFill>
          </w14:textFill>
        </w:rPr>
        <w:t>〇</w:t>
      </w:r>
      <w:r>
        <w:rPr>
          <w:rFonts w:hint="eastAsia"/>
          <w:color w:val="000000" w:themeColor="text1"/>
          <w:sz w:val="28"/>
          <w:szCs w:val="28"/>
          <w:lang w:val="en-GB"/>
          <w14:textFill>
            <w14:solidFill>
              <w14:schemeClr w14:val="tx1"/>
            </w14:solidFill>
          </w14:textFill>
        </w:rPr>
        <w:t>三研究所</w:t>
      </w:r>
      <w:r>
        <w:rPr>
          <w:rFonts w:hint="eastAsia"/>
          <w:color w:val="000000" w:themeColor="text1"/>
          <w:sz w:val="28"/>
          <w:szCs w:val="28"/>
          <w:lang w:val="en-GB"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盖章</w:t>
      </w:r>
      <w:r>
        <w:rPr>
          <w:rFonts w:hint="eastAsia"/>
          <w:color w:val="000000" w:themeColor="text1"/>
          <w:sz w:val="28"/>
          <w:szCs w:val="28"/>
          <w:lang w:val="en-GB" w:eastAsia="zh-CN"/>
          <w14:textFill>
            <w14:solidFill>
              <w14:schemeClr w14:val="tx1"/>
            </w14:solidFill>
          </w14:textFill>
        </w:rPr>
        <w:t>）</w:t>
      </w:r>
    </w:p>
    <w:p>
      <w:pPr>
        <w:spacing w:line="360" w:lineRule="auto"/>
        <w:ind w:left="1260" w:leftChars="600"/>
        <w:rPr>
          <w:color w:val="000000" w:themeColor="text1"/>
          <w:sz w:val="28"/>
          <w:szCs w:val="28"/>
          <w:lang w:val="en-GB"/>
          <w14:textFill>
            <w14:solidFill>
              <w14:schemeClr w14:val="tx1"/>
            </w14:solidFill>
          </w14:textFill>
        </w:rPr>
      </w:pPr>
      <w:r>
        <w:rPr>
          <w:rFonts w:hint="eastAsia"/>
          <w:color w:val="000000" w:themeColor="text1"/>
          <w:sz w:val="28"/>
          <w:szCs w:val="28"/>
          <w:lang w:val="en-GB"/>
          <w14:textFill>
            <w14:solidFill>
              <w14:schemeClr w14:val="tx1"/>
            </w14:solidFill>
          </w14:textFill>
        </w:rPr>
        <w:t>法人代表：王乐力</w:t>
      </w:r>
    </w:p>
    <w:p>
      <w:pPr>
        <w:spacing w:line="360" w:lineRule="auto"/>
        <w:ind w:left="1260" w:leftChars="600"/>
        <w:rPr>
          <w:color w:val="000000" w:themeColor="text1"/>
          <w:sz w:val="28"/>
          <w:szCs w:val="28"/>
          <w:lang w:val="en-GB"/>
          <w14:textFill>
            <w14:solidFill>
              <w14:schemeClr w14:val="tx1"/>
            </w14:solidFill>
          </w14:textFill>
        </w:rPr>
      </w:pPr>
      <w:r>
        <w:rPr>
          <w:rFonts w:hint="eastAsia"/>
          <w:color w:val="000000" w:themeColor="text1"/>
          <w:sz w:val="28"/>
          <w:szCs w:val="28"/>
          <w:lang w:val="en-GB"/>
          <w14:textFill>
            <w14:solidFill>
              <w14:schemeClr w14:val="tx1"/>
            </w14:solidFill>
          </w14:textFill>
        </w:rPr>
        <w:t>通讯地址：陕西省西咸新区沣东新城科源三路8</w:t>
      </w:r>
      <w:r>
        <w:rPr>
          <w:color w:val="000000" w:themeColor="text1"/>
          <w:sz w:val="28"/>
          <w:szCs w:val="28"/>
          <w:lang w:val="en-GB"/>
          <w14:textFill>
            <w14:solidFill>
              <w14:schemeClr w14:val="tx1"/>
            </w14:solidFill>
          </w14:textFill>
        </w:rPr>
        <w:t>69</w:t>
      </w:r>
      <w:r>
        <w:rPr>
          <w:rFonts w:hint="eastAsia"/>
          <w:color w:val="000000" w:themeColor="text1"/>
          <w:sz w:val="28"/>
          <w:szCs w:val="28"/>
          <w:lang w:val="en-GB"/>
          <w14:textFill>
            <w14:solidFill>
              <w14:schemeClr w14:val="tx1"/>
            </w14:solidFill>
          </w14:textFill>
        </w:rPr>
        <w:t>号</w:t>
      </w:r>
    </w:p>
    <w:p>
      <w:pPr>
        <w:spacing w:line="360" w:lineRule="auto"/>
        <w:ind w:left="1260" w:leftChars="600"/>
        <w:rPr>
          <w:color w:val="000000" w:themeColor="text1"/>
          <w:sz w:val="28"/>
          <w:szCs w:val="28"/>
          <w:lang w:val="en-GB"/>
          <w14:textFill>
            <w14:solidFill>
              <w14:schemeClr w14:val="tx1"/>
            </w14:solidFill>
          </w14:textFill>
        </w:rPr>
      </w:pPr>
      <w:r>
        <w:rPr>
          <w:rFonts w:hint="eastAsia"/>
          <w:color w:val="000000" w:themeColor="text1"/>
          <w:sz w:val="28"/>
          <w:szCs w:val="28"/>
          <w:lang w:val="en-GB"/>
          <w14:textFill>
            <w14:solidFill>
              <w14:schemeClr w14:val="tx1"/>
            </w14:solidFill>
          </w14:textFill>
        </w:rPr>
        <w:t>邮政编码：7</w:t>
      </w:r>
      <w:r>
        <w:rPr>
          <w:color w:val="000000" w:themeColor="text1"/>
          <w:sz w:val="28"/>
          <w:szCs w:val="28"/>
          <w:lang w:val="en-GB"/>
          <w14:textFill>
            <w14:solidFill>
              <w14:schemeClr w14:val="tx1"/>
            </w14:solidFill>
          </w14:textFill>
        </w:rPr>
        <w:t>10086</w:t>
      </w:r>
    </w:p>
    <w:p>
      <w:pPr>
        <w:outlineLvl w:val="0"/>
        <w:rPr>
          <w:rFonts w:eastAsia="黑体"/>
          <w:color w:val="000000" w:themeColor="text1"/>
          <w:w w:val="95"/>
          <w:sz w:val="32"/>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color w:val="000000" w:themeColor="text1"/>
          <w:w w:val="95"/>
          <w:sz w:val="32"/>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lang w:val="en-US" w:eastAsia="zh-CN"/>
          <w14:textFill>
            <w14:solidFill>
              <w14:schemeClr w14:val="tx1"/>
            </w14:solidFill>
          </w14:textFill>
        </w:rPr>
        <w:t>一、</w:t>
      </w:r>
      <w:r>
        <w:rPr>
          <w:rFonts w:eastAsia="黑体"/>
          <w:color w:val="000000" w:themeColor="text1"/>
          <w:w w:val="95"/>
          <w:sz w:val="32"/>
          <w14:textFill>
            <w14:solidFill>
              <w14:schemeClr w14:val="tx1"/>
            </w14:solidFill>
          </w14:textFill>
        </w:rPr>
        <w:t>建设项目基本情况</w:t>
      </w:r>
      <w:bookmarkEnd w:id="0"/>
    </w:p>
    <w:tbl>
      <w:tblPr>
        <w:tblStyle w:val="11"/>
        <w:tblW w:w="490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788"/>
        <w:gridCol w:w="2524"/>
        <w:gridCol w:w="1321"/>
        <w:gridCol w:w="1622"/>
        <w:gridCol w:w="1391"/>
        <w:gridCol w:w="112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rFonts w:eastAsia="楷体_GB2312"/>
                <w:color w:val="000000" w:themeColor="text1"/>
                <w:sz w:val="24"/>
                <w14:textFill>
                  <w14:solidFill>
                    <w14:schemeClr w14:val="tx1"/>
                  </w14:solidFill>
                </w14:textFill>
              </w:rPr>
            </w:pPr>
            <w:r>
              <w:rPr>
                <w:color w:val="000000" w:themeColor="text1"/>
                <w:sz w:val="24"/>
                <w14:textFill>
                  <w14:solidFill>
                    <w14:schemeClr w14:val="tx1"/>
                  </w14:solidFill>
                </w14:textFill>
              </w:rPr>
              <w:t>项目名称</w:t>
            </w:r>
          </w:p>
        </w:tc>
        <w:tc>
          <w:tcPr>
            <w:tcW w:w="4084" w:type="pct"/>
            <w:gridSpan w:val="5"/>
            <w:vAlign w:val="center"/>
          </w:tcPr>
          <w:p>
            <w:pPr>
              <w:jc w:val="center"/>
              <w:rPr>
                <w:rFonts w:hint="eastAsia" w:eastAsia="宋体"/>
                <w:color w:val="000000" w:themeColor="text1"/>
                <w:sz w:val="24"/>
                <w:lang w:val="en-GB" w:eastAsia="zh-CN"/>
                <w14:textFill>
                  <w14:solidFill>
                    <w14:schemeClr w14:val="tx1"/>
                  </w14:solidFill>
                </w14:textFill>
              </w:rPr>
            </w:pPr>
            <w:r>
              <w:rPr>
                <w:rFonts w:hint="eastAsia"/>
                <w:color w:val="000000" w:themeColor="text1"/>
                <w:sz w:val="24"/>
                <w:lang w:val="en-GB"/>
                <w14:textFill>
                  <w14:solidFill>
                    <w14:schemeClr w14:val="tx1"/>
                  </w14:solidFill>
                </w14:textFill>
              </w:rPr>
              <w:t>巴丹吉林盆地及周缘铀矿资源调查评价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建设单位</w:t>
            </w:r>
          </w:p>
        </w:tc>
        <w:tc>
          <w:tcPr>
            <w:tcW w:w="4084" w:type="pct"/>
            <w:gridSpan w:val="5"/>
            <w:vAlign w:val="center"/>
          </w:tcPr>
          <w:p>
            <w:pPr>
              <w:jc w:val="center"/>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核工业二</w:t>
            </w:r>
            <w:r>
              <w:rPr>
                <w:rFonts w:hint="eastAsia"/>
                <w:color w:val="000000" w:themeColor="text1"/>
                <w:sz w:val="24"/>
                <w:lang w:val="en-GB" w:eastAsia="zh-CN"/>
                <w14:textFill>
                  <w14:solidFill>
                    <w14:schemeClr w14:val="tx1"/>
                  </w14:solidFill>
                </w14:textFill>
              </w:rPr>
              <w:t>〇</w:t>
            </w:r>
            <w:r>
              <w:rPr>
                <w:rFonts w:hint="eastAsia"/>
                <w:color w:val="000000" w:themeColor="text1"/>
                <w:sz w:val="24"/>
                <w:lang w:val="en-GB"/>
                <w14:textFill>
                  <w14:solidFill>
                    <w14:schemeClr w14:val="tx1"/>
                  </w14:solidFill>
                </w14:textFill>
              </w:rPr>
              <w:t>三研究所</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bookmarkStart w:id="1" w:name="_Hlk519687509"/>
            <w:r>
              <w:rPr>
                <w:color w:val="000000" w:themeColor="text1"/>
                <w:sz w:val="24"/>
                <w14:textFill>
                  <w14:solidFill>
                    <w14:schemeClr w14:val="tx1"/>
                  </w14:solidFill>
                </w14:textFill>
              </w:rPr>
              <w:t>法人代表</w:t>
            </w:r>
            <w:bookmarkEnd w:id="1"/>
          </w:p>
        </w:tc>
        <w:tc>
          <w:tcPr>
            <w:tcW w:w="1968"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王乐力</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联系人</w:t>
            </w:r>
          </w:p>
        </w:tc>
        <w:tc>
          <w:tcPr>
            <w:tcW w:w="1286"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王江波</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通讯地址</w:t>
            </w:r>
          </w:p>
        </w:tc>
        <w:tc>
          <w:tcPr>
            <w:tcW w:w="4084" w:type="pct"/>
            <w:gridSpan w:val="5"/>
            <w:vAlign w:val="center"/>
          </w:tcPr>
          <w:p>
            <w:pPr>
              <w:jc w:val="center"/>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陕西省</w:t>
            </w:r>
            <w:r>
              <w:rPr>
                <w:rFonts w:hint="eastAsia"/>
                <w:color w:val="000000" w:themeColor="text1"/>
                <w:sz w:val="24"/>
                <w14:textFill>
                  <w14:solidFill>
                    <w14:schemeClr w14:val="tx1"/>
                  </w14:solidFill>
                </w14:textFill>
              </w:rPr>
              <w:t>西咸新区沣东新城科源三路869号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联系电话</w:t>
            </w:r>
          </w:p>
        </w:tc>
        <w:tc>
          <w:tcPr>
            <w:tcW w:w="1292" w:type="pct"/>
            <w:vAlign w:val="center"/>
          </w:tcPr>
          <w:p>
            <w:pPr>
              <w:jc w:val="center"/>
              <w:rPr>
                <w:rFonts w:eastAsia="楷体_GB2312"/>
                <w:color w:val="000000" w:themeColor="text1"/>
                <w:sz w:val="24"/>
                <w14:textFill>
                  <w14:solidFill>
                    <w14:schemeClr w14:val="tx1"/>
                  </w14:solidFill>
                </w14:textFill>
              </w:rPr>
            </w:pPr>
            <w:r>
              <w:rPr>
                <w:rFonts w:hint="eastAsia" w:eastAsia="楷体_GB2312"/>
                <w:color w:val="000000" w:themeColor="text1"/>
                <w:sz w:val="24"/>
                <w14:textFill>
                  <w14:solidFill>
                    <w14:schemeClr w14:val="tx1"/>
                  </w14:solidFill>
                </w14:textFill>
              </w:rPr>
              <w:t>029-89101611</w:t>
            </w:r>
          </w:p>
        </w:tc>
        <w:tc>
          <w:tcPr>
            <w:tcW w:w="676"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传真</w:t>
            </w:r>
          </w:p>
        </w:tc>
        <w:tc>
          <w:tcPr>
            <w:tcW w:w="830" w:type="pct"/>
            <w:vAlign w:val="center"/>
          </w:tcPr>
          <w:p>
            <w:pPr>
              <w:jc w:val="center"/>
              <w:rPr>
                <w:rFonts w:hint="eastAsia" w:eastAsia="楷体_GB2312"/>
                <w:color w:val="000000" w:themeColor="text1"/>
                <w:sz w:val="24"/>
                <w:lang w:eastAsia="zh-CN"/>
                <w14:textFill>
                  <w14:solidFill>
                    <w14:schemeClr w14:val="tx1"/>
                  </w14:solidFill>
                </w14:textFill>
              </w:rPr>
            </w:pPr>
            <w:r>
              <w:rPr>
                <w:rFonts w:hint="eastAsia" w:eastAsia="楷体_GB2312"/>
                <w:color w:val="000000" w:themeColor="text1"/>
                <w:sz w:val="24"/>
                <w:lang w:eastAsia="zh-CN"/>
                <w14:textFill>
                  <w14:solidFill>
                    <w14:schemeClr w14:val="tx1"/>
                  </w14:solidFill>
                </w14:textFill>
              </w:rPr>
              <w:t>—</w:t>
            </w:r>
          </w:p>
        </w:tc>
        <w:tc>
          <w:tcPr>
            <w:tcW w:w="712"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邮政编码</w:t>
            </w:r>
          </w:p>
        </w:tc>
        <w:tc>
          <w:tcPr>
            <w:tcW w:w="573" w:type="pct"/>
            <w:vAlign w:val="center"/>
          </w:tcPr>
          <w:p>
            <w:pPr>
              <w:jc w:val="center"/>
              <w:rPr>
                <w:rFonts w:eastAsia="楷体_GB2312"/>
                <w:color w:val="000000" w:themeColor="text1"/>
                <w:sz w:val="24"/>
                <w14:textFill>
                  <w14:solidFill>
                    <w14:schemeClr w14:val="tx1"/>
                  </w14:solidFill>
                </w14:textFill>
              </w:rPr>
            </w:pPr>
            <w:r>
              <w:rPr>
                <w:rFonts w:eastAsia="楷体_GB2312"/>
                <w:color w:val="000000" w:themeColor="text1"/>
                <w:sz w:val="24"/>
                <w14:textFill>
                  <w14:solidFill>
                    <w14:schemeClr w14:val="tx1"/>
                  </w14:solidFill>
                </w14:textFill>
              </w:rPr>
              <w:t>71</w:t>
            </w:r>
            <w:r>
              <w:rPr>
                <w:rFonts w:hint="eastAsia" w:eastAsia="楷体_GB2312"/>
                <w:color w:val="000000" w:themeColor="text1"/>
                <w:sz w:val="24"/>
                <w14:textFill>
                  <w14:solidFill>
                    <w14:schemeClr w14:val="tx1"/>
                  </w14:solidFill>
                </w14:textFill>
              </w:rPr>
              <w:t>0086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建设地点</w:t>
            </w:r>
          </w:p>
        </w:tc>
        <w:tc>
          <w:tcPr>
            <w:tcW w:w="4084" w:type="pct"/>
            <w:gridSpan w:val="5"/>
            <w:vAlign w:val="center"/>
          </w:tcPr>
          <w:p>
            <w:pPr>
              <w:jc w:val="left"/>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行政</w:t>
            </w:r>
            <w:r>
              <w:rPr>
                <w:rFonts w:hint="eastAsia"/>
                <w:color w:val="000000" w:themeColor="text1"/>
                <w:sz w:val="24"/>
                <w:lang w:val="en-US" w:eastAsia="zh-CN"/>
                <w14:textFill>
                  <w14:solidFill>
                    <w14:schemeClr w14:val="tx1"/>
                  </w14:solidFill>
                </w14:textFill>
              </w:rPr>
              <w:t>区划隶属于内蒙古自治区阿拉善盟及甘肃省张掖市、武威市、酒泉市、嘉峪关市和金昌市管辖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立项审批部门</w:t>
            </w:r>
          </w:p>
        </w:tc>
        <w:tc>
          <w:tcPr>
            <w:tcW w:w="1968" w:type="pct"/>
            <w:gridSpan w:val="2"/>
            <w:vAlign w:val="center"/>
          </w:tcPr>
          <w:p>
            <w:pPr>
              <w:jc w:val="center"/>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中国核工业地质局</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批准文号</w:t>
            </w:r>
          </w:p>
        </w:tc>
        <w:tc>
          <w:tcPr>
            <w:tcW w:w="1286"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2022-21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75"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建设性质</w:t>
            </w:r>
          </w:p>
        </w:tc>
        <w:tc>
          <w:tcPr>
            <w:tcW w:w="1968" w:type="pct"/>
            <w:gridSpan w:val="2"/>
            <w:vAlign w:val="center"/>
          </w:tcPr>
          <w:p>
            <w:pPr>
              <w:jc w:val="center"/>
              <w:rPr>
                <w:rFonts w:eastAsia="楷体_GB2312"/>
                <w:color w:val="000000" w:themeColor="text1"/>
                <w:sz w:val="24"/>
                <w:bdr w:val="single" w:color="auto" w:sz="4" w:space="0"/>
                <w14:textFill>
                  <w14:solidFill>
                    <w14:schemeClr w14:val="tx1"/>
                  </w14:solidFill>
                </w14:textFill>
              </w:rPr>
            </w:pPr>
            <w:r>
              <w:rPr>
                <w:rFonts w:ascii="Times New Roman" w:cs="Times New Roman"/>
                <w:sz w:val="24"/>
                <w:szCs w:val="24"/>
                <w:lang w:eastAsia="zh-CN"/>
              </w:rPr>
              <w:t>新建</w:t>
            </w:r>
            <w:r>
              <w:rPr>
                <w:rFonts w:ascii="Times New Roman" w:hAnsi="Times New Roman" w:cs="Times New Roman"/>
                <w:sz w:val="24"/>
                <w:szCs w:val="24"/>
              </w:rPr>
              <w:sym w:font="Wingdings 2" w:char="0052"/>
            </w:r>
            <w:r>
              <w:rPr>
                <w:rFonts w:ascii="Times New Roman" w:cs="Times New Roman"/>
                <w:sz w:val="24"/>
                <w:szCs w:val="24"/>
                <w:lang w:eastAsia="zh-CN"/>
              </w:rPr>
              <w:t>扩建</w:t>
            </w:r>
            <w:r>
              <w:rPr>
                <w:rFonts w:ascii="Times New Roman" w:hAnsi="Times New Roman" w:cs="Times New Roman"/>
                <w:sz w:val="24"/>
                <w:szCs w:val="24"/>
                <w:lang w:eastAsia="zh-CN"/>
              </w:rPr>
              <w:sym w:font="Wingdings 2" w:char="00A3"/>
            </w:r>
            <w:r>
              <w:rPr>
                <w:rFonts w:ascii="Times New Roman" w:cs="Times New Roman"/>
                <w:sz w:val="24"/>
                <w:szCs w:val="24"/>
                <w:lang w:eastAsia="zh-CN"/>
              </w:rPr>
              <w:t>改建</w:t>
            </w:r>
            <w:r>
              <w:rPr>
                <w:rFonts w:ascii="Times New Roman" w:hAnsi="Times New Roman" w:cs="Times New Roman"/>
                <w:sz w:val="24"/>
                <w:szCs w:val="24"/>
                <w:lang w:eastAsia="zh-CN"/>
              </w:rPr>
              <w:sym w:font="Wingdings 2" w:char="00A3"/>
            </w:r>
            <w:r>
              <w:rPr>
                <w:rFonts w:ascii="Times New Roman" w:cs="Times New Roman"/>
                <w:sz w:val="24"/>
                <w:szCs w:val="24"/>
                <w:lang w:eastAsia="zh-CN"/>
              </w:rPr>
              <w:t>技改</w:t>
            </w:r>
            <w:r>
              <w:rPr>
                <w:rFonts w:ascii="Times New Roman" w:hAnsi="Times New Roman" w:cs="Times New Roman"/>
                <w:sz w:val="24"/>
                <w:szCs w:val="24"/>
                <w:lang w:eastAsia="zh-CN"/>
              </w:rPr>
              <w:sym w:font="Wingdings 2" w:char="00A3"/>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行业类别</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及代码</w:t>
            </w:r>
          </w:p>
        </w:tc>
        <w:tc>
          <w:tcPr>
            <w:tcW w:w="1286" w:type="pct"/>
            <w:gridSpan w:val="2"/>
            <w:vAlign w:val="center"/>
          </w:tcPr>
          <w:p>
            <w:pPr>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M7471</w:t>
            </w:r>
          </w:p>
          <w:p>
            <w:pPr>
              <w:jc w:val="center"/>
              <w:rPr>
                <w:color w:val="000000" w:themeColor="text1"/>
                <w:sz w:val="24"/>
                <w:lang w:val="en-GB"/>
                <w14:textFill>
                  <w14:solidFill>
                    <w14:schemeClr w14:val="tx1"/>
                  </w14:solidFill>
                </w14:textFill>
              </w:rPr>
            </w:pPr>
            <w:r>
              <w:rPr>
                <w:rFonts w:hint="eastAsia"/>
                <w:color w:val="000000" w:themeColor="text1"/>
                <w:sz w:val="24"/>
                <w:lang w:val="en-GB" w:eastAsia="zh-CN"/>
                <w14:textFill>
                  <w14:solidFill>
                    <w14:schemeClr w14:val="tx1"/>
                  </w14:solidFill>
                </w14:textFill>
              </w:rPr>
              <w:t>能源矿产地质勘查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58"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占地面积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36600</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绿化面积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286" w:type="pct"/>
            <w:gridSpan w:val="2"/>
            <w:vAlign w:val="center"/>
          </w:tcPr>
          <w:p>
            <w:pPr>
              <w:jc w:val="center"/>
              <w:rPr>
                <w:rFonts w:hint="default" w:eastAsia="宋体"/>
                <w:color w:val="000000" w:themeColor="text1"/>
                <w:sz w:val="24"/>
                <w:highlight w:val="yellow"/>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7320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9985</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286" w:type="pct"/>
            <w:gridSpan w:val="2"/>
            <w:vAlign w:val="center"/>
          </w:tcPr>
          <w:p>
            <w:pPr>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833.6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22"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环保投资占</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总投资比例</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8.35%</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预期投</w:t>
            </w:r>
            <w:r>
              <w:rPr>
                <w:rFonts w:hint="eastAsia"/>
                <w:color w:val="000000" w:themeColor="text1"/>
                <w:sz w:val="24"/>
                <w14:textFill>
                  <w14:solidFill>
                    <w14:schemeClr w14:val="tx1"/>
                  </w14:solidFill>
                </w14:textFill>
              </w:rPr>
              <w:t>产</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日期</w:t>
            </w:r>
          </w:p>
        </w:tc>
        <w:tc>
          <w:tcPr>
            <w:tcW w:w="1286" w:type="pct"/>
            <w:gridSpan w:val="2"/>
            <w:vAlign w:val="center"/>
          </w:tcPr>
          <w:p>
            <w:pPr>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2022年4月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gridSpan w:val="6"/>
            <w:vAlign w:val="center"/>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工程内容及规模：</w:t>
            </w:r>
          </w:p>
          <w:p>
            <w:pPr>
              <w:numPr>
                <w:ilvl w:val="0"/>
                <w:numId w:val="0"/>
              </w:numPr>
              <w:spacing w:line="360" w:lineRule="auto"/>
              <w:rPr>
                <w:rFonts w:hint="default" w:ascii="Times New Roman" w:hAnsi="Times New Roman" w:eastAsia="宋体" w:cs="Times New Roman"/>
                <w:b/>
                <w:bCs/>
                <w:color w:val="000000" w:themeColor="text1"/>
                <w:sz w:val="24"/>
                <w14:textFill>
                  <w14:solidFill>
                    <w14:schemeClr w14:val="tx1"/>
                  </w14:solidFill>
                </w14:textFill>
              </w:rPr>
            </w:pPr>
            <w:r>
              <w:rPr>
                <w:rFonts w:hint="default" w:ascii="Times New Roman" w:hAnsi="Times New Roman" w:eastAsia="宋体" w:cs="Times New Roman"/>
                <w:b/>
                <w:bCs/>
                <w:color w:val="000000" w:themeColor="text1"/>
                <w:sz w:val="24"/>
                <w:lang w:val="en-US" w:eastAsia="zh-CN"/>
                <w14:textFill>
                  <w14:solidFill>
                    <w14:schemeClr w14:val="tx1"/>
                  </w14:solidFill>
                </w14:textFill>
              </w:rPr>
              <w:t>1、</w:t>
            </w:r>
            <w:r>
              <w:rPr>
                <w:rFonts w:hint="default" w:ascii="Times New Roman" w:hAnsi="Times New Roman" w:eastAsia="宋体" w:cs="Times New Roman"/>
                <w:b/>
                <w:bCs/>
                <w:color w:val="000000" w:themeColor="text1"/>
                <w:sz w:val="24"/>
                <w14:textFill>
                  <w14:solidFill>
                    <w14:schemeClr w14:val="tx1"/>
                  </w14:solidFill>
                </w14:textFill>
              </w:rPr>
              <w:t>项目由来</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eastAsia="宋体"/>
                <w:color w:val="000000" w:themeColor="text1"/>
                <w:sz w:val="24"/>
                <w:szCs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巴丹吉林盆地及周缘铀矿资源调查评价</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由</w:t>
            </w:r>
            <w:r>
              <w:rPr>
                <w:rFonts w:hint="eastAsia"/>
                <w:color w:val="000000" w:themeColor="text1"/>
                <w:sz w:val="24"/>
                <w:szCs w:val="24"/>
                <w:lang w:eastAsia="zh-CN"/>
                <w14:textFill>
                  <w14:solidFill>
                    <w14:schemeClr w14:val="tx1"/>
                  </w14:solidFill>
                </w14:textFill>
              </w:rPr>
              <w:t>中国核工业地质局下达并管理，</w:t>
            </w:r>
            <w:r>
              <w:rPr>
                <w:rFonts w:hint="eastAsia"/>
                <w:color w:val="000000" w:themeColor="text1"/>
                <w:sz w:val="24"/>
                <w:szCs w:val="24"/>
                <w:lang w:val="en-US" w:eastAsia="zh-CN"/>
                <w14:textFill>
                  <w14:solidFill>
                    <w14:schemeClr w14:val="tx1"/>
                  </w14:solidFill>
                </w14:textFill>
              </w:rPr>
              <w:t>承担单位为</w:t>
            </w:r>
            <w:r>
              <w:rPr>
                <w:rFonts w:hint="eastAsia"/>
                <w:color w:val="000000" w:themeColor="text1"/>
                <w:sz w:val="24"/>
                <w14:textFill>
                  <w14:solidFill>
                    <w14:schemeClr w14:val="tx1"/>
                  </w14:solidFill>
                </w14:textFill>
              </w:rPr>
              <w:t>核工业二</w:t>
            </w:r>
            <w:r>
              <w:rPr>
                <w:rFonts w:hint="eastAsia"/>
                <w:color w:val="000000" w:themeColor="text1"/>
                <w:sz w:val="24"/>
                <w:lang w:val="en-US" w:eastAsia="zh-CN"/>
                <w14:textFill>
                  <w14:solidFill>
                    <w14:schemeClr w14:val="tx1"/>
                  </w14:solidFill>
                </w14:textFill>
              </w:rPr>
              <w:t>0</w:t>
            </w:r>
            <w:r>
              <w:rPr>
                <w:rFonts w:hint="eastAsia"/>
                <w:color w:val="000000" w:themeColor="text1"/>
                <w:sz w:val="24"/>
                <w14:textFill>
                  <w14:solidFill>
                    <w14:schemeClr w14:val="tx1"/>
                  </w14:solidFill>
                </w14:textFill>
              </w:rPr>
              <w:t>三研究所</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核工业二四三大队</w:t>
            </w:r>
            <w:r>
              <w:rPr>
                <w:rFonts w:hint="eastAsia"/>
                <w:color w:val="000000" w:themeColor="text1"/>
                <w:sz w:val="24"/>
                <w:lang w:val="en-US" w:eastAsia="zh-CN"/>
                <w14:textFill>
                  <w14:solidFill>
                    <w14:schemeClr w14:val="tx1"/>
                  </w14:solidFill>
                </w14:textFill>
              </w:rPr>
              <w:t>和</w:t>
            </w:r>
            <w:r>
              <w:rPr>
                <w:rFonts w:hint="eastAsia"/>
                <w:color w:val="000000" w:themeColor="text1"/>
                <w:sz w:val="24"/>
                <w14:textFill>
                  <w14:solidFill>
                    <w14:schemeClr w14:val="tx1"/>
                  </w14:solidFill>
                </w14:textFill>
              </w:rPr>
              <w:t>核工业航磁遥感中心</w:t>
            </w:r>
            <w:r>
              <w:rPr>
                <w:rFonts w:hint="eastAsia"/>
                <w:color w:val="000000" w:themeColor="text1"/>
                <w:sz w:val="24"/>
                <w:lang w:val="en-US" w:eastAsia="zh-CN"/>
                <w14:textFill>
                  <w14:solidFill>
                    <w14:schemeClr w14:val="tx1"/>
                  </w14:solidFill>
                </w14:textFill>
              </w:rPr>
              <w:t>，工作性质为</w:t>
            </w:r>
            <w:r>
              <w:rPr>
                <w:rFonts w:hint="eastAsia"/>
                <w:color w:val="000000" w:themeColor="text1"/>
                <w:sz w:val="24"/>
                <w14:textFill>
                  <w14:solidFill>
                    <w14:schemeClr w14:val="tx1"/>
                  </w14:solidFill>
                </w14:textFill>
              </w:rPr>
              <w:t>区域评价</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工作</w:t>
            </w:r>
            <w:r>
              <w:rPr>
                <w:rFonts w:hint="eastAsia"/>
                <w:color w:val="000000" w:themeColor="text1"/>
                <w:sz w:val="24"/>
                <w:lang w:val="en-US" w:eastAsia="zh-CN"/>
                <w14:textFill>
                  <w14:solidFill>
                    <w14:schemeClr w14:val="tx1"/>
                  </w14:solidFill>
                </w14:textFill>
              </w:rPr>
              <w:t>周期</w:t>
            </w:r>
            <w:r>
              <w:rPr>
                <w:rFonts w:hint="eastAsia"/>
                <w:color w:val="000000" w:themeColor="text1"/>
                <w:sz w:val="24"/>
                <w14:textFill>
                  <w14:solidFill>
                    <w14:schemeClr w14:val="tx1"/>
                  </w14:solidFill>
                </w14:textFill>
              </w:rPr>
              <w:t>5年（2022-2026年）</w:t>
            </w:r>
            <w:r>
              <w:rPr>
                <w:rFonts w:hint="eastAsia"/>
                <w:color w:val="000000" w:themeColor="text1"/>
                <w:sz w:val="24"/>
                <w:lang w:eastAsia="zh-CN"/>
                <w14:textFill>
                  <w14:solidFill>
                    <w14:schemeClr w14:val="tx1"/>
                  </w14:solidFill>
                </w14:textFill>
              </w:rPr>
              <w:t>；</w:t>
            </w:r>
            <w:r>
              <w:rPr>
                <w:rFonts w:hint="eastAsia" w:ascii="宋体" w:hAnsi="宋体" w:eastAsia="宋体" w:cs="宋体"/>
                <w:color w:val="000000" w:themeColor="text1"/>
                <w:sz w:val="24"/>
                <w:szCs w:val="24"/>
                <w:lang w:val="en-US" w:eastAsia="zh-CN"/>
                <w14:textFill>
                  <w14:solidFill>
                    <w14:schemeClr w14:val="tx1"/>
                  </w14:solidFill>
                </w14:textFill>
              </w:rPr>
              <w:t>项目实施主体为</w:t>
            </w:r>
            <w:r>
              <w:rPr>
                <w:rFonts w:hint="eastAsia"/>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〇三研究所</w:t>
            </w:r>
            <w:r>
              <w:rPr>
                <w:rFonts w:hint="eastAsia" w:ascii="宋体" w:hAnsi="宋体" w:eastAsia="宋体" w:cs="宋体"/>
                <w:color w:val="000000" w:themeColor="text1"/>
                <w:sz w:val="24"/>
                <w:szCs w:val="24"/>
                <w:lang w:val="en-US" w:eastAsia="zh-CN"/>
                <w14:textFill>
                  <w14:solidFill>
                    <w14:schemeClr w14:val="tx1"/>
                  </w14:solidFill>
                </w14:textFill>
              </w:rPr>
              <w:t>，</w:t>
            </w:r>
            <w:r>
              <w:rPr>
                <w:rFonts w:hint="eastAsia"/>
                <w:color w:val="000000" w:themeColor="text1"/>
                <w:sz w:val="24"/>
                <w14:textFill>
                  <w14:solidFill>
                    <w14:schemeClr w14:val="tx1"/>
                  </w14:solidFill>
                </w14:textFill>
              </w:rPr>
              <w:t>核工业二四三大队负责钻探施工。</w:t>
            </w:r>
          </w:p>
          <w:p>
            <w:pPr>
              <w:spacing w:line="360" w:lineRule="auto"/>
              <w:ind w:firstLine="480" w:firstLineChars="200"/>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cs="Times New Roman"/>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w:t>
            </w:r>
            <w:r>
              <w:rPr>
                <w:rFonts w:ascii="Times New Roman" w:hAnsi="Times New Roman" w:cs="Times New Roman"/>
                <w:color w:val="000000" w:themeColor="text1"/>
                <w:sz w:val="24"/>
                <w:szCs w:val="24"/>
                <w:lang w:eastAsia="zh-CN"/>
                <w14:textFill>
                  <w14:solidFill>
                    <w14:schemeClr w14:val="tx1"/>
                  </w14:solidFill>
                </w14:textFill>
              </w:rPr>
              <w:t>三研究所成立于1974年9月，是隶属于中国核工业集团有限公司中国铀业有限公司的综合性核地勘队伍</w:t>
            </w:r>
            <w:r>
              <w:rPr>
                <w:rFonts w:hint="eastAsia"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主要承担中国西北地区</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地质勘查与研究、资源量提交、放射性环境评价及放射性分析测试等国家战略任务，</w:t>
            </w:r>
            <w:r>
              <w:rPr>
                <w:rFonts w:hint="eastAsia" w:ascii="Times New Roman" w:hAnsi="Times New Roman" w:cs="Times New Roman"/>
                <w:color w:val="000000" w:themeColor="text1"/>
                <w:sz w:val="24"/>
                <w:szCs w:val="24"/>
                <w:lang w:val="en-US" w:eastAsia="zh-CN"/>
                <w14:textFill>
                  <w14:solidFill>
                    <w14:schemeClr w14:val="tx1"/>
                  </w14:solidFill>
                </w14:textFill>
              </w:rPr>
              <w:t>勘查</w:t>
            </w:r>
            <w:r>
              <w:rPr>
                <w:rFonts w:hint="eastAsia" w:cs="Times New Roman"/>
                <w:color w:val="000000" w:themeColor="text1"/>
                <w:sz w:val="24"/>
                <w:szCs w:val="24"/>
                <w:lang w:val="en-US" w:eastAsia="zh-CN"/>
                <w14:textFill>
                  <w14:solidFill>
                    <w14:schemeClr w14:val="tx1"/>
                  </w14:solidFill>
                </w14:textFill>
              </w:rPr>
              <w:t>区</w:t>
            </w:r>
            <w:r>
              <w:rPr>
                <w:rFonts w:ascii="Times New Roman" w:hAnsi="Times New Roman" w:cs="Times New Roman"/>
                <w:color w:val="000000" w:themeColor="text1"/>
                <w:sz w:val="24"/>
                <w:szCs w:val="24"/>
                <w:lang w:eastAsia="zh-CN"/>
                <w14:textFill>
                  <w14:solidFill>
                    <w14:schemeClr w14:val="tx1"/>
                  </w14:solidFill>
                </w14:textFill>
              </w:rPr>
              <w:t>跨越新疆、内蒙、甘肃、宁夏、青海、陕西、山西等七省区。研究所在开展</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勘查的同时，积极开展金属与非</w:t>
            </w:r>
            <w:r>
              <w:rPr>
                <w:rFonts w:hint="eastAsia" w:ascii="Times New Roman" w:hAnsi="Times New Roman" w:cs="Times New Roman"/>
                <w:color w:val="000000" w:themeColor="text1"/>
                <w:sz w:val="24"/>
                <w:szCs w:val="24"/>
                <w:lang w:eastAsia="zh-CN"/>
                <w14:textFill>
                  <w14:solidFill>
                    <w14:schemeClr w14:val="tx1"/>
                  </w14:solidFill>
                </w14:textFill>
              </w:rPr>
              <w:t>铀</w:t>
            </w:r>
            <w:r>
              <w:rPr>
                <w:rFonts w:ascii="Times New Roman" w:hAnsi="Times New Roman" w:cs="Times New Roman"/>
                <w:color w:val="000000" w:themeColor="text1"/>
                <w:sz w:val="24"/>
                <w:szCs w:val="24"/>
                <w:lang w:eastAsia="zh-CN"/>
                <w14:textFill>
                  <w14:solidFill>
                    <w14:schemeClr w14:val="tx1"/>
                  </w14:solidFill>
                </w14:textFill>
              </w:rPr>
              <w:t>资源找矿勘查与评价、地质灾害调查与治理、工程勘察及施工、分析测试、环境评价及环保工程、数字制图与彩色印刷、电子产品研发与生产等市场经营业务，经济规模和效益持续提升。先后获国家科技进步二等奖3项，省部级科技进步一、二等奖170余项；获陕西省高新技术企业，2011年至今获全国文明单位称号。</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本项目</w:t>
            </w:r>
            <w:r>
              <w:rPr>
                <w:rFonts w:hint="default" w:ascii="Times New Roman" w:hAnsi="Times New Roman" w:eastAsia="宋体" w:cs="Times New Roman"/>
                <w:b w:val="0"/>
                <w:bCs w:val="0"/>
                <w:color w:val="000000" w:themeColor="text1"/>
                <w:sz w:val="24"/>
                <w:szCs w:val="24"/>
                <w:lang w:val="en-US" w:eastAsia="zh-CN" w:bidi="en-US"/>
                <w14:textFill>
                  <w14:solidFill>
                    <w14:schemeClr w14:val="tx1"/>
                  </w14:solidFill>
                </w14:textFill>
              </w:rPr>
              <w:t>工作时间为2022-2026年</w:t>
            </w:r>
            <w:r>
              <w:rPr>
                <w:rFonts w:hint="eastAsia" w:cs="Times New Roman"/>
                <w:b w:val="0"/>
                <w:bCs w:val="0"/>
                <w:color w:val="000000" w:themeColor="text1"/>
                <w:sz w:val="24"/>
                <w:szCs w:val="24"/>
                <w:lang w:val="en-US" w:eastAsia="zh-CN" w:bidi="en-US"/>
                <w14:textFill>
                  <w14:solidFill>
                    <w14:schemeClr w14:val="tx1"/>
                  </w14:solidFill>
                </w14:textFill>
              </w:rPr>
              <w:t>，</w:t>
            </w:r>
            <w:r>
              <w:rPr>
                <w:rFonts w:hint="eastAsia" w:cs="Times New Roman"/>
                <w:bCs/>
                <w:color w:val="000000" w:themeColor="text1"/>
                <w:sz w:val="24"/>
                <w:szCs w:val="20"/>
                <w:lang w:val="en-US" w:eastAsia="zh-CN"/>
                <w14:textFill>
                  <w14:solidFill>
                    <w14:schemeClr w14:val="tx1"/>
                  </w14:solidFill>
                </w14:textFill>
              </w:rPr>
              <w:t>主要分为</w:t>
            </w:r>
            <w:r>
              <w:rPr>
                <w:rFonts w:hint="eastAsia"/>
                <w:color w:val="000000" w:themeColor="text1"/>
                <w:sz w:val="24"/>
                <w:lang w:val="en-US" w:eastAsia="zh-CN"/>
                <w14:textFill>
                  <w14:solidFill>
                    <w14:schemeClr w14:val="tx1"/>
                  </w14:solidFill>
                </w14:textFill>
              </w:rPr>
              <w:t>巴丹吉林盆地勘查区、潮水盆地勘查区、走廊盆地勘查区、武腾盆地勘查区及北山地区勘查区，</w:t>
            </w:r>
            <w:r>
              <w:rPr>
                <w:rFonts w:hint="eastAsia" w:ascii="Times New Roman" w:hAnsi="Times New Roman" w:eastAsia="宋体" w:cs="Times New Roman"/>
                <w:bCs/>
                <w:color w:val="000000" w:themeColor="text1"/>
                <w:sz w:val="24"/>
                <w:szCs w:val="20"/>
                <w14:textFill>
                  <w14:solidFill>
                    <w14:schemeClr w14:val="tx1"/>
                  </w14:solidFill>
                </w14:textFill>
              </w:rPr>
              <w:t>其行政区划隶属于</w:t>
            </w:r>
            <w:r>
              <w:rPr>
                <w:rFonts w:hint="eastAsia"/>
                <w:color w:val="000000" w:themeColor="text1"/>
                <w:sz w:val="24"/>
                <w:lang w:val="en-US" w:eastAsia="zh-CN"/>
                <w14:textFill>
                  <w14:solidFill>
                    <w14:schemeClr w14:val="tx1"/>
                  </w14:solidFill>
                </w14:textFill>
              </w:rPr>
              <w:t>内蒙古自治区阿拉善盟及甘肃省张掖市、武威市、酒泉市、嘉峪关市和金昌市等区域。</w:t>
            </w:r>
          </w:p>
          <w:p>
            <w:pPr>
              <w:spacing w:line="360" w:lineRule="auto"/>
              <w:ind w:firstLine="480" w:firstLineChars="200"/>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2022年度在巴丹吉林盆地和潮水盆地</w:t>
            </w:r>
            <w:r>
              <w:rPr>
                <w:rFonts w:hint="eastAsia" w:eastAsia="宋体"/>
                <w:b w:val="0"/>
                <w:bCs w:val="0"/>
                <w:color w:val="000000" w:themeColor="text1"/>
                <w:sz w:val="24"/>
                <w:szCs w:val="24"/>
                <w:lang w:val="en-US" w:eastAsia="zh-CN"/>
                <w14:textFill>
                  <w14:solidFill>
                    <w14:schemeClr w14:val="tx1"/>
                  </w14:solidFill>
                </w14:textFill>
              </w:rPr>
              <w:t>开展钻探工作，</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ascii="Times New Roman" w:hAnsi="Times New Roman" w:cs="Times New Roman"/>
                <w:b w:val="0"/>
                <w:bCs w:val="0"/>
                <w:color w:val="000000" w:themeColor="text1"/>
                <w:sz w:val="24"/>
                <w:lang w:val="en-US" w:eastAsia="zh-CN"/>
                <w14:textFill>
                  <w14:solidFill>
                    <w14:schemeClr w14:val="tx1"/>
                  </w14:solidFill>
                </w14:textFill>
              </w:rPr>
              <w:t>16000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ascii="Times New Roman" w:hAnsi="Times New Roman" w:cs="Times New Roman"/>
                <w:b w:val="0"/>
                <w:bCs w:val="0"/>
                <w:color w:val="000000" w:themeColor="text1"/>
                <w:sz w:val="24"/>
                <w:lang w:val="en-US" w:eastAsia="zh-CN"/>
                <w14:textFill>
                  <w14:solidFill>
                    <w14:schemeClr w14:val="tx1"/>
                  </w14:solidFill>
                </w14:textFill>
              </w:rPr>
              <w:t>31</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ascii="Times New Roman" w:hAnsi="Times New Roman" w:cs="Times New Roman"/>
                <w:b w:val="0"/>
                <w:bCs w:val="0"/>
                <w:color w:val="000000" w:themeColor="text1"/>
                <w:sz w:val="24"/>
                <w:lang w:val="en-US" w:eastAsia="zh-CN"/>
                <w14:textFill>
                  <w14:solidFill>
                    <w14:schemeClr w14:val="tx1"/>
                  </w14:solidFill>
                </w14:textFill>
              </w:rPr>
              <w:t>2023-2026年计划在</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巴丹吉林盆地、潮水盆地、走廊盆地、武腾盆地及北山地区开展钻探工作，预估钻探工作量101000m</w:t>
            </w:r>
            <w:r>
              <w:rPr>
                <w:rFonts w:hint="eastAsia" w:cs="Times New Roman"/>
                <w:b w:val="0"/>
                <w:bCs w:val="0"/>
                <w:color w:val="000000" w:themeColor="text1"/>
                <w:kern w:val="2"/>
                <w:sz w:val="24"/>
                <w:szCs w:val="24"/>
                <w:lang w:val="en-US" w:eastAsia="zh-CN" w:bidi="ar-SA"/>
                <w14:textFill>
                  <w14:solidFill>
                    <w14:schemeClr w14:val="tx1"/>
                  </w14:solidFill>
                </w14:textFill>
              </w:rPr>
              <w:t>，钻孔213个</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eastAsia"/>
                <w:color w:val="000000" w:themeColor="text1"/>
                <w:sz w:val="24"/>
                <w:lang w:val="en-US" w:eastAsia="zh-CN"/>
                <w14:textFill>
                  <w14:solidFill>
                    <w14:schemeClr w14:val="tx1"/>
                  </w14:solidFill>
                </w14:textFill>
              </w:rPr>
              <w:t>甘肃省和内蒙古自治区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eastAsia" w:ascii="Times New Roman" w:hAnsi="Times New Roman" w:cs="Times New Roman"/>
                <w:color w:val="000000" w:themeColor="text1"/>
                <w:kern w:val="2"/>
                <w:sz w:val="24"/>
                <w:szCs w:val="24"/>
                <w:lang w:eastAsia="zh-CN" w:bidi="ar-SA"/>
                <w14:textFill>
                  <w14:solidFill>
                    <w14:schemeClr w14:val="tx1"/>
                  </w14:solidFill>
                </w14:textFill>
              </w:rPr>
              <w:t>。</w:t>
            </w:r>
            <w:r>
              <w:rPr>
                <w:rFonts w:hint="eastAsia"/>
                <w:color w:val="000000" w:themeColor="text1"/>
                <w:sz w:val="24"/>
                <w:lang w:eastAsia="zh-CN"/>
                <w14:textFill>
                  <w14:solidFill>
                    <w14:schemeClr w14:val="tx1"/>
                  </w14:solidFill>
                </w14:textFill>
              </w:rPr>
              <w:t>同时评价要求勘查过程中调整的钻孔以及2023-2026年拟布设的钻孔选址应对禁止开发区域的环境敏感区及生态红线进行避让，钻孔位置明确后及时向审批部门及属地监管部门进行报备</w:t>
            </w:r>
            <w:r>
              <w:rPr>
                <w:rFonts w:hint="default" w:ascii="Times New Roman" w:hAnsi="Times New Roman" w:cs="Times New Roman"/>
                <w:color w:val="000000" w:themeColor="text1"/>
                <w:kern w:val="2"/>
                <w:sz w:val="24"/>
                <w:szCs w:val="24"/>
                <w:lang w:eastAsia="zh-CN" w:bidi="ar-SA"/>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拟布设的钻孔与勘查区内环境敏感区的位置关系详见第</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章表5-</w:t>
            </w:r>
            <w:r>
              <w:rPr>
                <w:rFonts w:hint="eastAsia" w:cs="Times New Roman"/>
                <w:color w:val="000000" w:themeColor="text1"/>
                <w:kern w:val="0"/>
                <w:sz w:val="24"/>
                <w:lang w:val="en-US" w:eastAsia="zh-CN"/>
                <w14:textFill>
                  <w14:solidFill>
                    <w14:schemeClr w14:val="tx1"/>
                  </w14:solidFill>
                </w14:textFill>
              </w:rPr>
              <w:t>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w:t>
            </w:r>
          </w:p>
          <w:p>
            <w:pPr>
              <w:spacing w:line="360" w:lineRule="auto"/>
              <w:ind w:firstLine="480" w:firstLineChars="200"/>
              <w:rPr>
                <w:rFonts w:ascii="Times New Roman" w:hAnsi="Times New Roman" w:cs="Times New Roman"/>
                <w:color w:val="000000" w:themeColor="text1"/>
                <w:sz w:val="24"/>
                <w:szCs w:val="24"/>
                <w14:textFill>
                  <w14:solidFill>
                    <w14:schemeClr w14:val="tx1"/>
                  </w14:solidFill>
                </w14:textFill>
              </w:rPr>
            </w:pPr>
            <w:r>
              <w:rPr>
                <w:rFonts w:hint="eastAsia"/>
                <w:color w:val="000000" w:themeColor="text1"/>
                <w:sz w:val="24"/>
                <w14:textFill>
                  <w14:solidFill>
                    <w14:schemeClr w14:val="tx1"/>
                  </w14:solidFill>
                </w14:textFill>
              </w:rPr>
              <w:t>根据《中华人民共和国环境影响评价法》、《建设项目环境影响评价分类管理名录》（2</w:t>
            </w:r>
            <w:r>
              <w:rPr>
                <w:color w:val="000000" w:themeColor="text1"/>
                <w:sz w:val="24"/>
                <w14:textFill>
                  <w14:solidFill>
                    <w14:schemeClr w14:val="tx1"/>
                  </w14:solidFill>
                </w14:textFill>
              </w:rPr>
              <w:t>0</w:t>
            </w:r>
            <w:r>
              <w:rPr>
                <w:rFonts w:hint="eastAsia"/>
                <w:color w:val="000000" w:themeColor="text1"/>
                <w:sz w:val="24"/>
                <w14:textFill>
                  <w14:solidFill>
                    <w14:schemeClr w14:val="tx1"/>
                  </w14:solidFill>
                </w14:textFill>
              </w:rPr>
              <w:t>21）</w:t>
            </w:r>
            <w:r>
              <w:rPr>
                <w:color w:val="000000" w:themeColor="text1"/>
                <w:sz w:val="24"/>
                <w:lang w:val="en-GB"/>
                <w14:textFill>
                  <w14:solidFill>
                    <w14:schemeClr w14:val="tx1"/>
                  </w14:solidFill>
                </w14:textFill>
              </w:rPr>
              <w:t>的有关规定</w:t>
            </w:r>
            <w:r>
              <w:rPr>
                <w:rFonts w:hint="eastAsia"/>
                <w:color w:val="000000" w:themeColor="text1"/>
                <w:sz w:val="24"/>
                <w14:textFill>
                  <w14:solidFill>
                    <w14:schemeClr w14:val="tx1"/>
                  </w14:solidFill>
                </w14:textFill>
              </w:rPr>
              <w:t>，</w:t>
            </w:r>
            <w:r>
              <w:rPr>
                <w:rFonts w:ascii="Times New Roman" w:hAnsi="Times New Roman" w:cs="Times New Roman"/>
                <w:color w:val="000000" w:themeColor="text1"/>
                <w:sz w:val="24"/>
                <w:szCs w:val="24"/>
                <w14:textFill>
                  <w14:solidFill>
                    <w14:schemeClr w14:val="tx1"/>
                  </w14:solidFill>
                </w14:textFill>
              </w:rPr>
              <w:t>该铀矿勘查项目需开展环境影响评价，并</w:t>
            </w:r>
            <w:r>
              <w:rPr>
                <w:rFonts w:hint="eastAsia" w:ascii="Times New Roman" w:hAnsi="Times New Roman" w:cs="Times New Roman"/>
                <w:color w:val="000000" w:themeColor="text1"/>
                <w:sz w:val="24"/>
                <w:szCs w:val="24"/>
                <w:lang w:val="en-US" w:eastAsia="zh-CN"/>
                <w14:textFill>
                  <w14:solidFill>
                    <w14:schemeClr w14:val="tx1"/>
                  </w14:solidFill>
                </w14:textFill>
              </w:rPr>
              <w:t>应</w:t>
            </w:r>
            <w:r>
              <w:rPr>
                <w:rFonts w:ascii="Times New Roman" w:hAnsi="Times New Roman" w:cs="Times New Roman"/>
                <w:color w:val="000000" w:themeColor="text1"/>
                <w:sz w:val="24"/>
                <w:szCs w:val="24"/>
                <w14:textFill>
                  <w14:solidFill>
                    <w14:schemeClr w14:val="tx1"/>
                  </w14:solidFill>
                </w14:textFill>
              </w:rPr>
              <w:t>编制环境影响报告表。</w:t>
            </w:r>
            <w:r>
              <w:rPr>
                <w:rFonts w:hint="eastAsia" w:ascii="Times New Roman" w:hAnsi="Times New Roman" w:cs="Times New Roman"/>
                <w:color w:val="000000" w:themeColor="text1"/>
                <w:sz w:val="24"/>
                <w:szCs w:val="24"/>
                <w:lang w:eastAsia="zh-CN"/>
                <w14:textFill>
                  <w14:solidFill>
                    <w14:schemeClr w14:val="tx1"/>
                  </w14:solidFill>
                </w14:textFill>
              </w:rPr>
              <w:t>为此，我所对该项目进行环境影响评价工作。</w:t>
            </w:r>
          </w:p>
          <w:p>
            <w:pPr>
              <w:numPr>
                <w:ilvl w:val="0"/>
                <w:numId w:val="0"/>
              </w:numPr>
              <w:spacing w:line="360" w:lineRule="auto"/>
              <w:rPr>
                <w:rFonts w:hint="default" w:ascii="Times New Roman" w:hAnsi="Times New Roman" w:eastAsia="宋体" w:cs="Times New Roman"/>
                <w:b/>
                <w:bCs/>
                <w:color w:val="000000" w:themeColor="text1"/>
                <w:sz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lang w:val="en-US" w:eastAsia="zh-CN"/>
                <w14:textFill>
                  <w14:solidFill>
                    <w14:schemeClr w14:val="tx1"/>
                  </w14:solidFill>
                </w14:textFill>
              </w:rPr>
              <w:t>2、分析判定相关情况</w:t>
            </w:r>
          </w:p>
          <w:p>
            <w:pPr>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2.1</w:t>
            </w:r>
            <w:r>
              <w:rPr>
                <w:b/>
                <w:bCs/>
                <w:color w:val="000000" w:themeColor="text1"/>
                <w:sz w:val="24"/>
                <w14:textFill>
                  <w14:solidFill>
                    <w14:schemeClr w14:val="tx1"/>
                  </w14:solidFill>
                </w14:textFill>
              </w:rPr>
              <w:t>产业政策符合性分析</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本项目未列入</w:t>
            </w:r>
            <w:r>
              <w:rPr>
                <w:rFonts w:hint="eastAsia"/>
                <w:color w:val="000000" w:themeColor="text1"/>
                <w:sz w:val="24"/>
                <w:lang w:val="en-GB" w:eastAsia="zh-CN"/>
                <w14:textFill>
                  <w14:solidFill>
                    <w14:schemeClr w14:val="tx1"/>
                  </w14:solidFill>
                </w14:textFill>
              </w:rPr>
              <w:t>《甘肃省国家重点生态功能区产业准入负面清单（试行）》、《内蒙古自治区国家重点生态功能区产业准入负面清单（试行）》</w:t>
            </w:r>
            <w:r>
              <w:rPr>
                <w:rFonts w:hint="eastAsia"/>
                <w:color w:val="000000" w:themeColor="text1"/>
                <w:sz w:val="24"/>
                <w:lang w:val="en-US" w:eastAsia="zh-CN"/>
                <w14:textFill>
                  <w14:solidFill>
                    <w14:schemeClr w14:val="tx1"/>
                  </w14:solidFill>
                </w14:textFill>
              </w:rPr>
              <w:t>内</w:t>
            </w:r>
            <w:r>
              <w:rPr>
                <w:rFonts w:hint="eastAsia"/>
                <w:color w:val="000000" w:themeColor="text1"/>
                <w:sz w:val="24"/>
                <w:lang w:val="en-GB"/>
                <w14:textFill>
                  <w14:solidFill>
                    <w14:schemeClr w14:val="tx1"/>
                  </w14:solidFill>
                </w14:textFill>
              </w:rPr>
              <w:t>。</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本项目属于</w:t>
            </w:r>
            <w:r>
              <w:rPr>
                <w:rFonts w:ascii="Times New Roman" w:hAnsi="Times New Roman" w:cs="Times New Roman"/>
                <w:color w:val="000000" w:themeColor="text1"/>
                <w:sz w:val="24"/>
                <w:lang w:eastAsia="zh-CN"/>
                <w14:textFill>
                  <w14:solidFill>
                    <w14:schemeClr w14:val="tx1"/>
                  </w14:solidFill>
                </w14:textFill>
              </w:rPr>
              <w:t>《产业结构调整指导目录（2019年本）》中“鼓励类”</w:t>
            </w:r>
            <w:r>
              <w:rPr>
                <w:rFonts w:hint="eastAsia" w:cs="Times New Roman"/>
                <w:color w:val="000000" w:themeColor="text1"/>
                <w:sz w:val="24"/>
                <w:lang w:eastAsia="zh-CN"/>
                <w14:textFill>
                  <w14:solidFill>
                    <w14:schemeClr w14:val="tx1"/>
                  </w14:solidFill>
                </w14:textFill>
              </w:rPr>
              <w:t>，</w:t>
            </w:r>
            <w:r>
              <w:rPr>
                <w:rFonts w:hint="eastAsia"/>
                <w:color w:val="000000" w:themeColor="text1"/>
                <w:sz w:val="24"/>
                <w:lang w:val="en-GB"/>
                <w14:textFill>
                  <w14:solidFill>
                    <w14:schemeClr w14:val="tx1"/>
                  </w14:solidFill>
                </w14:textFill>
              </w:rPr>
              <w:t>符合国家产业政策</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项目与产业政策相符性分析见表1-1</w:t>
            </w:r>
            <w:r>
              <w:rPr>
                <w:rFonts w:hint="eastAsia"/>
                <w:color w:val="000000" w:themeColor="text1"/>
                <w:sz w:val="24"/>
                <w:lang w:val="en-GB"/>
                <w14:textFill>
                  <w14:solidFill>
                    <w14:schemeClr w14:val="tx1"/>
                  </w14:solidFill>
                </w14:textFill>
              </w:rPr>
              <w:t>。</w:t>
            </w:r>
          </w:p>
          <w:p>
            <w:pPr>
              <w:spacing w:line="240" w:lineRule="auto"/>
              <w:jc w:val="center"/>
              <w:rPr>
                <w:rFonts w:hint="default" w:ascii="Times New Roman" w:hAnsi="Times New Roman" w:cs="Times New Roman"/>
                <w:b w:val="0"/>
                <w:bCs w:val="0"/>
                <w:color w:val="000000" w:themeColor="text1"/>
                <w:sz w:val="24"/>
                <w:szCs w:val="24"/>
                <w14:textFill>
                  <w14:solidFill>
                    <w14:schemeClr w14:val="tx1"/>
                  </w14:solidFill>
                </w14:textFill>
              </w:rPr>
            </w:pPr>
            <w:r>
              <w:rPr>
                <w:rFonts w:hint="default" w:ascii="Times New Roman" w:hAnsi="Times New Roman" w:cs="Times New Roman"/>
                <w:b w:val="0"/>
                <w:bCs w:val="0"/>
                <w:color w:val="000000" w:themeColor="text1"/>
                <w:sz w:val="24"/>
                <w:szCs w:val="24"/>
                <w14:textFill>
                  <w14:solidFill>
                    <w14:schemeClr w14:val="tx1"/>
                  </w14:solidFill>
                </w14:textFill>
              </w:rPr>
              <w:t>表1-1  项目与产业政策相符性分析表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2430"/>
              <w:gridCol w:w="3992"/>
              <w:gridCol w:w="1710"/>
              <w:gridCol w:w="139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 称</w:t>
                  </w:r>
                </w:p>
              </w:tc>
              <w:tc>
                <w:tcPr>
                  <w:tcW w:w="209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相关内容</w:t>
                  </w:r>
                </w:p>
              </w:tc>
              <w:tc>
                <w:tcPr>
                  <w:tcW w:w="89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项目情况</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《产业结构调整指导目录（2019年本）》</w:t>
                  </w:r>
                </w:p>
              </w:tc>
              <w:tc>
                <w:tcPr>
                  <w:tcW w:w="2096" w:type="pct"/>
                  <w:tcBorders>
                    <w:tl2br w:val="nil"/>
                    <w:tr2bl w:val="nil"/>
                  </w:tcBorders>
                  <w:tcMar>
                    <w:top w:w="15" w:type="dxa"/>
                    <w:left w:w="15" w:type="dxa"/>
                    <w:bottom w:w="0" w:type="dxa"/>
                    <w:right w:w="15" w:type="dxa"/>
                  </w:tcMar>
                  <w:vAlign w:val="center"/>
                </w:tcPr>
                <w:p>
                  <w:pPr>
                    <w:pStyle w:val="16"/>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第一类 鼓励类</w:t>
                  </w:r>
                  <w:r>
                    <w:rPr>
                      <w:rFonts w:hint="eastAsia" w:ascii="Times New Roman" w:hAnsi="Times New Roman" w:cs="Times New Roman"/>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六、核能</w:t>
                  </w:r>
                  <w:r>
                    <w:rPr>
                      <w:rFonts w:hint="eastAsia" w:ascii="Times New Roman" w:hAnsi="Times New Roman" w:cs="Times New Roman"/>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1、铀矿地质勘查和铀矿采冶、铀精制、铀转化</w:t>
                  </w:r>
                </w:p>
              </w:tc>
              <w:tc>
                <w:tcPr>
                  <w:tcW w:w="898" w:type="pct"/>
                  <w:tcBorders>
                    <w:tl2br w:val="nil"/>
                    <w:tr2bl w:val="nil"/>
                  </w:tcBorders>
                  <w:tcMar>
                    <w:top w:w="15" w:type="dxa"/>
                    <w:left w:w="15" w:type="dxa"/>
                    <w:bottom w:w="0" w:type="dxa"/>
                    <w:right w:w="15" w:type="dxa"/>
                  </w:tcMar>
                  <w:vAlign w:val="center"/>
                </w:tcPr>
                <w:p>
                  <w:pPr>
                    <w:pStyle w:val="16"/>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铀矿地质勘查</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鼓励类</w:t>
                  </w:r>
                </w:p>
              </w:tc>
            </w:tr>
          </w:tbl>
          <w:p>
            <w:pPr>
              <w:numPr>
                <w:ilvl w:val="0"/>
                <w:numId w:val="0"/>
              </w:numPr>
              <w:spacing w:line="360" w:lineRule="auto"/>
              <w:ind w:leftChars="0"/>
              <w:rPr>
                <w:b/>
                <w:bCs/>
                <w:color w:val="000000" w:themeColor="text1"/>
                <w:sz w:val="24"/>
                <w:lang w:val="en-GB"/>
                <w14:textFill>
                  <w14:solidFill>
                    <w14:schemeClr w14:val="tx1"/>
                  </w14:solidFill>
                </w14:textFill>
              </w:rPr>
            </w:pPr>
            <w:r>
              <w:rPr>
                <w:rFonts w:hint="eastAsia"/>
                <w:b/>
                <w:bCs/>
                <w:color w:val="000000" w:themeColor="text1"/>
                <w:sz w:val="24"/>
                <w:lang w:val="en-US" w:eastAsia="zh-CN"/>
                <w14:textFill>
                  <w14:solidFill>
                    <w14:schemeClr w14:val="tx1"/>
                  </w14:solidFill>
                </w14:textFill>
              </w:rPr>
              <w:t>2.3</w:t>
            </w:r>
            <w:r>
              <w:rPr>
                <w:rFonts w:hint="eastAsia"/>
                <w:b/>
                <w:bCs/>
                <w:color w:val="000000" w:themeColor="text1"/>
                <w:sz w:val="24"/>
                <w:lang w:val="en-GB"/>
                <w14:textFill>
                  <w14:solidFill>
                    <w14:schemeClr w14:val="tx1"/>
                  </w14:solidFill>
                </w14:textFill>
              </w:rPr>
              <w:t>与相关区划、规划符合性分析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本项目勘查区地跨内蒙古自治区阿拉善盟及甘肃省张掖市、武威市、酒泉市、嘉峪关市和金昌市，因此本次评价分区域进行相关规划符合性分析。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（1）与甘肃省相关规划符合性分析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①与《甘肃省主体功能区规划》符合性分析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根据《甘肃省主体功能区规划》，将甘肃省划分为重点开发区域、限制开发区域和禁止开发区域三类。</w:t>
            </w:r>
          </w:p>
          <w:p>
            <w:pPr>
              <w:pStyle w:val="9"/>
              <w:spacing w:after="0" w:line="360" w:lineRule="auto"/>
              <w:ind w:left="0"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cs="Times New Roman"/>
                <w:b w:val="0"/>
                <w:bCs w:val="0"/>
                <w:color w:val="000000" w:themeColor="text1"/>
                <w:kern w:val="2"/>
                <w:sz w:val="24"/>
                <w:szCs w:val="24"/>
                <w:lang w:val="en-US" w:eastAsia="zh-CN" w:bidi="ar-SA"/>
                <w14:textFill>
                  <w14:solidFill>
                    <w14:schemeClr w14:val="tx1"/>
                  </w14:solidFill>
                </w14:textFill>
              </w:rPr>
              <w:t>A.</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巴丹吉林盆地</w:t>
            </w:r>
          </w:p>
          <w:p>
            <w:pPr>
              <w:pStyle w:val="9"/>
              <w:spacing w:after="0" w:line="360" w:lineRule="auto"/>
              <w:ind w:left="0"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巴丹吉林盆地</w:t>
            </w:r>
            <w:r>
              <w:rPr>
                <w:rFonts w:hint="eastAsia" w:cs="Times New Roman"/>
                <w:b w:val="0"/>
                <w:bCs w:val="0"/>
                <w:color w:val="000000" w:themeColor="text1"/>
                <w:kern w:val="2"/>
                <w:sz w:val="24"/>
                <w:szCs w:val="24"/>
                <w:lang w:val="en-US" w:eastAsia="zh-CN" w:bidi="ar-SA"/>
                <w14:textFill>
                  <w14:solidFill>
                    <w14:schemeClr w14:val="tx1"/>
                  </w14:solidFill>
                </w14:textFill>
              </w:rPr>
              <w:t>属甘肃省</w:t>
            </w:r>
            <w:r>
              <w:rPr>
                <w:rFonts w:hint="eastAsia"/>
                <w:color w:val="000000" w:themeColor="text1"/>
                <w:sz w:val="24"/>
                <w:lang w:val="en-US" w:eastAsia="zh-CN"/>
                <w14:textFill>
                  <w14:solidFill>
                    <w14:schemeClr w14:val="tx1"/>
                  </w14:solidFill>
                </w14:textFill>
              </w:rPr>
              <w:t>河西农产品主产区（限制开发区域-国家农产品主产区）、内蒙古自治区沙漠防治区（限制开发区域-自治区级重点生态功能区）。</w:t>
            </w:r>
          </w:p>
          <w:p>
            <w:pPr>
              <w:pStyle w:val="9"/>
              <w:spacing w:after="0" w:line="360" w:lineRule="auto"/>
              <w:ind w:left="0" w:leftChars="0"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cs="Times New Roman"/>
                <w:b w:val="0"/>
                <w:bCs w:val="0"/>
                <w:color w:val="000000" w:themeColor="text1"/>
                <w:kern w:val="2"/>
                <w:sz w:val="24"/>
                <w:szCs w:val="24"/>
                <w:lang w:val="en-US" w:eastAsia="zh-CN" w:bidi="ar-SA"/>
                <w14:textFill>
                  <w14:solidFill>
                    <w14:schemeClr w14:val="tx1"/>
                  </w14:solidFill>
                </w14:textFill>
              </w:rPr>
              <w:t>B.</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潮水盆地</w:t>
            </w:r>
          </w:p>
          <w:p>
            <w:pPr>
              <w:pStyle w:val="9"/>
              <w:spacing w:after="0" w:line="360" w:lineRule="auto"/>
              <w:ind w:left="0"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潮水盆地</w:t>
            </w:r>
            <w:r>
              <w:rPr>
                <w:rFonts w:hint="eastAsia" w:cs="Times New Roman"/>
                <w:b w:val="0"/>
                <w:bCs w:val="0"/>
                <w:color w:val="000000" w:themeColor="text1"/>
                <w:kern w:val="2"/>
                <w:sz w:val="24"/>
                <w:szCs w:val="24"/>
                <w:lang w:val="en-US" w:eastAsia="zh-CN" w:bidi="ar-SA"/>
                <w14:textFill>
                  <w14:solidFill>
                    <w14:schemeClr w14:val="tx1"/>
                  </w14:solidFill>
                </w14:textFill>
              </w:rPr>
              <w:t>属</w:t>
            </w:r>
            <w:r>
              <w:rPr>
                <w:rFonts w:hint="eastAsia"/>
                <w:color w:val="000000" w:themeColor="text1"/>
                <w:sz w:val="24"/>
                <w:lang w:val="en-US" w:eastAsia="zh-CN"/>
                <w14:textFill>
                  <w14:solidFill>
                    <w14:schemeClr w14:val="tx1"/>
                  </w14:solidFill>
                </w14:textFill>
              </w:rPr>
              <w:t>祁连山冰川与水源涵养生态功能区（限制开发区域-国家重点生态功能区）、张掖（甘州-临泽）地区（省级重点开发区域）、金武（金昌-武威）地区（省级重点开发区域）、石羊和下游生态保护治理区（限制开发区域-国家重点生态功能区）。</w:t>
            </w:r>
          </w:p>
          <w:p>
            <w:pPr>
              <w:pStyle w:val="9"/>
              <w:spacing w:after="0" w:line="360" w:lineRule="auto"/>
              <w:ind w:left="0" w:leftChars="0"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cs="Times New Roman"/>
                <w:b w:val="0"/>
                <w:bCs w:val="0"/>
                <w:color w:val="000000" w:themeColor="text1"/>
                <w:kern w:val="2"/>
                <w:sz w:val="24"/>
                <w:szCs w:val="24"/>
                <w:lang w:val="en-US" w:eastAsia="zh-CN" w:bidi="ar-SA"/>
                <w14:textFill>
                  <w14:solidFill>
                    <w14:schemeClr w14:val="tx1"/>
                  </w14:solidFill>
                </w14:textFill>
              </w:rPr>
              <w:t>C.</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走廊盆地</w:t>
            </w:r>
          </w:p>
          <w:p>
            <w:pPr>
              <w:pStyle w:val="9"/>
              <w:spacing w:after="0" w:line="360" w:lineRule="auto"/>
              <w:ind w:left="0"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走廊盆地</w:t>
            </w:r>
            <w:r>
              <w:rPr>
                <w:rFonts w:hint="eastAsia" w:cs="Times New Roman"/>
                <w:b w:val="0"/>
                <w:bCs w:val="0"/>
                <w:color w:val="000000" w:themeColor="text1"/>
                <w:kern w:val="2"/>
                <w:sz w:val="24"/>
                <w:szCs w:val="24"/>
                <w:lang w:val="en-US" w:eastAsia="zh-CN" w:bidi="ar-SA"/>
                <w14:textFill>
                  <w14:solidFill>
                    <w14:schemeClr w14:val="tx1"/>
                  </w14:solidFill>
                </w14:textFill>
              </w:rPr>
              <w:t>属</w:t>
            </w:r>
            <w:r>
              <w:rPr>
                <w:rFonts w:hint="eastAsia"/>
                <w:color w:val="000000" w:themeColor="text1"/>
                <w:sz w:val="24"/>
                <w:lang w:val="en-US" w:eastAsia="zh-CN"/>
                <w14:textFill>
                  <w14:solidFill>
                    <w14:schemeClr w14:val="tx1"/>
                  </w14:solidFill>
                </w14:textFill>
              </w:rPr>
              <w:t>祁连山冰川与水源涵养生态功能区（限制开发区域-国家重点生态功能区）、敦煌生态环境和文化遗产保护区（限制开发区域-省级重点生态功能区）、河西农产品主产区（限制开发区域-国家农产品主产区）、酒嘉（酒泉-嘉峪关）地区（省级重点开发区域）。</w:t>
            </w:r>
          </w:p>
          <w:p>
            <w:pPr>
              <w:pStyle w:val="9"/>
              <w:spacing w:after="0" w:line="360" w:lineRule="auto"/>
              <w:ind w:left="0"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cs="Times New Roman"/>
                <w:b w:val="0"/>
                <w:bCs w:val="0"/>
                <w:color w:val="000000" w:themeColor="text1"/>
                <w:kern w:val="2"/>
                <w:sz w:val="24"/>
                <w:szCs w:val="24"/>
                <w:lang w:val="en-US" w:eastAsia="zh-CN" w:bidi="ar-SA"/>
                <w14:textFill>
                  <w14:solidFill>
                    <w14:schemeClr w14:val="tx1"/>
                  </w14:solidFill>
                </w14:textFill>
              </w:rPr>
              <w:t>D.</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武腾盆地</w:t>
            </w:r>
          </w:p>
          <w:p>
            <w:pPr>
              <w:pStyle w:val="9"/>
              <w:spacing w:after="0" w:line="360" w:lineRule="auto"/>
              <w:ind w:left="0"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武腾盆地</w:t>
            </w:r>
            <w:r>
              <w:rPr>
                <w:rFonts w:hint="eastAsia" w:cs="Times New Roman"/>
                <w:b w:val="0"/>
                <w:bCs w:val="0"/>
                <w:color w:val="000000" w:themeColor="text1"/>
                <w:kern w:val="2"/>
                <w:sz w:val="24"/>
                <w:szCs w:val="24"/>
                <w:lang w:val="en-US" w:eastAsia="zh-CN" w:bidi="ar-SA"/>
                <w14:textFill>
                  <w14:solidFill>
                    <w14:schemeClr w14:val="tx1"/>
                  </w14:solidFill>
                </w14:textFill>
              </w:rPr>
              <w:t>属</w:t>
            </w:r>
            <w:r>
              <w:rPr>
                <w:rFonts w:hint="eastAsia"/>
                <w:color w:val="000000" w:themeColor="text1"/>
                <w:sz w:val="24"/>
                <w:lang w:val="en-US" w:eastAsia="zh-CN"/>
                <w14:textFill>
                  <w14:solidFill>
                    <w14:schemeClr w14:val="tx1"/>
                  </w14:solidFill>
                </w14:textFill>
              </w:rPr>
              <w:t>祁连山冰川与水源涵养生态功能区（限制开发区域-国家重点生态功能区）、金武（金昌-武威）地区（省级重点开发区域）、内蒙古自治区沙漠防治区（限制开发区域-自治区级重点生态功能区）。</w:t>
            </w:r>
          </w:p>
          <w:p>
            <w:pPr>
              <w:pStyle w:val="9"/>
              <w:spacing w:after="0" w:line="360" w:lineRule="auto"/>
              <w:ind w:left="0"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cs="Times New Roman"/>
                <w:b w:val="0"/>
                <w:bCs w:val="0"/>
                <w:color w:val="000000" w:themeColor="text1"/>
                <w:kern w:val="2"/>
                <w:sz w:val="24"/>
                <w:szCs w:val="24"/>
                <w:lang w:val="en-US" w:eastAsia="zh-CN" w:bidi="ar-SA"/>
                <w14:textFill>
                  <w14:solidFill>
                    <w14:schemeClr w14:val="tx1"/>
                  </w14:solidFill>
                </w14:textFill>
              </w:rPr>
              <w:t>E.</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北山地区</w:t>
            </w:r>
          </w:p>
          <w:p>
            <w:pPr>
              <w:pStyle w:val="9"/>
              <w:spacing w:after="0" w:line="360" w:lineRule="auto"/>
              <w:ind w:left="0" w:leftChars="0" w:firstLine="480" w:firstLineChars="200"/>
              <w:rPr>
                <w:rFonts w:hint="default"/>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北山地区</w:t>
            </w:r>
            <w:r>
              <w:rPr>
                <w:rFonts w:hint="eastAsia" w:cs="Times New Roman"/>
                <w:b w:val="0"/>
                <w:bCs w:val="0"/>
                <w:color w:val="000000" w:themeColor="text1"/>
                <w:kern w:val="2"/>
                <w:sz w:val="24"/>
                <w:szCs w:val="24"/>
                <w:lang w:val="en-US" w:eastAsia="zh-CN" w:bidi="ar-SA"/>
                <w14:textFill>
                  <w14:solidFill>
                    <w14:schemeClr w14:val="tx1"/>
                  </w14:solidFill>
                </w14:textFill>
              </w:rPr>
              <w:t>属</w:t>
            </w:r>
            <w:r>
              <w:rPr>
                <w:rFonts w:hint="eastAsia"/>
                <w:color w:val="000000" w:themeColor="text1"/>
                <w:sz w:val="24"/>
                <w:lang w:val="en-US" w:eastAsia="zh-CN"/>
                <w14:textFill>
                  <w14:solidFill>
                    <w14:schemeClr w14:val="tx1"/>
                  </w14:solidFill>
                </w14:textFill>
              </w:rPr>
              <w:t>肃北北部荒漠生态保护区（限制开发区域-省级重点生态功能区）和河西农产品主产区（限制开发区域-国家农产品主产区）。</w:t>
            </w:r>
          </w:p>
          <w:p>
            <w:pPr>
              <w:pStyle w:val="9"/>
              <w:spacing w:after="0" w:line="360" w:lineRule="auto"/>
              <w:ind w:left="0" w:leftChars="0" w:firstLine="480" w:firstLineChars="200"/>
              <w:rPr>
                <w:rFonts w:hint="default"/>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甘肃省分布有20个自然保护区（甘肃张掖黑河湿地国家级自然保护区、民勤连古城国家自然保护区、甘肃安南坝野骆驼国家自然保护区、甘肃敦煌阳关国家级自然保护区、甘肃安西县极旱荒漠国家级自然保护区、甘肃盐池湾国家级自然保护区、祁连山国家级自然保护区、甘肃东大山省级自然保护区、甘肃龙首山省级自然保护区、甘肃芨芨泉省级自然保护区、甘肃瓜州县塘敦湖省级自然保护区、</w:t>
            </w:r>
            <w:r>
              <w:rPr>
                <w:rFonts w:hint="eastAsia"/>
                <w:b w:val="0"/>
                <w:bCs/>
                <w:color w:val="000000" w:themeColor="text1"/>
                <w:sz w:val="24"/>
                <w:lang w:val="en-US" w:eastAsia="zh-CN"/>
                <w14:textFill>
                  <w14:solidFill>
                    <w14:schemeClr w14:val="tx1"/>
                  </w14:solidFill>
                </w14:textFill>
              </w:rPr>
              <w:t>甘肃沙枣园子省级自然保护区</w:t>
            </w:r>
            <w:r>
              <w:rPr>
                <w:rFonts w:hint="eastAsia"/>
                <w:bCs/>
                <w:color w:val="000000" w:themeColor="text1"/>
                <w:sz w:val="24"/>
                <w:lang w:val="en-US" w:eastAsia="zh-CN"/>
                <w14:textFill>
                  <w14:solidFill>
                    <w14:schemeClr w14:val="tx1"/>
                  </w14:solidFill>
                </w14:textFill>
              </w:rPr>
              <w:t>、肃北马鬃山北山羊省级自然保护区、</w:t>
            </w:r>
            <w:r>
              <w:rPr>
                <w:rFonts w:hint="eastAsia"/>
                <w:b w:val="0"/>
                <w:bCs/>
                <w:color w:val="000000" w:themeColor="text1"/>
                <w:sz w:val="24"/>
                <w:lang w:val="en-US" w:eastAsia="zh-CN"/>
                <w14:textFill>
                  <w14:solidFill>
                    <w14:schemeClr w14:val="tx1"/>
                  </w14:solidFill>
                </w14:textFill>
              </w:rPr>
              <w:t>甘肃玉门南山省级自然保护区、甘肃敦煌西湖自然保护区、甘肃昌马河省级自然保护区、甘肃干海子省级自然保护区、</w:t>
            </w:r>
            <w:r>
              <w:rPr>
                <w:rFonts w:hint="eastAsia"/>
                <w:bCs/>
                <w:color w:val="000000" w:themeColor="text1"/>
                <w:sz w:val="24"/>
                <w:lang w:val="en-US" w:eastAsia="zh-CN"/>
                <w14:textFill>
                  <w14:solidFill>
                    <w14:schemeClr w14:val="tx1"/>
                  </w14:solidFill>
                </w14:textFill>
              </w:rPr>
              <w:t>甘肃省疏勒河中下游省级自然保护区、甘肃敦煌雅丹自然保护区、甘肃马鬃山自然保护区）、2个风景名胜区（鸣沙山、月牙泉景区）、6个地质公园（敦煌世界地质公园、甘肃敦煌雅丹国家地质公园、玉门硅化木省级地质公园、肃北公婆泉恐龙地质公园、永昌县北海子湿地省级地质公园、金塔黑河省级质公园），1个森林公园（敦煌市阳关沙漠森林公园）、2个水源地（嘉峪关饮用水水源保护区、北大河饮用水水源保护区）、2个世界文化遗产（甘肃敦煌莫高窟、甘肃嘉峪关关城），属于禁止开发区域。</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》相符性分析见下表1-2，勘查区与甘肃省主体功能区规划关系图见附图1。</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表1-2  </w:t>
            </w:r>
            <w:r>
              <w:rPr>
                <w:rFonts w:hint="eastAsia"/>
                <w:bCs/>
                <w:color w:val="000000" w:themeColor="text1"/>
                <w:sz w:val="24"/>
                <w:lang w:val="en-US" w:eastAsia="zh-CN"/>
                <w14:textFill>
                  <w14:solidFill>
                    <w14:schemeClr w14:val="tx1"/>
                  </w14:solidFill>
                </w14:textFill>
              </w:rPr>
              <w:t>项目与《甘肃省主体功能区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》相符性分析表</w:t>
            </w:r>
          </w:p>
          <w:tbl>
            <w:tblPr>
              <w:tblStyle w:val="12"/>
              <w:tblW w:w="9543" w:type="dxa"/>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58"/>
              <w:gridCol w:w="5004"/>
              <w:gridCol w:w="2103"/>
              <w:gridCol w:w="12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58" w:type="dxa"/>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5004" w:type="dxa"/>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2103" w:type="dxa"/>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1278" w:type="dxa"/>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1158" w:type="dxa"/>
                  <w:vMerge w:val="restar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default"/>
                      <w:color w:val="000000" w:themeColor="text1"/>
                      <w:sz w:val="21"/>
                      <w:szCs w:val="21"/>
                      <w:vertAlign w:val="baseline"/>
                      <w:lang w:val="en-US" w:eastAsia="zh-CN"/>
                      <w14:textFill>
                        <w14:solidFill>
                          <w14:schemeClr w14:val="tx1"/>
                        </w14:solidFill>
                      </w14:textFill>
                    </w:rPr>
                    <w:t>《</w:t>
                  </w:r>
                  <w:r>
                    <w:rPr>
                      <w:rFonts w:hint="eastAsia"/>
                      <w:color w:val="000000" w:themeColor="text1"/>
                      <w:sz w:val="21"/>
                      <w:szCs w:val="21"/>
                      <w:vertAlign w:val="baseline"/>
                      <w:lang w:val="en-US" w:eastAsia="zh-CN"/>
                      <w14:textFill>
                        <w14:solidFill>
                          <w14:schemeClr w14:val="tx1"/>
                        </w14:solidFill>
                      </w14:textFill>
                    </w:rPr>
                    <w:t>甘肃</w:t>
                  </w:r>
                  <w:r>
                    <w:rPr>
                      <w:rFonts w:hint="default"/>
                      <w:color w:val="000000" w:themeColor="text1"/>
                      <w:sz w:val="21"/>
                      <w:szCs w:val="21"/>
                      <w:vertAlign w:val="baseline"/>
                      <w:lang w:val="en-US" w:eastAsia="zh-CN"/>
                      <w14:textFill>
                        <w14:solidFill>
                          <w14:schemeClr w14:val="tx1"/>
                        </w14:solidFill>
                      </w14:textFill>
                    </w:rPr>
                    <w:t>省主体功能区规划》</w:t>
                  </w:r>
                </w:p>
              </w:tc>
              <w:tc>
                <w:tcPr>
                  <w:tcW w:w="5004" w:type="dxa"/>
                  <w:tcBorders>
                    <w:tl2br w:val="nil"/>
                    <w:tr2bl w:val="nil"/>
                  </w:tcBorders>
                </w:tcPr>
                <w:p>
                  <w:pPr>
                    <w:spacing w:line="240" w:lineRule="auto"/>
                    <w:ind w:firstLine="420" w:firstLineChars="200"/>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重点开发区域：以基础设施为先导、特色优势产业为支撑、区域中心城市为依托，突出各自特色，加强优势互补，强化区域和区际联系，增强区域产业配套能力，形成若干产业高地，进一步壮大中心城市的经济规模，使之成为集聚经济和人口、参与国家产业分工和支撑全省经济持续增长的主体区域。</w:t>
                  </w:r>
                </w:p>
              </w:tc>
              <w:tc>
                <w:tcPr>
                  <w:tcW w:w="2103" w:type="dxa"/>
                  <w:tcBorders>
                    <w:tl2br w:val="nil"/>
                    <w:tr2bl w:val="nil"/>
                  </w:tcBorders>
                  <w:vAlign w:val="center"/>
                </w:tcPr>
                <w:p>
                  <w:pPr>
                    <w:spacing w:line="240" w:lineRule="auto"/>
                    <w:jc w:val="left"/>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本项目涉及的张掖市、武威市、酒泉市、嘉峪关市和金昌市区域属于重点开发区域</w:t>
                  </w:r>
                </w:p>
              </w:tc>
              <w:tc>
                <w:tcPr>
                  <w:tcW w:w="1278" w:type="dxa"/>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1158" w:type="dxa"/>
                  <w:vMerge w:val="continue"/>
                  <w:tcBorders>
                    <w:tl2br w:val="nil"/>
                    <w:tr2bl w:val="nil"/>
                  </w:tcBorders>
                  <w:vAlign w:val="center"/>
                </w:tcPr>
                <w:p>
                  <w:pPr>
                    <w:spacing w:line="240" w:lineRule="auto"/>
                    <w:ind w:firstLine="420" w:firstLineChars="200"/>
                    <w:rPr>
                      <w:color w:val="000000" w:themeColor="text1"/>
                      <w14:textFill>
                        <w14:solidFill>
                          <w14:schemeClr w14:val="tx1"/>
                        </w14:solidFill>
                      </w14:textFill>
                    </w:rPr>
                  </w:pPr>
                </w:p>
              </w:tc>
              <w:tc>
                <w:tcPr>
                  <w:tcW w:w="5004" w:type="dxa"/>
                  <w:tcBorders>
                    <w:tl2br w:val="nil"/>
                    <w:tr2bl w:val="nil"/>
                  </w:tcBorders>
                  <w:vAlign w:val="center"/>
                </w:tcPr>
                <w:p>
                  <w:pPr>
                    <w:spacing w:line="240" w:lineRule="auto"/>
                    <w:ind w:firstLine="420" w:firstLineChars="200"/>
                    <w:jc w:val="left"/>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限制开发区域：坚持保护优先、适度开发、点状发展，统筹开发与治理工作，加强基础设施建设，提高基本公共服务水平，因地制宜发展资源环境可承载的特色产业，加强生态修复和环境保护，引导超载人口有序转移，使其成为保障农产品安全的重要基地，保障生态安全的重要区域。</w:t>
                  </w:r>
                </w:p>
              </w:tc>
              <w:tc>
                <w:tcPr>
                  <w:tcW w:w="2103" w:type="dxa"/>
                  <w:tcBorders>
                    <w:tl2br w:val="nil"/>
                    <w:tr2bl w:val="nil"/>
                  </w:tcBorders>
                  <w:vAlign w:val="center"/>
                </w:tcPr>
                <w:p>
                  <w:pPr>
                    <w:spacing w:line="240" w:lineRule="auto"/>
                    <w:ind w:firstLine="420" w:firstLineChars="200"/>
                    <w:rPr>
                      <w:rFonts w:hint="eastAsia"/>
                      <w:color w:val="000000" w:themeColor="text1"/>
                      <w:sz w:val="21"/>
                      <w:szCs w:val="21"/>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本项目属铀矿地质勘查，污染物产生量小，开发活动均为临时占地，采取生态保护与恢复措施，不会损害生态系统的稳定性和完整性，基本不会影响区域水源涵养功能</w:t>
                  </w:r>
                </w:p>
              </w:tc>
              <w:tc>
                <w:tcPr>
                  <w:tcW w:w="1278" w:type="dxa"/>
                  <w:tcBorders>
                    <w:tl2br w:val="nil"/>
                    <w:tr2bl w:val="nil"/>
                  </w:tcBorders>
                  <w:vAlign w:val="center"/>
                </w:tcPr>
                <w:p>
                  <w:pPr>
                    <w:spacing w:line="240" w:lineRule="auto"/>
                    <w:ind w:firstLine="420" w:firstLineChars="200"/>
                    <w:rPr>
                      <w:rFonts w:hint="eastAsia"/>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58" w:type="dxa"/>
                  <w:vMerge w:val="continue"/>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p>
              </w:tc>
              <w:tc>
                <w:tcPr>
                  <w:tcW w:w="5004" w:type="dxa"/>
                  <w:tcBorders>
                    <w:tl2br w:val="nil"/>
                    <w:tr2bl w:val="nil"/>
                  </w:tcBorders>
                </w:tcPr>
                <w:p>
                  <w:pPr>
                    <w:spacing w:line="240" w:lineRule="auto"/>
                    <w:ind w:firstLine="420" w:firstLineChars="200"/>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禁止开发区域：点状分布的生态功能区，文化自然遗产保护的重要</w:t>
                  </w:r>
                  <w:r>
                    <w:rPr>
                      <w:rFonts w:hint="default"/>
                      <w:color w:val="000000" w:themeColor="text1"/>
                      <w:sz w:val="21"/>
                      <w:szCs w:val="21"/>
                      <w:lang w:val="en-US" w:eastAsia="zh-CN"/>
                      <w14:textFill>
                        <w14:solidFill>
                          <w14:schemeClr w14:val="tx1"/>
                        </w14:solidFill>
                      </w14:textFill>
                    </w:rPr>
                    <w:t>区域，珍稀动植物基因资源保护地。</w:t>
                  </w:r>
                </w:p>
              </w:tc>
              <w:tc>
                <w:tcPr>
                  <w:tcW w:w="2103" w:type="dxa"/>
                  <w:tcBorders>
                    <w:tl2br w:val="nil"/>
                    <w:tr2bl w:val="nil"/>
                  </w:tcBorders>
                  <w:vAlign w:val="center"/>
                </w:tcPr>
                <w:p>
                  <w:pPr>
                    <w:spacing w:line="240" w:lineRule="auto"/>
                    <w:jc w:val="left"/>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本项目勘查工程不在禁止开发区域内布置</w:t>
                  </w:r>
                </w:p>
              </w:tc>
              <w:tc>
                <w:tcPr>
                  <w:tcW w:w="1278" w:type="dxa"/>
                  <w:tcBorders>
                    <w:tl2br w:val="nil"/>
                    <w:tr2bl w:val="nil"/>
                  </w:tcBorders>
                  <w:vAlign w:val="center"/>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bl>
          <w:p>
            <w:pPr>
              <w:keepNext w:val="0"/>
              <w:keepLines w:val="0"/>
              <w:widowControl/>
              <w:suppressLineNumbers w:val="0"/>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szCs w:val="24"/>
                <w:lang w:val="en-US" w:eastAsia="zh-CN" w:bidi="ar"/>
                <w14:textFill>
                  <w14:solidFill>
                    <w14:schemeClr w14:val="tx1"/>
                  </w14:solidFill>
                </w14:textFill>
              </w:rPr>
              <w:t>②</w:t>
            </w:r>
            <w:r>
              <w:rPr>
                <w:rFonts w:hint="eastAsia" w:ascii="宋体" w:hAnsi="宋体" w:eastAsia="宋体" w:cs="宋体"/>
                <w:color w:val="000000" w:themeColor="text1"/>
                <w:kern w:val="0"/>
                <w:sz w:val="24"/>
                <w:szCs w:val="24"/>
                <w:lang w:val="en-US" w:eastAsia="zh-CN" w:bidi="ar"/>
                <w14:textFill>
                  <w14:solidFill>
                    <w14:schemeClr w14:val="tx1"/>
                  </w14:solidFill>
                </w14:textFill>
              </w:rPr>
              <w:t>与《甘肃省矿产资源总体规划（</w:t>
            </w:r>
            <w:r>
              <w:rPr>
                <w:rFonts w:ascii="TimesNewRomanPSMT" w:hAnsi="TimesNewRomanPSMT" w:eastAsia="TimesNewRomanPSMT" w:cs="TimesNewRomanPSMT"/>
                <w:color w:val="000000" w:themeColor="text1"/>
                <w:kern w:val="0"/>
                <w:sz w:val="24"/>
                <w:szCs w:val="24"/>
                <w:lang w:val="en-US" w:eastAsia="zh-CN" w:bidi="ar"/>
                <w14:textFill>
                  <w14:solidFill>
                    <w14:schemeClr w14:val="tx1"/>
                  </w14:solidFill>
                </w14:textFill>
              </w:rPr>
              <w:t>2016-2020</w:t>
            </w:r>
            <w:r>
              <w:rPr>
                <w:rFonts w:hint="eastAsia" w:ascii="宋体" w:hAnsi="宋体" w:eastAsia="宋体" w:cs="宋体"/>
                <w:color w:val="000000" w:themeColor="text1"/>
                <w:kern w:val="0"/>
                <w:sz w:val="24"/>
                <w:szCs w:val="24"/>
                <w:lang w:val="en-US" w:eastAsia="zh-CN" w:bidi="ar"/>
                <w14:textFill>
                  <w14:solidFill>
                    <w14:schemeClr w14:val="tx1"/>
                  </w14:solidFill>
                </w14:textFill>
              </w:rPr>
              <w:t>）》的符合性分析</w:t>
            </w:r>
          </w:p>
          <w:p>
            <w:pPr>
              <w:keepNext w:val="0"/>
              <w:keepLines w:val="0"/>
              <w:widowControl/>
              <w:suppressLineNumbers w:val="0"/>
              <w:spacing w:line="360" w:lineRule="auto"/>
              <w:ind w:firstLine="480" w:firstLineChars="200"/>
              <w:jc w:val="left"/>
              <w:rPr>
                <w:rFonts w:hint="default" w:ascii="Times New Roman" w:hAnsi="Times New Roman" w:cs="Times New Roman"/>
                <w:color w:val="000000" w:themeColor="text1"/>
                <w:lang w:val="en-US"/>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项目与《甘肃省矿产资源总体规划（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表</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1-</w:t>
            </w:r>
            <w:r>
              <w:rPr>
                <w:rFonts w:hint="eastAsia" w:cs="Times New Roman"/>
                <w:color w:val="000000" w:themeColor="text1"/>
                <w:kern w:val="0"/>
                <w:sz w:val="24"/>
                <w:szCs w:val="24"/>
                <w:lang w:val="en-US" w:eastAsia="zh-CN" w:bidi="ar"/>
                <w14:textFill>
                  <w14:solidFill>
                    <w14:schemeClr w14:val="tx1"/>
                  </w14:solidFill>
                </w14:textFill>
              </w:rPr>
              <w:t>3</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w:t>
            </w:r>
          </w:p>
          <w:p>
            <w:pPr>
              <w:spacing w:line="24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表1-3  </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项目与《甘肃省矿产资源总体规划（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表</w:t>
            </w:r>
          </w:p>
          <w:tbl>
            <w:tblPr>
              <w:tblStyle w:val="12"/>
              <w:tblW w:w="9543" w:type="dxa"/>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56"/>
              <w:gridCol w:w="4680"/>
              <w:gridCol w:w="1841"/>
              <w:gridCol w:w="12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56" w:type="dxa"/>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4680" w:type="dxa"/>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1841" w:type="dxa"/>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1266" w:type="dxa"/>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56" w:type="dxa"/>
                  <w:vMerge w:val="restar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《甘肃省矿产资源总体规划（</w:t>
                  </w:r>
                  <w:r>
                    <w:rPr>
                      <w:rFonts w:hint="default" w:ascii="Times New Roman" w:hAnsi="Times New Roman" w:eastAsia="TimesNewRomanPSMT" w:cs="Times New Roman"/>
                      <w:color w:val="000000" w:themeColor="text1"/>
                      <w:kern w:val="0"/>
                      <w:sz w:val="21"/>
                      <w:szCs w:val="21"/>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p>
              </w:tc>
              <w:tc>
                <w:tcPr>
                  <w:tcW w:w="4680" w:type="dxa"/>
                  <w:tcBorders>
                    <w:tl2br w:val="nil"/>
                    <w:tr2bl w:val="nil"/>
                  </w:tcBorders>
                </w:tcPr>
                <w:p>
                  <w:pPr>
                    <w:spacing w:line="240" w:lineRule="auto"/>
                    <w:rPr>
                      <w:rFonts w:hint="eastAsia"/>
                      <w:color w:val="000000" w:themeColor="text1"/>
                      <w:sz w:val="24"/>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以煤、铀、铜、铅、锌、镍、钴、铂族、金、钨、锑、凹凸棒石粘土、石膏、熔剂用灰岩、水泥用灰岩等优势和特色矿产资源为重点，加强镍、铜、铂族、金、凹凸棒石粘土等矿种的勘查开发。对于稀有和稀散金属、晶质石墨等资源基础好、市场潜力大、具有国际市场竞争力的战略性新兴产业矿产，加大勘查开发力度。</w:t>
                  </w:r>
                </w:p>
              </w:tc>
              <w:tc>
                <w:tcPr>
                  <w:tcW w:w="1841" w:type="dxa"/>
                  <w:vMerge w:val="restart"/>
                  <w:tcBorders>
                    <w:tl2br w:val="nil"/>
                    <w:tr2bl w:val="nil"/>
                  </w:tcBorders>
                  <w:vAlign w:val="center"/>
                </w:tcPr>
                <w:p>
                  <w:pPr>
                    <w:spacing w:line="240" w:lineRule="auto"/>
                    <w:jc w:val="both"/>
                    <w:rPr>
                      <w:rFonts w:hint="default"/>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本项目属铀矿资源勘查，铀属战略性矿产资源</w:t>
                  </w:r>
                </w:p>
              </w:tc>
              <w:tc>
                <w:tcPr>
                  <w:tcW w:w="1266" w:type="dxa"/>
                  <w:tcBorders>
                    <w:tl2br w:val="nil"/>
                    <w:tr2bl w:val="nil"/>
                  </w:tcBorders>
                  <w:vAlign w:val="center"/>
                </w:tcPr>
                <w:p>
                  <w:pPr>
                    <w:spacing w:line="240" w:lineRule="auto"/>
                    <w:jc w:val="center"/>
                    <w:rPr>
                      <w:rFonts w:hint="default"/>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1756" w:type="dxa"/>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4680" w:type="dxa"/>
                  <w:tcBorders>
                    <w:tl2br w:val="nil"/>
                    <w:tr2bl w:val="nil"/>
                  </w:tcBorders>
                  <w:vAlign w:val="center"/>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限制勘查甘南州及武威市的泥炭。</w:t>
                  </w:r>
                </w:p>
              </w:tc>
              <w:tc>
                <w:tcPr>
                  <w:tcW w:w="1841" w:type="dxa"/>
                  <w:vMerge w:val="continue"/>
                  <w:tcBorders>
                    <w:tl2br w:val="nil"/>
                    <w:tr2bl w:val="nil"/>
                  </w:tcBorders>
                  <w:vAlign w:val="center"/>
                </w:tcPr>
                <w:p>
                  <w:pPr>
                    <w:spacing w:line="240" w:lineRule="auto"/>
                    <w:jc w:val="both"/>
                    <w:rPr>
                      <w:rFonts w:hint="default"/>
                      <w:color w:val="000000" w:themeColor="text1"/>
                      <w:sz w:val="24"/>
                      <w:vertAlign w:val="baseline"/>
                      <w:lang w:val="en-US" w:eastAsia="zh-CN"/>
                      <w14:textFill>
                        <w14:solidFill>
                          <w14:schemeClr w14:val="tx1"/>
                        </w14:solidFill>
                      </w14:textFill>
                    </w:rPr>
                  </w:pPr>
                </w:p>
              </w:tc>
              <w:tc>
                <w:tcPr>
                  <w:tcW w:w="1266" w:type="dxa"/>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56" w:type="dxa"/>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4680" w:type="dxa"/>
                  <w:tcBorders>
                    <w:tl2br w:val="nil"/>
                    <w:tr2bl w:val="nil"/>
                  </w:tcBorders>
                  <w:vAlign w:val="center"/>
                </w:tcPr>
                <w:p>
                  <w:pPr>
                    <w:keepNext w:val="0"/>
                    <w:keepLines w:val="0"/>
                    <w:widowControl/>
                    <w:suppressLineNumbers w:val="0"/>
                    <w:jc w:val="center"/>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河西地区：</w:t>
                  </w:r>
                  <w:r>
                    <w:rPr>
                      <w:rFonts w:hint="eastAsia" w:ascii="宋体" w:hAnsi="宋体" w:eastAsia="宋体" w:cs="宋体"/>
                      <w:color w:val="000000" w:themeColor="text1"/>
                      <w:kern w:val="0"/>
                      <w:sz w:val="21"/>
                      <w:szCs w:val="21"/>
                      <w:lang w:val="en-US" w:eastAsia="zh-CN" w:bidi="ar"/>
                      <w14:textFill>
                        <w14:solidFill>
                          <w14:schemeClr w14:val="tx1"/>
                        </w14:solidFill>
                      </w14:textFill>
                    </w:rPr>
                    <w:t>包括酒泉市、嘉峪关市、张掖市、金昌市和武威市。该区是建设“丝绸之路经济带甘肃黄金段”的重要组成部分，是我国青藏高原生态屏障和北方防沙带的关键区域，也是我省矿产资源最为丰富的地区之一。该区位于北山、北祁连山西段、潮水盆地等重要成矿区带，要充分发挥有色金属、贵金属、稀有金属的资源优势，加大铀、铜、镍、铅、锌、钨、钼、金、银、稀土、铌钽等矿产资源勘查力度。坚持生态保护优先，加强矿产绿色勘查开发，调整产品结构，提高采选冶加工技术，加强矿产资源综合利用，加快矿业转型升级和绿色发展。</w:t>
                  </w:r>
                </w:p>
              </w:tc>
              <w:tc>
                <w:tcPr>
                  <w:tcW w:w="1841" w:type="dxa"/>
                  <w:tcBorders>
                    <w:tl2br w:val="nil"/>
                    <w:tr2bl w:val="nil"/>
                  </w:tcBorders>
                  <w:vAlign w:val="center"/>
                </w:tcPr>
                <w:p>
                  <w:pPr>
                    <w:keepNext w:val="0"/>
                    <w:keepLines w:val="0"/>
                    <w:widowControl/>
                    <w:suppressLineNumbers w:val="0"/>
                    <w:jc w:val="center"/>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color w:val="000000" w:themeColor="text1"/>
                      <w:kern w:val="0"/>
                      <w:sz w:val="21"/>
                      <w:szCs w:val="21"/>
                      <w:lang w:val="en-US" w:eastAsia="zh-CN" w:bidi="ar"/>
                      <w14:textFill>
                        <w14:solidFill>
                          <w14:schemeClr w14:val="tx1"/>
                        </w14:solidFill>
                      </w14:textFill>
                    </w:rPr>
                    <w:t>以生态保护优先：钻探施工作业前，剥离表土集中堆放拍实、采取必要的遮盖，作为钻探施工结束后复垦土源；钻探施工结束后，拆除钻井井架、平整钻井平台等迹地清理，覆土（利用施工前剥离土壤），再播撒当地常见适生草籽、恢复植被；泥浆池覆土掩埋，再播撒当地常见适生草籽、恢复植被</w:t>
                  </w:r>
                </w:p>
              </w:tc>
              <w:tc>
                <w:tcPr>
                  <w:tcW w:w="1266" w:type="dxa"/>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56" w:type="dxa"/>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4680" w:type="dxa"/>
                  <w:tcBorders>
                    <w:tl2br w:val="nil"/>
                    <w:tr2bl w:val="nil"/>
                  </w:tcBorders>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禁止勘查区：</w:t>
                  </w:r>
                  <w:r>
                    <w:rPr>
                      <w:rFonts w:hint="eastAsia" w:ascii="宋体" w:hAnsi="宋体" w:eastAsia="宋体" w:cs="宋体"/>
                      <w:color w:val="000000" w:themeColor="text1"/>
                      <w:kern w:val="0"/>
                      <w:sz w:val="21"/>
                      <w:szCs w:val="21"/>
                      <w:lang w:val="en-US" w:eastAsia="zh-CN" w:bidi="ar"/>
                      <w14:textFill>
                        <w14:solidFill>
                          <w14:schemeClr w14:val="tx1"/>
                        </w14:solidFill>
                      </w14:textFill>
                    </w:rPr>
                    <w:t>禁止在自然保护区的核心区、缓冲区和实验区内从事矿产资源勘查活动，自然保护区外围保护地带矿产资源勘查活动要严格环境保护准入。</w:t>
                  </w:r>
                </w:p>
              </w:tc>
              <w:tc>
                <w:tcPr>
                  <w:tcW w:w="1841" w:type="dxa"/>
                  <w:tcBorders>
                    <w:tl2br w:val="nil"/>
                    <w:tr2bl w:val="nil"/>
                  </w:tcBorders>
                  <w:vAlign w:val="center"/>
                </w:tcPr>
                <w:p>
                  <w:pPr>
                    <w:widowControl/>
                    <w:rPr>
                      <w:rFonts w:hint="eastAsia"/>
                      <w:color w:val="000000" w:themeColor="text1"/>
                      <w:sz w:val="24"/>
                      <w:vertAlign w:val="baseline"/>
                      <w:lang w:val="en-US" w:eastAsia="zh-CN"/>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勘查工程</w:t>
                  </w:r>
                  <w:r>
                    <w:rPr>
                      <w:color w:val="000000" w:themeColor="text1"/>
                      <w:szCs w:val="21"/>
                      <w14:textFill>
                        <w14:solidFill>
                          <w14:schemeClr w14:val="tx1"/>
                        </w14:solidFill>
                      </w14:textFill>
                    </w:rPr>
                    <w:t>不在禁止开发区域内</w:t>
                  </w:r>
                  <w:r>
                    <w:rPr>
                      <w:rFonts w:hint="eastAsia"/>
                      <w:color w:val="000000" w:themeColor="text1"/>
                      <w:szCs w:val="21"/>
                      <w14:textFill>
                        <w14:solidFill>
                          <w14:schemeClr w14:val="tx1"/>
                        </w14:solidFill>
                      </w14:textFill>
                    </w:rPr>
                    <w:t>布置</w:t>
                  </w:r>
                </w:p>
              </w:tc>
              <w:tc>
                <w:tcPr>
                  <w:tcW w:w="1266" w:type="dxa"/>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56" w:type="dxa"/>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4680" w:type="dxa"/>
                  <w:tcBorders>
                    <w:tl2br w:val="nil"/>
                    <w:tr2bl w:val="nil"/>
                  </w:tcBorders>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限制勘查区：</w:t>
                  </w:r>
                  <w:r>
                    <w:rPr>
                      <w:rFonts w:hint="eastAsia" w:ascii="宋体" w:hAnsi="宋体" w:eastAsia="宋体" w:cs="宋体"/>
                      <w:color w:val="000000" w:themeColor="text1"/>
                      <w:kern w:val="0"/>
                      <w:sz w:val="21"/>
                      <w:szCs w:val="21"/>
                      <w:lang w:val="en-US" w:eastAsia="zh-CN" w:bidi="ar"/>
                      <w14:textFill>
                        <w14:solidFill>
                          <w14:schemeClr w14:val="tx1"/>
                        </w14:solidFill>
                      </w14:textFill>
                    </w:rPr>
                    <w:t>划定限制勘查区</w:t>
                  </w:r>
                  <w:r>
                    <w:rPr>
                      <w:rFonts w:ascii="TimesNewRomanPSMT" w:hAnsi="TimesNewRomanPSMT" w:eastAsia="TimesNewRomanPSMT" w:cs="TimesNewRomanPSMT"/>
                      <w:color w:val="000000" w:themeColor="text1"/>
                      <w:kern w:val="0"/>
                      <w:sz w:val="21"/>
                      <w:szCs w:val="21"/>
                      <w:lang w:val="en-US" w:eastAsia="zh-CN" w:bidi="ar"/>
                      <w14:textFill>
                        <w14:solidFill>
                          <w14:schemeClr w14:val="tx1"/>
                        </w14:solidFill>
                      </w14:textFill>
                    </w:rPr>
                    <w:t>1</w:t>
                  </w:r>
                  <w:r>
                    <w:rPr>
                      <w:rFonts w:hint="eastAsia" w:ascii="宋体" w:hAnsi="宋体" w:eastAsia="宋体" w:cs="宋体"/>
                      <w:color w:val="000000" w:themeColor="text1"/>
                      <w:kern w:val="0"/>
                      <w:sz w:val="21"/>
                      <w:szCs w:val="21"/>
                      <w:lang w:val="en-US" w:eastAsia="zh-CN" w:bidi="ar"/>
                      <w14:textFill>
                        <w14:solidFill>
                          <w14:schemeClr w14:val="tx1"/>
                        </w14:solidFill>
                      </w14:textFill>
                    </w:rPr>
                    <w:t>个，为祁连山自然保护区外围保护地带，面积</w:t>
                  </w:r>
                  <w:r>
                    <w:rPr>
                      <w:rFonts w:hint="default" w:ascii="TimesNewRomanPSMT" w:hAnsi="TimesNewRomanPSMT" w:eastAsia="TimesNewRomanPSMT" w:cs="TimesNewRomanPSMT"/>
                      <w:color w:val="000000" w:themeColor="text1"/>
                      <w:kern w:val="0"/>
                      <w:sz w:val="21"/>
                      <w:szCs w:val="21"/>
                      <w:lang w:val="en-US" w:eastAsia="zh-CN" w:bidi="ar"/>
                      <w14:textFill>
                        <w14:solidFill>
                          <w14:schemeClr w14:val="tx1"/>
                        </w14:solidFill>
                      </w14:textFill>
                    </w:rPr>
                    <w:t>0.66</w:t>
                  </w:r>
                  <w:r>
                    <w:rPr>
                      <w:rFonts w:hint="eastAsia" w:ascii="宋体" w:hAnsi="宋体" w:eastAsia="宋体" w:cs="宋体"/>
                      <w:color w:val="000000" w:themeColor="text1"/>
                      <w:kern w:val="0"/>
                      <w:sz w:val="21"/>
                      <w:szCs w:val="21"/>
                      <w:lang w:val="en-US" w:eastAsia="zh-CN" w:bidi="ar"/>
                      <w14:textFill>
                        <w14:solidFill>
                          <w14:schemeClr w14:val="tx1"/>
                        </w14:solidFill>
                      </w14:textFill>
                    </w:rPr>
                    <w:t>万平方公里。区内勘查项目必须经保护区管理部门审查同意，推进绿色勘查。</w:t>
                  </w:r>
                </w:p>
              </w:tc>
              <w:tc>
                <w:tcPr>
                  <w:tcW w:w="1841" w:type="dxa"/>
                  <w:tcBorders>
                    <w:tl2br w:val="nil"/>
                    <w:tr2bl w:val="nil"/>
                  </w:tcBorders>
                  <w:vAlign w:val="center"/>
                </w:tcPr>
                <w:p>
                  <w:pPr>
                    <w:rPr>
                      <w:rFonts w:hint="eastAsia"/>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w:t>
                  </w:r>
                  <w:r>
                    <w:rPr>
                      <w:rFonts w:hint="eastAsia"/>
                      <w:color w:val="000000" w:themeColor="text1"/>
                      <w:szCs w:val="21"/>
                      <w:lang w:eastAsia="zh-CN"/>
                      <w14:textFill>
                        <w14:solidFill>
                          <w14:schemeClr w14:val="tx1"/>
                        </w14:solidFill>
                      </w14:textFill>
                    </w:rPr>
                    <w:t>勘查</w:t>
                  </w:r>
                  <w:r>
                    <w:rPr>
                      <w:rFonts w:hint="eastAsia"/>
                      <w:color w:val="000000" w:themeColor="text1"/>
                      <w:szCs w:val="21"/>
                      <w14:textFill>
                        <w14:solidFill>
                          <w14:schemeClr w14:val="tx1"/>
                        </w14:solidFill>
                      </w14:textFill>
                    </w:rPr>
                    <w:t>工程尽量避让限制勘查区，确需勘察的，批准后进行</w:t>
                  </w:r>
                </w:p>
              </w:tc>
              <w:tc>
                <w:tcPr>
                  <w:tcW w:w="1266" w:type="dxa"/>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bl>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③与《甘肃省“三线一单”生态环境分区管控》符合性分析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1）相关内容</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根据《甘肃省人民政府关于实施“三线一单”生态环境分区管控的意见》（甘政发[2020]68号），将甘肃省划定为优先保护单元、重点管控单元和一般管控单元三类。</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优先保护单元共491个，主要包括生态保护红线、自然保护地、集中式饮用水水源保护区等生态功能重要区和生态环境敏感区。</w:t>
            </w:r>
            <w:r>
              <w:rPr>
                <w:rFonts w:hint="default"/>
                <w:color w:val="000000" w:themeColor="text1"/>
                <w:sz w:val="24"/>
                <w:lang w:val="en-US" w:eastAsia="zh-CN"/>
                <w14:textFill>
                  <w14:solidFill>
                    <w14:schemeClr w14:val="tx1"/>
                  </w14:solidFill>
                </w14:textFill>
              </w:rPr>
              <w:t>重点管控单元</w:t>
            </w:r>
            <w:r>
              <w:rPr>
                <w:rFonts w:hint="eastAsia"/>
                <w:color w:val="000000" w:themeColor="text1"/>
                <w:sz w:val="24"/>
                <w:lang w:val="en-US" w:eastAsia="zh-CN"/>
                <w14:textFill>
                  <w14:solidFill>
                    <w14:schemeClr w14:val="tx1"/>
                  </w14:solidFill>
                </w14:textFill>
              </w:rPr>
              <w:t>共263个，</w:t>
            </w:r>
            <w:r>
              <w:rPr>
                <w:rFonts w:hint="default"/>
                <w:color w:val="000000" w:themeColor="text1"/>
                <w:sz w:val="24"/>
                <w:lang w:val="en-US" w:eastAsia="zh-CN"/>
                <w14:textFill>
                  <w14:solidFill>
                    <w14:schemeClr w14:val="tx1"/>
                  </w14:solidFill>
                </w14:textFill>
              </w:rPr>
              <w:t>主要包括中心城区和城镇规划区、各级各类工业园区及工业集聚区等开发强度高、环境问题相对集中的区域。</w:t>
            </w:r>
            <w:r>
              <w:rPr>
                <w:rFonts w:hint="eastAsia"/>
                <w:color w:val="000000" w:themeColor="text1"/>
                <w:sz w:val="24"/>
                <w:lang w:val="en-US" w:eastAsia="zh-CN"/>
                <w14:textFill>
                  <w14:solidFill>
                    <w14:schemeClr w14:val="tx1"/>
                  </w14:solidFill>
                </w14:textFill>
              </w:rPr>
              <w:t>一般管控单元共88个，主要包括优先保护单元、重点管控单元以外的区域。</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2）本项目所属单元分析</w:t>
            </w:r>
          </w:p>
          <w:p>
            <w:pPr>
              <w:spacing w:line="360" w:lineRule="auto"/>
              <w:ind w:firstLine="480" w:firstLineChars="200"/>
              <w:rPr>
                <w:color w:val="000000" w:themeColor="text1"/>
                <w:sz w:val="24"/>
                <w:lang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项目与</w:t>
            </w:r>
            <w:r>
              <w:rPr>
                <w:rFonts w:hint="default" w:ascii="Times New Roman" w:hAnsi="Times New Roman" w:cs="Times New Roman"/>
                <w:color w:val="000000" w:themeColor="text1"/>
                <w:sz w:val="24"/>
                <w:lang w:val="en-US" w:eastAsia="zh-CN"/>
                <w14:textFill>
                  <w14:solidFill>
                    <w14:schemeClr w14:val="tx1"/>
                  </w14:solidFill>
                </w14:textFill>
              </w:rPr>
              <w:t>甘肃省“三线一单”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lang w:val="en-US" w:eastAsia="zh-CN"/>
                <w14:textFill>
                  <w14:solidFill>
                    <w14:schemeClr w14:val="tx1"/>
                  </w14:solidFill>
                </w14:textFill>
              </w:rPr>
              <w:t>，</w:t>
            </w:r>
            <w:r>
              <w:rPr>
                <w:rFonts w:hint="eastAsia" w:ascii="宋体" w:hAnsi="宋体" w:eastAsia="宋体" w:cs="宋体"/>
                <w:color w:val="000000" w:themeColor="text1"/>
                <w:kern w:val="0"/>
                <w:sz w:val="24"/>
                <w:lang w:val="en-US" w:eastAsia="zh-CN"/>
                <w14:textFill>
                  <w14:solidFill>
                    <w14:schemeClr w14:val="tx1"/>
                  </w14:solidFill>
                </w14:textFill>
              </w:rPr>
              <w:t>项目</w:t>
            </w:r>
            <w:r>
              <w:rPr>
                <w:rFonts w:hint="eastAsia" w:ascii="宋体" w:hAnsi="宋体" w:cs="宋体"/>
                <w:color w:val="000000" w:themeColor="text1"/>
                <w:kern w:val="0"/>
                <w:sz w:val="24"/>
                <w:lang w:val="en-US" w:eastAsia="zh-CN"/>
                <w14:textFill>
                  <w14:solidFill>
                    <w14:schemeClr w14:val="tx1"/>
                  </w14:solidFill>
                </w14:textFill>
              </w:rPr>
              <w:t>勘查区</w:t>
            </w:r>
            <w:r>
              <w:rPr>
                <w:rFonts w:hint="eastAsia" w:ascii="宋体" w:hAnsi="宋体" w:eastAsia="宋体" w:cs="宋体"/>
                <w:color w:val="000000" w:themeColor="text1"/>
                <w:kern w:val="0"/>
                <w:sz w:val="24"/>
                <w:lang w:val="en-US" w:eastAsia="zh-CN"/>
                <w14:textFill>
                  <w14:solidFill>
                    <w14:schemeClr w14:val="tx1"/>
                  </w14:solidFill>
                </w14:textFill>
              </w:rPr>
              <w:t>主要涉及</w:t>
            </w:r>
            <w:r>
              <w:rPr>
                <w:rFonts w:hint="eastAsia" w:cs="Times New Roman"/>
                <w:color w:val="000000" w:themeColor="text1"/>
                <w:sz w:val="24"/>
                <w:lang w:val="en-US" w:eastAsia="zh-CN"/>
                <w14:textFill>
                  <w14:solidFill>
                    <w14:schemeClr w14:val="tx1"/>
                  </w14:solidFill>
                </w14:textFill>
              </w:rPr>
              <w:t>甘肃省</w:t>
            </w:r>
            <w:r>
              <w:rPr>
                <w:rFonts w:hint="eastAsia" w:ascii="Times New Roman" w:hAnsi="Times New Roman" w:eastAsia="宋体" w:cs="Times New Roman"/>
                <w:color w:val="000000" w:themeColor="text1"/>
                <w:sz w:val="24"/>
                <w:lang w:val="en-US" w:eastAsia="zh-CN"/>
                <w14:textFill>
                  <w14:solidFill>
                    <w14:schemeClr w14:val="tx1"/>
                  </w14:solidFill>
                </w14:textFill>
              </w:rPr>
              <w:t>划定的</w:t>
            </w:r>
            <w:r>
              <w:rPr>
                <w:rFonts w:hint="eastAsia" w:ascii="宋体" w:hAnsi="宋体" w:eastAsia="宋体" w:cs="宋体"/>
                <w:color w:val="000000" w:themeColor="text1"/>
                <w:kern w:val="0"/>
                <w:sz w:val="24"/>
                <w:lang w:val="en-US" w:eastAsia="zh-CN"/>
                <w14:textFill>
                  <w14:solidFill>
                    <w14:schemeClr w14:val="tx1"/>
                  </w14:solidFill>
                </w14:textFill>
              </w:rPr>
              <w:t>优先保护单元</w:t>
            </w:r>
            <w:r>
              <w:rPr>
                <w:rFonts w:hint="eastAsia" w:ascii="宋体" w:hAnsi="宋体" w:cs="宋体"/>
                <w:color w:val="000000" w:themeColor="text1"/>
                <w:kern w:val="0"/>
                <w:sz w:val="24"/>
                <w:lang w:val="en-US" w:eastAsia="zh-CN"/>
                <w14:textFill>
                  <w14:solidFill>
                    <w14:schemeClr w14:val="tx1"/>
                  </w14:solidFill>
                </w14:textFill>
              </w:rPr>
              <w:t>、重点管控单元和</w:t>
            </w:r>
            <w:r>
              <w:rPr>
                <w:rFonts w:hint="eastAsia" w:ascii="宋体" w:hAnsi="宋体" w:eastAsia="宋体" w:cs="宋体"/>
                <w:color w:val="000000" w:themeColor="text1"/>
                <w:kern w:val="0"/>
                <w:sz w:val="24"/>
                <w:lang w:val="en-US" w:eastAsia="zh-CN"/>
                <w14:textFill>
                  <w14:solidFill>
                    <w14:schemeClr w14:val="tx1"/>
                  </w14:solidFill>
                </w14:textFill>
              </w:rPr>
              <w:t>一般管控单元</w:t>
            </w:r>
            <w:r>
              <w:rPr>
                <w:rFonts w:hint="eastAsia" w:ascii="宋体" w:hAnsi="宋体" w:cs="宋体"/>
                <w:color w:val="000000" w:themeColor="text1"/>
                <w:kern w:val="0"/>
                <w:sz w:val="24"/>
                <w:lang w:val="en-US" w:eastAsia="zh-CN"/>
                <w14:textFill>
                  <w14:solidFill>
                    <w14:schemeClr w14:val="tx1"/>
                  </w14:solidFill>
                </w14:textFill>
              </w:rPr>
              <w:t>，</w:t>
            </w:r>
            <w:r>
              <w:rPr>
                <w:rFonts w:hint="eastAsia" w:ascii="Times New Roman" w:hAnsi="Times New Roman" w:cs="Times New Roman"/>
                <w:color w:val="000000" w:themeColor="text1"/>
                <w:kern w:val="0"/>
                <w:sz w:val="24"/>
                <w:lang w:val="en-US" w:eastAsia="zh-CN"/>
                <w14:textFill>
                  <w14:solidFill>
                    <w14:schemeClr w14:val="tx1"/>
                  </w14:solidFill>
                </w14:textFill>
              </w:rPr>
              <w:t>2022年钻孔</w:t>
            </w:r>
            <w:r>
              <w:rPr>
                <w:rFonts w:hint="eastAsia" w:cs="Times New Roman"/>
                <w:color w:val="000000" w:themeColor="text1"/>
                <w:kern w:val="0"/>
                <w:sz w:val="24"/>
                <w:lang w:val="en-US" w:eastAsia="zh-CN"/>
                <w14:textFill>
                  <w14:solidFill>
                    <w14:schemeClr w14:val="tx1"/>
                  </w14:solidFill>
                </w14:textFill>
              </w:rPr>
              <w:t>涉及</w:t>
            </w:r>
            <w:r>
              <w:rPr>
                <w:rFonts w:hint="eastAsia" w:ascii="Times New Roman" w:hAnsi="Times New Roman" w:cs="Times New Roman"/>
                <w:color w:val="000000" w:themeColor="text1"/>
                <w:kern w:val="0"/>
                <w:sz w:val="24"/>
                <w:lang w:val="en-US" w:eastAsia="zh-CN"/>
                <w14:textFill>
                  <w14:solidFill>
                    <w14:schemeClr w14:val="tx1"/>
                  </w14:solidFill>
                </w14:textFill>
              </w:rPr>
              <w:t>甘肃省</w:t>
            </w:r>
            <w:r>
              <w:rPr>
                <w:rFonts w:hint="default" w:ascii="Times New Roman" w:hAnsi="Times New Roman" w:cs="Times New Roman"/>
                <w:color w:val="000000" w:themeColor="text1"/>
                <w:kern w:val="0"/>
                <w:sz w:val="24"/>
                <w:lang w:val="en-US" w:eastAsia="zh-CN"/>
                <w14:textFill>
                  <w14:solidFill>
                    <w14:schemeClr w14:val="tx1"/>
                  </w14:solidFill>
                </w14:textFill>
              </w:rPr>
              <w:t>划定的</w:t>
            </w:r>
            <w:r>
              <w:rPr>
                <w:rFonts w:hint="eastAsia" w:ascii="Times New Roman" w:hAnsi="Times New Roman" w:cs="Times New Roman"/>
                <w:color w:val="000000" w:themeColor="text1"/>
                <w:kern w:val="0"/>
                <w:sz w:val="24"/>
                <w:lang w:val="en-US" w:eastAsia="zh-CN"/>
                <w14:textFill>
                  <w14:solidFill>
                    <w14:schemeClr w14:val="tx1"/>
                  </w14:solidFill>
                </w14:textFill>
              </w:rPr>
              <w:t>优先保护</w:t>
            </w:r>
            <w:r>
              <w:rPr>
                <w:rFonts w:hint="default" w:ascii="Times New Roman" w:hAnsi="Times New Roman" w:cs="Times New Roman"/>
                <w:color w:val="000000" w:themeColor="text1"/>
                <w:kern w:val="0"/>
                <w:sz w:val="24"/>
                <w:lang w:val="en-US" w:eastAsia="zh-CN"/>
                <w14:textFill>
                  <w14:solidFill>
                    <w14:schemeClr w14:val="tx1"/>
                  </w14:solidFill>
                </w14:textFill>
              </w:rPr>
              <w:t>单元</w:t>
            </w:r>
            <w:r>
              <w:rPr>
                <w:rFonts w:hint="eastAsia" w:ascii="Times New Roman" w:hAnsi="Times New Roman" w:cs="Times New Roman"/>
                <w:color w:val="000000" w:themeColor="text1"/>
                <w:kern w:val="0"/>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w:t>
            </w:r>
            <w:r>
              <w:rPr>
                <w:rFonts w:hint="eastAsia"/>
                <w:color w:val="000000" w:themeColor="text1"/>
                <w:sz w:val="24"/>
                <w:lang w:eastAsia="zh-CN"/>
                <w14:textFill>
                  <w14:solidFill>
                    <w14:schemeClr w14:val="tx1"/>
                  </w14:solidFill>
                </w14:textFill>
              </w:rPr>
              <w:t>生态红线尚未正式发布，经评价单位及建设单位去国土相关部门查阅生态红线划定初步成果（正在调整中），本项目2022年的钻孔不占用优先保护单元内的生态红线，也</w:t>
            </w:r>
            <w:r>
              <w:rPr>
                <w:rFonts w:hint="eastAsia"/>
                <w:color w:val="000000" w:themeColor="text1"/>
                <w:kern w:val="2"/>
                <w:sz w:val="24"/>
                <w:szCs w:val="24"/>
                <w:lang w:eastAsia="zh-CN" w:bidi="ar-SA"/>
                <w14:textFill>
                  <w14:solidFill>
                    <w14:schemeClr w14:val="tx1"/>
                  </w14:solidFill>
                </w14:textFill>
              </w:rPr>
              <w:t>不占用国家和自治区级自然保护区、风景名胜区、水源保护地、国家级森林公园、地质公园等环境敏感区。同时评价要求2023-2026</w:t>
            </w:r>
            <w:r>
              <w:rPr>
                <w:rFonts w:hint="eastAsia"/>
                <w:color w:val="000000" w:themeColor="text1"/>
                <w:sz w:val="24"/>
                <w:lang w:eastAsia="zh-CN"/>
                <w14:textFill>
                  <w14:solidFill>
                    <w14:schemeClr w14:val="tx1"/>
                  </w14:solidFill>
                </w14:textFill>
              </w:rPr>
              <w:t>年的拟布设的钻孔也不得占用上述保护目标。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项目与《甘肃省“三线一单”生态环境分区管控》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1-4</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表1-4  项目与《甘肃省“三线一单”生态环境分区管控》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903"/>
              <w:gridCol w:w="4287"/>
              <w:gridCol w:w="1936"/>
              <w:gridCol w:w="13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0" w:hRule="atLeast"/>
                <w:tblHeader/>
                <w:jc w:val="center"/>
              </w:trPr>
              <w:tc>
                <w:tcPr>
                  <w:tcW w:w="99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01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73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99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甘肃省“三线一单”生态环境分区管控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该区域严格按照国家生态保护红线和省级生态空间管控区域管理规定进行管控。依法禁止或限制大规模、高强度的工业开发和城镇建设，严禁不符合国家有关规定的各类开发活动，确保生态环境功能不降低。</w:t>
                  </w:r>
                </w:p>
              </w:tc>
              <w:tc>
                <w:tcPr>
                  <w:tcW w:w="1016" w:type="pct"/>
                  <w:vMerge w:val="restart"/>
                  <w:tcBorders>
                    <w:tl2br w:val="nil"/>
                    <w:tr2bl w:val="nil"/>
                  </w:tcBorders>
                  <w:noWrap w:val="0"/>
                  <w:tcMar>
                    <w:top w:w="15" w:type="dxa"/>
                    <w:left w:w="15" w:type="dxa"/>
                    <w:bottom w:w="0" w:type="dxa"/>
                    <w:right w:w="15" w:type="dxa"/>
                  </w:tcMar>
                  <w:vAlign w:val="center"/>
                </w:tcPr>
                <w:p>
                  <w:pPr>
                    <w:pStyle w:val="16"/>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w:t>
                  </w:r>
                  <w:r>
                    <w:rPr>
                      <w:rFonts w:hint="eastAsia" w:ascii="Times New Roman" w:hAnsi="Times New Roman" w:cs="Times New Roman"/>
                      <w:color w:val="000000" w:themeColor="text1"/>
                      <w:sz w:val="21"/>
                      <w:szCs w:val="21"/>
                      <w:lang w:val="en-US" w:eastAsia="zh-CN" w:bidi="ar-SA"/>
                      <w14:textFill>
                        <w14:solidFill>
                          <w14:schemeClr w14:val="tx1"/>
                        </w14:solidFill>
                      </w14:textFill>
                    </w:rPr>
                    <w:t>涉及</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优先保护单元内</w:t>
                  </w:r>
                  <w:r>
                    <w:rPr>
                      <w:rFonts w:hint="eastAsia" w:ascii="Times New Roman" w:hAnsi="Times New Roman" w:cs="Times New Roman"/>
                      <w:color w:val="000000" w:themeColor="text1"/>
                      <w:sz w:val="21"/>
                      <w:szCs w:val="21"/>
                      <w:lang w:val="en-US" w:eastAsia="zh-CN" w:bidi="ar-SA"/>
                      <w14:textFill>
                        <w14:solidFill>
                          <w14:schemeClr w14:val="tx1"/>
                        </w14:solidFill>
                      </w14:textFill>
                    </w:rPr>
                    <w:t>的生态红线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，也不占用国家和自治区级自然保护区、风景名胜区、水源保护地、国家级森林公园、地质公园等环境敏感区。评价要求2023-2026年的拟布设的钻孔也不得占用上述保护目标。</w:t>
                  </w:r>
                </w:p>
              </w:tc>
              <w:tc>
                <w:tcPr>
                  <w:tcW w:w="733"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该区域是经济社会高质量发展的主要承载区，主要推进产业结构和能源结构调整，优化交通结构和用地结构，不断提高资源能源利用效率，加强污染物排放控制和环境风险防控，解决突出生态环境问题。</w:t>
                  </w:r>
                </w:p>
              </w:tc>
              <w:tc>
                <w:tcPr>
                  <w:tcW w:w="1016" w:type="pct"/>
                  <w:vMerge w:val="continue"/>
                  <w:tcBorders>
                    <w:tl2br w:val="nil"/>
                    <w:tr2bl w:val="nil"/>
                  </w:tcBorders>
                  <w:noWrap w:val="0"/>
                  <w:tcMar>
                    <w:top w:w="15" w:type="dxa"/>
                    <w:left w:w="15" w:type="dxa"/>
                    <w:bottom w:w="0" w:type="dxa"/>
                    <w:right w:w="15" w:type="dxa"/>
                  </w:tcMar>
                  <w:vAlign w:val="center"/>
                </w:tcPr>
                <w:p>
                  <w:pPr>
                    <w:pStyle w:val="16"/>
                    <w:rPr>
                      <w:rFonts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该区域以促进生活、生态、生产功能的协调融合为主要目标，主要落实生态环境保护基本要求，加强生活污染和农业面源污染治理，推动区域生态环境质量持续改善和区域经济社会可持续发展。</w:t>
                  </w:r>
                </w:p>
              </w:tc>
              <w:tc>
                <w:tcPr>
                  <w:tcW w:w="1016" w:type="pct"/>
                  <w:vMerge w:val="continue"/>
                  <w:tcBorders>
                    <w:tl2br w:val="nil"/>
                    <w:tr2bl w:val="nil"/>
                  </w:tcBorders>
                  <w:noWrap w:val="0"/>
                  <w:tcMar>
                    <w:top w:w="15" w:type="dxa"/>
                    <w:left w:w="15" w:type="dxa"/>
                    <w:bottom w:w="0" w:type="dxa"/>
                    <w:right w:w="15" w:type="dxa"/>
                  </w:tcMar>
                  <w:vAlign w:val="center"/>
                </w:tcPr>
                <w:p>
                  <w:pPr>
                    <w:pStyle w:val="16"/>
                    <w:rPr>
                      <w:rFonts w:hint="eastAsia"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w:t>
            </w:r>
            <w:r>
              <w:rPr>
                <w:rFonts w:hint="eastAsia"/>
                <w:bCs/>
                <w:color w:val="000000" w:themeColor="text1"/>
                <w:sz w:val="24"/>
                <w:lang w:val="en-US" w:eastAsia="zh-CN"/>
                <w14:textFill>
                  <w14:solidFill>
                    <w14:schemeClr w14:val="tx1"/>
                  </w14:solidFill>
                </w14:textFill>
              </w:rPr>
              <w:t>《甘肃省主体功能区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bCs/>
                <w:color w:val="000000" w:themeColor="text1"/>
                <w:sz w:val="24"/>
                <w:lang w:val="en-US" w:eastAsia="zh-CN"/>
                <w14:textFill>
                  <w14:solidFill>
                    <w14:schemeClr w14:val="tx1"/>
                  </w14:solidFill>
                </w14:textFill>
              </w:rPr>
              <w:t>甘肃省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cs="Times New Roman"/>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的相关要求。</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（2）与内蒙古自治区相关规划符合性分析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①与《内蒙古自治区主体功能区规划》符合性分析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根据《内蒙古自治区主体功能区规划》，将内蒙古自治区划分为重点开发区域、限制开发区域和禁止开发区域。</w:t>
            </w:r>
          </w:p>
          <w:p>
            <w:pPr>
              <w:spacing w:line="360" w:lineRule="auto"/>
              <w:ind w:firstLine="480" w:firstLineChars="200"/>
              <w:rPr>
                <w:rFonts w:hint="eastAsia" w:ascii="宋体" w:hAnsi="宋体" w:cs="宋体"/>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本项目巴丹吉林盆地勘查区和武腾盆地勘查区涉及内蒙古自治区阿拉善盟，经与《内蒙古自治区主体功能区规划》对照，该区域属于阿拉善沙漠化防治生态功能区</w:t>
            </w:r>
            <w:r>
              <w:rPr>
                <w:rFonts w:hint="eastAsia" w:ascii="宋体" w:hAnsi="宋体" w:cs="宋体"/>
                <w:color w:val="000000" w:themeColor="text1"/>
                <w:sz w:val="24"/>
                <w:lang w:eastAsia="zh-CN"/>
                <w14:textFill>
                  <w14:solidFill>
                    <w14:schemeClr w14:val="tx1"/>
                  </w14:solidFill>
                </w14:textFill>
              </w:rPr>
              <w:t>（</w:t>
            </w:r>
            <w:r>
              <w:rPr>
                <w:rFonts w:hint="eastAsia" w:ascii="宋体" w:hAnsi="宋体" w:cs="宋体"/>
                <w:color w:val="000000" w:themeColor="text1"/>
                <w:sz w:val="24"/>
                <w14:textFill>
                  <w14:solidFill>
                    <w14:schemeClr w14:val="tx1"/>
                  </w14:solidFill>
                </w14:textFill>
              </w:rPr>
              <w:t>限制开发</w:t>
            </w:r>
            <w:r>
              <w:rPr>
                <w:rFonts w:hint="eastAsia" w:ascii="宋体" w:hAnsi="宋体" w:cs="宋体"/>
                <w:color w:val="000000" w:themeColor="text1"/>
                <w:sz w:val="24"/>
                <w:lang w:val="en-US" w:eastAsia="zh-CN"/>
                <w14:textFill>
                  <w14:solidFill>
                    <w14:schemeClr w14:val="tx1"/>
                  </w14:solidFill>
                </w14:textFill>
              </w:rPr>
              <w:t>区域-</w:t>
            </w:r>
            <w:r>
              <w:rPr>
                <w:rFonts w:hint="eastAsia"/>
                <w:color w:val="000000" w:themeColor="text1"/>
                <w:sz w:val="24"/>
                <w:lang w:val="en-US" w:eastAsia="zh-CN"/>
                <w14:textFill>
                  <w14:solidFill>
                    <w14:schemeClr w14:val="tx1"/>
                  </w14:solidFill>
                </w14:textFill>
              </w:rPr>
              <w:t>自治区级重点生态功能区</w:t>
            </w:r>
            <w:r>
              <w:rPr>
                <w:rFonts w:hint="eastAsia" w:ascii="宋体" w:hAnsi="宋体" w:cs="宋体"/>
                <w:color w:val="000000" w:themeColor="text1"/>
                <w:sz w:val="24"/>
                <w:lang w:eastAsia="zh-CN"/>
                <w14:textFill>
                  <w14:solidFill>
                    <w14:schemeClr w14:val="tx1"/>
                  </w14:solidFill>
                </w14:textFill>
              </w:rPr>
              <w:t>）</w:t>
            </w:r>
            <w:r>
              <w:rPr>
                <w:rFonts w:hint="eastAsia" w:ascii="宋体" w:hAnsi="宋体" w:cs="宋体"/>
                <w:color w:val="000000" w:themeColor="text1"/>
                <w:sz w:val="24"/>
                <w14:textFill>
                  <w14:solidFill>
                    <w14:schemeClr w14:val="tx1"/>
                  </w14:solidFill>
                </w14:textFill>
              </w:rPr>
              <w:t>。</w:t>
            </w:r>
          </w:p>
          <w:p>
            <w:pPr>
              <w:pStyle w:val="9"/>
              <w:spacing w:after="0" w:line="360" w:lineRule="auto"/>
              <w:ind w:left="0" w:leftChars="0"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勘查区涉及内蒙古自治区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分布有5个自然保护区（内蒙古额济纳胡杨林国家级自然保护区、内蒙古宝日乌拉胡杨林自治区级自然保护区、内蒙古额济纳旗马鬃山古生物化石地质遗迹自治区级自然保护区、内蒙古额济纳旗梭梭林自治区级自然保护区、内蒙古腾格里沙漠自治区级自然保护区）、</w:t>
            </w:r>
            <w:r>
              <w:rPr>
                <w:rFonts w:hint="eastAsia" w:cs="Times New Roman"/>
                <w:b w:val="0"/>
                <w:bCs w:val="0"/>
                <w:color w:val="000000" w:themeColor="text1"/>
                <w:kern w:val="2"/>
                <w:sz w:val="24"/>
                <w:szCs w:val="24"/>
                <w:lang w:val="en-US" w:eastAsia="zh-CN" w:bidi="ar-SA"/>
                <w14:textFill>
                  <w14:solidFill>
                    <w14:schemeClr w14:val="tx1"/>
                  </w14:solidFill>
                </w14:textFill>
              </w:rPr>
              <w:t>2个风景名胜区（大漠胡杨景区、黑城弱水胡杨风景区）、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1个地质公园（内蒙古阿拉善沙漠世界地质公园）、1个森林公园（内蒙古额济纳胡杨林国家森林公园）、</w:t>
            </w:r>
            <w:r>
              <w:rPr>
                <w:rFonts w:hint="eastAsia"/>
                <w:color w:val="000000" w:themeColor="text1"/>
                <w:sz w:val="24"/>
                <w:lang w:val="en-GB"/>
                <w14:textFill>
                  <w14:solidFill>
                    <w14:schemeClr w14:val="tx1"/>
                  </w14:solidFill>
                </w14:textFill>
              </w:rPr>
              <w:t>1个重要湿地（居延海湿地）</w:t>
            </w:r>
            <w:r>
              <w:rPr>
                <w:rFonts w:hint="eastAsia"/>
                <w:color w:val="000000" w:themeColor="text1"/>
                <w:sz w:val="24"/>
                <w:lang w:val="en-GB" w:eastAsia="zh-CN"/>
                <w14:textFill>
                  <w14:solidFill>
                    <w14:schemeClr w14:val="tx1"/>
                  </w14:solidFill>
                </w14:textFill>
              </w:rPr>
              <w:t>，</w:t>
            </w:r>
            <w:r>
              <w:rPr>
                <w:rFonts w:hint="eastAsia" w:ascii="宋体" w:hAnsi="宋体" w:cs="宋体"/>
                <w:color w:val="000000" w:themeColor="text1"/>
                <w:sz w:val="24"/>
                <w14:textFill>
                  <w14:solidFill>
                    <w14:schemeClr w14:val="tx1"/>
                  </w14:solidFill>
                </w14:textFill>
              </w:rPr>
              <w:t>属于禁止开发区域</w:t>
            </w:r>
            <w:r>
              <w:rPr>
                <w:rFonts w:hint="eastAsia"/>
                <w:color w:val="000000" w:themeColor="text1"/>
                <w:sz w:val="24"/>
                <w:lang w:val="en-GB"/>
                <w14:textFill>
                  <w14:solidFill>
                    <w14:schemeClr w14:val="tx1"/>
                  </w14:solidFill>
                </w14:textFill>
              </w:rPr>
              <w:t>。</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《内蒙古自治区主体功能区规划》</w:t>
            </w:r>
            <w:r>
              <w:rPr>
                <w:rFonts w:hint="eastAsia"/>
                <w:bCs/>
                <w:color w:val="000000" w:themeColor="text1"/>
                <w:sz w:val="24"/>
                <w:lang w:val="en-US" w:eastAsia="zh-CN"/>
                <w14:textFill>
                  <w14:solidFill>
                    <w14:schemeClr w14:val="tx1"/>
                  </w14:solidFill>
                </w14:textFill>
              </w:rPr>
              <w:t>相符性分析见下表1-5，勘查区与内蒙古自治区主体功能区规划关系见附图3。</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表1-5  </w:t>
            </w: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《内蒙古自治区主体功能区规划》</w:t>
            </w:r>
            <w:r>
              <w:rPr>
                <w:rFonts w:hint="eastAsia"/>
                <w:bCs/>
                <w:color w:val="000000" w:themeColor="text1"/>
                <w:sz w:val="24"/>
                <w:lang w:val="en-US" w:eastAsia="zh-CN"/>
                <w14:textFill>
                  <w14:solidFill>
                    <w14:schemeClr w14:val="tx1"/>
                  </w14:solidFill>
                </w14:textFill>
              </w:rPr>
              <w:t>相符性分析表</w:t>
            </w:r>
          </w:p>
          <w:tbl>
            <w:tblPr>
              <w:tblStyle w:val="12"/>
              <w:tblW w:w="9543" w:type="dxa"/>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24"/>
              <w:gridCol w:w="4054"/>
              <w:gridCol w:w="3074"/>
              <w:gridCol w:w="129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4" w:type="dxa"/>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名称</w:t>
                  </w:r>
                </w:p>
              </w:tc>
              <w:tc>
                <w:tcPr>
                  <w:tcW w:w="4054" w:type="dxa"/>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相关内容</w:t>
                  </w:r>
                </w:p>
              </w:tc>
              <w:tc>
                <w:tcPr>
                  <w:tcW w:w="3074" w:type="dxa"/>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项目情况</w:t>
                  </w:r>
                </w:p>
              </w:tc>
              <w:tc>
                <w:tcPr>
                  <w:tcW w:w="1291" w:type="dxa"/>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4" w:type="dxa"/>
                  <w:vMerge w:val="restar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default"/>
                      <w:bCs/>
                      <w:color w:val="000000" w:themeColor="text1"/>
                      <w:sz w:val="21"/>
                      <w:szCs w:val="21"/>
                      <w:vertAlign w:val="baseline"/>
                      <w:lang w:val="en-US" w:eastAsia="zh-CN"/>
                      <w14:textFill>
                        <w14:solidFill>
                          <w14:schemeClr w14:val="tx1"/>
                        </w14:solidFill>
                      </w14:textFill>
                    </w:rPr>
                    <w:t>《内蒙古自治区主体功能区规划》</w:t>
                  </w:r>
                </w:p>
              </w:tc>
              <w:tc>
                <w:tcPr>
                  <w:tcW w:w="4054" w:type="dxa"/>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重点开发区域：指有一定经济基础，资源环境承载能力较强，发展潜力较大，集聚人口和经济条件较好，从而应该重点进行工业化城镇化开发的城市化地区</w:t>
                  </w:r>
                </w:p>
              </w:tc>
              <w:tc>
                <w:tcPr>
                  <w:tcW w:w="3074" w:type="dxa"/>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c>
                <w:tcPr>
                  <w:tcW w:w="1291"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4" w:type="dxa"/>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4054" w:type="dxa"/>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限制开发区域(农产品主产区)：着力保护耕地，加强农业基础设施建设，稳定粮食生产，发展现代农业，增强农业综合生产能力，保障全省主要农产品有效供给，增加农民收入，加快社会主义新农村建设</w:t>
                  </w:r>
                </w:p>
              </w:tc>
              <w:tc>
                <w:tcPr>
                  <w:tcW w:w="3074" w:type="dxa"/>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c>
                <w:tcPr>
                  <w:tcW w:w="1291"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24" w:type="dxa"/>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4054" w:type="dxa"/>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限制开发区域(重点生态功能区)：维护生物多样性。强化生态系统、生物物种和遗传资源保护，科学、合理和有序地利用生物资源。保护自然生态系统与重要物种栖息地。</w:t>
                  </w:r>
                </w:p>
              </w:tc>
              <w:tc>
                <w:tcPr>
                  <w:tcW w:w="3074" w:type="dxa"/>
                  <w:tcBorders>
                    <w:tl2br w:val="nil"/>
                    <w:tr2bl w:val="nil"/>
                  </w:tcBorders>
                  <w:vAlign w:val="center"/>
                </w:tcPr>
                <w:p>
                  <w:pPr>
                    <w:pStyle w:val="16"/>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本项目</w:t>
                  </w:r>
                  <w:r>
                    <w:rPr>
                      <w:rFonts w:hint="eastAsia" w:hAnsi="宋体" w:cs="Times New Roman"/>
                      <w:color w:val="000000" w:themeColor="text1"/>
                      <w:sz w:val="21"/>
                      <w:szCs w:val="21"/>
                      <w:lang w:val="en-US" w:eastAsia="zh-CN"/>
                      <w14:textFill>
                        <w14:solidFill>
                          <w14:schemeClr w14:val="tx1"/>
                        </w14:solidFill>
                      </w14:textFill>
                    </w:rPr>
                    <w:t>勘查区</w:t>
                  </w:r>
                  <w:r>
                    <w:rPr>
                      <w:rFonts w:hint="eastAsia" w:hAnsi="宋体" w:cs="Times New Roman"/>
                      <w:color w:val="000000" w:themeColor="text1"/>
                      <w:sz w:val="21"/>
                      <w:szCs w:val="21"/>
                      <w14:textFill>
                        <w14:solidFill>
                          <w14:schemeClr w14:val="tx1"/>
                        </w14:solidFill>
                      </w14:textFill>
                    </w:rPr>
                    <w:t>涉及阿拉善沙漠化防治生态功能区。</w:t>
                  </w:r>
                </w:p>
                <w:p>
                  <w:pPr>
                    <w:widowControl/>
                    <w:jc w:val="left"/>
                    <w:rPr>
                      <w:rFonts w:hint="default" w:ascii="宋体" w:hAnsi="宋体" w:eastAsia="宋体" w:cs="Times New Roman"/>
                      <w:color w:val="000000" w:themeColor="text1"/>
                      <w:kern w:val="0"/>
                      <w:sz w:val="21"/>
                      <w:szCs w:val="21"/>
                      <w:lang w:val="en-US" w:eastAsia="zh-CN" w:bidi="ar-SA"/>
                      <w14:textFill>
                        <w14:solidFill>
                          <w14:schemeClr w14:val="tx1"/>
                        </w14:solidFill>
                      </w14:textFill>
                    </w:rPr>
                  </w:pPr>
                  <w:r>
                    <w:rPr>
                      <w:rFonts w:hint="eastAsia" w:hAnsi="宋体"/>
                      <w:color w:val="000000" w:themeColor="text1"/>
                      <w:szCs w:val="21"/>
                      <w14:textFill>
                        <w14:solidFill>
                          <w14:schemeClr w14:val="tx1"/>
                        </w14:solidFill>
                      </w14:textFill>
                    </w:rPr>
                    <w:t>本项目属铀矿地质勘查，污染物产生量小，开发活动均为临时占地，采取生态保护与恢复措施，对生态环境影响小</w:t>
                  </w:r>
                </w:p>
              </w:tc>
              <w:tc>
                <w:tcPr>
                  <w:tcW w:w="1291"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24" w:type="dxa"/>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4054" w:type="dxa"/>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禁止开发区域：严格控制人为因素对自然生态的干扰，严禁不符合主体功能区定位的开发活动，引导人口逐步有序转移，实现污染物“零排放”，提高环境质量，提高可持续发展能力</w:t>
                  </w:r>
                </w:p>
              </w:tc>
              <w:tc>
                <w:tcPr>
                  <w:tcW w:w="3074" w:type="dxa"/>
                  <w:tcBorders>
                    <w:tl2br w:val="nil"/>
                    <w:tr2bl w:val="nil"/>
                  </w:tcBorders>
                  <w:vAlign w:val="center"/>
                </w:tcPr>
                <w:p>
                  <w:pPr>
                    <w:pStyle w:val="16"/>
                    <w:rPr>
                      <w:rFonts w:hint="default" w:ascii="宋体" w:hAnsi="宋体" w:eastAsia="宋体" w:cs="Times New Roman"/>
                      <w:color w:val="000000" w:themeColor="text1"/>
                      <w:sz w:val="21"/>
                      <w:szCs w:val="21"/>
                      <w:lang w:val="en-US" w:eastAsia="zh-CN" w:bidi="ar-SA"/>
                      <w14:textFill>
                        <w14:solidFill>
                          <w14:schemeClr w14:val="tx1"/>
                        </w14:solidFill>
                      </w14:textFill>
                    </w:rPr>
                  </w:pPr>
                  <w:r>
                    <w:rPr>
                      <w:rFonts w:hint="eastAsia" w:hAnsi="宋体"/>
                      <w:color w:val="000000" w:themeColor="text1"/>
                      <w:sz w:val="21"/>
                      <w:szCs w:val="21"/>
                      <w14:textFill>
                        <w14:solidFill>
                          <w14:schemeClr w14:val="tx1"/>
                        </w14:solidFill>
                      </w14:textFill>
                    </w:rPr>
                    <w:t>本项目勘查工程不在禁止开发区域内布置</w:t>
                  </w:r>
                </w:p>
              </w:tc>
              <w:tc>
                <w:tcPr>
                  <w:tcW w:w="1291"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符合</w:t>
                  </w:r>
                </w:p>
              </w:tc>
            </w:tr>
          </w:tbl>
          <w:p>
            <w:pPr>
              <w:keepNext w:val="0"/>
              <w:keepLines w:val="0"/>
              <w:widowControl/>
              <w:suppressLineNumbers w:val="0"/>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szCs w:val="24"/>
                <w:lang w:val="en-US" w:eastAsia="zh-CN" w:bidi="ar"/>
                <w14:textFill>
                  <w14:solidFill>
                    <w14:schemeClr w14:val="tx1"/>
                  </w14:solidFill>
                </w14:textFill>
              </w:rPr>
              <w:t>②</w:t>
            </w:r>
            <w:r>
              <w:rPr>
                <w:rFonts w:hint="eastAsia" w:ascii="宋体" w:hAnsi="宋体" w:eastAsia="宋体" w:cs="宋体"/>
                <w:color w:val="000000" w:themeColor="text1"/>
                <w:kern w:val="0"/>
                <w:sz w:val="24"/>
                <w:szCs w:val="24"/>
                <w:lang w:val="en-US" w:eastAsia="zh-CN" w:bidi="ar"/>
                <w14:textFill>
                  <w14:solidFill>
                    <w14:schemeClr w14:val="tx1"/>
                  </w14:solidFill>
                </w14:textFill>
              </w:rPr>
              <w:t>与</w:t>
            </w:r>
            <w:r>
              <w:rPr>
                <w:rFonts w:hint="eastAsia"/>
                <w:color w:val="000000" w:themeColor="text1"/>
                <w:sz w:val="24"/>
                <w14:textFill>
                  <w14:solidFill>
                    <w14:schemeClr w14:val="tx1"/>
                  </w14:solidFill>
                </w14:textFill>
              </w:rPr>
              <w:t>《内蒙古自治区矿产资源总体规划（2016-2020年）》</w:t>
            </w:r>
            <w:r>
              <w:rPr>
                <w:rFonts w:hint="eastAsia" w:ascii="宋体" w:hAnsi="宋体" w:eastAsia="宋体" w:cs="宋体"/>
                <w:color w:val="000000" w:themeColor="text1"/>
                <w:kern w:val="0"/>
                <w:sz w:val="24"/>
                <w:szCs w:val="24"/>
                <w:lang w:val="en-US" w:eastAsia="zh-CN" w:bidi="ar"/>
                <w14:textFill>
                  <w14:solidFill>
                    <w14:schemeClr w14:val="tx1"/>
                  </w14:solidFill>
                </w14:textFill>
              </w:rPr>
              <w:t>的符合性分析</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14:textFill>
                  <w14:solidFill>
                    <w14:schemeClr w14:val="tx1"/>
                  </w14:solidFill>
                </w14:textFill>
              </w:rPr>
              <w:t>《内蒙古自治区矿产资源总体规划（2016-2020年）》</w:t>
            </w:r>
            <w:r>
              <w:rPr>
                <w:rFonts w:hint="eastAsia"/>
                <w:bCs/>
                <w:color w:val="000000" w:themeColor="text1"/>
                <w:sz w:val="24"/>
                <w:lang w:val="en-US" w:eastAsia="zh-CN"/>
                <w14:textFill>
                  <w14:solidFill>
                    <w14:schemeClr w14:val="tx1"/>
                  </w14:solidFill>
                </w14:textFill>
              </w:rPr>
              <w:t>相符性分析见下表1-6。</w:t>
            </w:r>
          </w:p>
          <w:p>
            <w:pPr>
              <w:spacing w:line="240" w:lineRule="auto"/>
              <w:jc w:val="center"/>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表1-6  项目与</w:t>
            </w:r>
            <w:r>
              <w:rPr>
                <w:rFonts w:hint="eastAsia"/>
                <w:color w:val="000000" w:themeColor="text1"/>
                <w:sz w:val="24"/>
                <w14:textFill>
                  <w14:solidFill>
                    <w14:schemeClr w14:val="tx1"/>
                  </w14:solidFill>
                </w14:textFill>
              </w:rPr>
              <w:t>《内蒙古自治区矿产资源总体规划（2016-2020年）》</w:t>
            </w:r>
            <w:r>
              <w:rPr>
                <w:rFonts w:hint="eastAsia"/>
                <w:bCs/>
                <w:color w:val="000000" w:themeColor="text1"/>
                <w:sz w:val="24"/>
                <w:lang w:val="en-US" w:eastAsia="zh-CN"/>
                <w14:textFill>
                  <w14:solidFill>
                    <w14:schemeClr w14:val="tx1"/>
                  </w14:solidFill>
                </w14:textFill>
              </w:rPr>
              <w:t>相符性分析表</w:t>
            </w:r>
          </w:p>
          <w:tbl>
            <w:tblPr>
              <w:tblStyle w:val="12"/>
              <w:tblW w:w="9543" w:type="dxa"/>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68"/>
              <w:gridCol w:w="4700"/>
              <w:gridCol w:w="2045"/>
              <w:gridCol w:w="143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名称</w:t>
                  </w:r>
                </w:p>
              </w:tc>
              <w:tc>
                <w:tcPr>
                  <w:tcW w:w="4700"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相关内容</w:t>
                  </w:r>
                </w:p>
              </w:tc>
              <w:tc>
                <w:tcPr>
                  <w:tcW w:w="2045"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项目情况</w:t>
                  </w:r>
                </w:p>
              </w:tc>
              <w:tc>
                <w:tcPr>
                  <w:tcW w:w="1430" w:type="dxa"/>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dxa"/>
                  <w:vMerge w:val="restar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default"/>
                      <w:bCs/>
                      <w:color w:val="000000" w:themeColor="text1"/>
                      <w:sz w:val="21"/>
                      <w:szCs w:val="21"/>
                      <w:vertAlign w:val="baseline"/>
                      <w:lang w:val="en-US" w:eastAsia="zh-CN"/>
                      <w14:textFill>
                        <w14:solidFill>
                          <w14:schemeClr w14:val="tx1"/>
                        </w14:solidFill>
                      </w14:textFill>
                    </w:rPr>
                    <w:t>《内蒙古自治区矿产资源总体规划（2016-2020年）》</w:t>
                  </w:r>
                </w:p>
              </w:tc>
              <w:tc>
                <w:tcPr>
                  <w:tcW w:w="4700" w:type="dxa"/>
                  <w:tcBorders>
                    <w:tl2br w:val="nil"/>
                    <w:tr2bl w:val="nil"/>
                  </w:tcBorders>
                  <w:vAlign w:val="center"/>
                </w:tcPr>
                <w:p>
                  <w:pPr>
                    <w:ind w:firstLine="420" w:firstLineChars="200"/>
                    <w:rPr>
                      <w:rFonts w:hint="default"/>
                      <w:bCs/>
                      <w:color w:val="000000" w:themeColor="text1"/>
                      <w:sz w:val="21"/>
                      <w:szCs w:val="21"/>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对于铀、页岩气、煤层气、地热等非常规能源和稀有、稀散等矿产，要加大调查评价和勘查力度，积极提升资源供给能力。</w:t>
                  </w:r>
                </w:p>
              </w:tc>
              <w:tc>
                <w:tcPr>
                  <w:tcW w:w="2045" w:type="dxa"/>
                  <w:vMerge w:val="restart"/>
                  <w:tcBorders>
                    <w:tl2br w:val="nil"/>
                    <w:tr2bl w:val="nil"/>
                  </w:tcBorders>
                  <w:vAlign w:val="center"/>
                </w:tcPr>
                <w:p>
                  <w:pPr>
                    <w:rPr>
                      <w:rFonts w:hint="default"/>
                      <w:bCs/>
                      <w:color w:val="000000" w:themeColor="text1"/>
                      <w:sz w:val="2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本项目属于砂岩型铀矿勘查</w:t>
                  </w:r>
                </w:p>
              </w:tc>
              <w:tc>
                <w:tcPr>
                  <w:tcW w:w="1430" w:type="dxa"/>
                  <w:tcBorders>
                    <w:tl2br w:val="nil"/>
                    <w:tr2bl w:val="nil"/>
                  </w:tcBorders>
                  <w:vAlign w:val="center"/>
                </w:tcPr>
                <w:p>
                  <w:pPr>
                    <w:jc w:val="center"/>
                    <w:rPr>
                      <w:rFonts w:hint="default"/>
                      <w:bCs/>
                      <w:color w:val="000000" w:themeColor="text1"/>
                      <w:sz w:val="21"/>
                      <w:szCs w:val="21"/>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dxa"/>
                  <w:vMerge w:val="continue"/>
                  <w:tcBorders>
                    <w:tl2br w:val="nil"/>
                    <w:tr2bl w:val="nil"/>
                  </w:tcBorders>
                  <w:vAlign w:val="center"/>
                </w:tcPr>
                <w:p>
                  <w:pPr>
                    <w:spacing w:line="240" w:lineRule="auto"/>
                    <w:jc w:val="center"/>
                    <w:rPr>
                      <w:rFonts w:hint="eastAsia"/>
                      <w:bCs/>
                      <w:color w:val="000000" w:themeColor="text1"/>
                      <w:sz w:val="21"/>
                      <w:szCs w:val="21"/>
                      <w:lang w:val="en-US" w:eastAsia="zh-CN"/>
                      <w14:textFill>
                        <w14:solidFill>
                          <w14:schemeClr w14:val="tx1"/>
                        </w14:solidFill>
                      </w14:textFill>
                    </w:rPr>
                  </w:pPr>
                </w:p>
              </w:tc>
              <w:tc>
                <w:tcPr>
                  <w:tcW w:w="4700" w:type="dxa"/>
                  <w:tcBorders>
                    <w:tl2br w:val="nil"/>
                    <w:tr2bl w:val="nil"/>
                  </w:tcBorders>
                  <w:vAlign w:val="center"/>
                </w:tcPr>
                <w:p>
                  <w:pPr>
                    <w:ind w:firstLine="420" w:firstLineChars="200"/>
                    <w:rPr>
                      <w:rFonts w:hint="default"/>
                      <w:bCs/>
                      <w:color w:val="000000" w:themeColor="text1"/>
                      <w:sz w:val="2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鼓励勘查石油、天然气、煤层气、页岩气、铀矿、地热、干热岩等能源矿产。</w:t>
                  </w:r>
                </w:p>
              </w:tc>
              <w:tc>
                <w:tcPr>
                  <w:tcW w:w="2045" w:type="dxa"/>
                  <w:vMerge w:val="continue"/>
                  <w:tcBorders>
                    <w:tl2br w:val="nil"/>
                    <w:tr2bl w:val="nil"/>
                  </w:tcBorders>
                  <w:vAlign w:val="center"/>
                </w:tcPr>
                <w:p>
                  <w:pPr>
                    <w:rPr>
                      <w:rFonts w:hint="default"/>
                      <w:bCs/>
                      <w:color w:val="000000" w:themeColor="text1"/>
                      <w:sz w:val="21"/>
                      <w:szCs w:val="21"/>
                      <w:lang w:val="en-US" w:eastAsia="zh-CN"/>
                      <w14:textFill>
                        <w14:solidFill>
                          <w14:schemeClr w14:val="tx1"/>
                        </w14:solidFill>
                      </w14:textFill>
                    </w:rPr>
                  </w:pPr>
                </w:p>
              </w:tc>
              <w:tc>
                <w:tcPr>
                  <w:tcW w:w="1430" w:type="dxa"/>
                  <w:tcBorders>
                    <w:tl2br w:val="nil"/>
                    <w:tr2bl w:val="nil"/>
                  </w:tcBorders>
                  <w:vAlign w:val="center"/>
                </w:tcPr>
                <w:p>
                  <w:pPr>
                    <w:jc w:val="center"/>
                    <w:rPr>
                      <w:rFonts w:hint="eastAsia"/>
                      <w:bCs/>
                      <w:color w:val="000000" w:themeColor="text1"/>
                      <w:sz w:val="21"/>
                      <w:szCs w:val="21"/>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bl>
          <w:p>
            <w:pPr>
              <w:numPr>
                <w:ilvl w:val="0"/>
                <w:numId w:val="0"/>
              </w:numPr>
              <w:spacing w:line="360" w:lineRule="auto"/>
              <w:ind w:firstLine="482"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b/>
                <w:bCs/>
                <w:color w:val="000000" w:themeColor="text1"/>
                <w:sz w:val="24"/>
                <w:lang w:val="en-US" w:eastAsia="zh-CN"/>
                <w14:textFill>
                  <w14:solidFill>
                    <w14:schemeClr w14:val="tx1"/>
                  </w14:solidFill>
                </w14:textFill>
              </w:rPr>
              <w:t>③</w:t>
            </w:r>
            <w:r>
              <w:rPr>
                <w:rFonts w:hint="default" w:ascii="Times New Roman" w:hAnsi="Times New Roman" w:cs="Times New Roman"/>
                <w:color w:val="000000" w:themeColor="text1"/>
                <w:sz w:val="24"/>
                <w:lang w:val="en-US" w:eastAsia="zh-CN"/>
                <w14:textFill>
                  <w14:solidFill>
                    <w14:schemeClr w14:val="tx1"/>
                  </w14:solidFill>
                </w14:textFill>
              </w:rPr>
              <w:t>与《内蒙古自治区“三线一单”生态环境分区管控》符合性分析</w:t>
            </w:r>
          </w:p>
          <w:p>
            <w:pPr>
              <w:numPr>
                <w:ilvl w:val="0"/>
                <w:numId w:val="0"/>
              </w:num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1）相关内容</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根据《内</w:t>
            </w:r>
            <w:r>
              <w:rPr>
                <w:rFonts w:hint="eastAsia"/>
                <w:color w:val="000000" w:themeColor="text1"/>
                <w:sz w:val="24"/>
                <w:lang w:val="en-US" w:eastAsia="zh-CN"/>
                <w14:textFill>
                  <w14:solidFill>
                    <w14:schemeClr w14:val="tx1"/>
                  </w14:solidFill>
                </w14:textFill>
              </w:rPr>
              <w:t>蒙古自治区“三线一单”生态环境分区管控的通知》（内政发[2020]24号），将内蒙古自治区划定为优先保护单元、重点管控单元和一般管控单元三类。</w:t>
            </w:r>
          </w:p>
          <w:p>
            <w:pPr>
              <w:numPr>
                <w:ilvl w:val="0"/>
                <w:numId w:val="0"/>
              </w:num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优先保护单元共422个，面积占比为74.50%，主要包括我区生态保护红线、自然保护地、集中式饮用水水源保护区等生态功能重要区和生态环境敏感区。重点管控单元共651个，面积占比为19.61%，主要包括主要包括工业园区、城市、矿区等开发强度高、污染排放量大、环境问题相对集中的区域，以及生态需水补给区等。一般管控单元为优先保护单元、重点管控单元之外为一般管控单元，共62个，面积占比为5.89%。</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2）本项目所属单元分析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项目与</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sz w:val="24"/>
                <w:lang w:eastAsia="zh-CN"/>
                <w14:textFill>
                  <w14:solidFill>
                    <w14:schemeClr w14:val="tx1"/>
                  </w14:solidFill>
                </w14:textFill>
              </w:rPr>
              <w:t>“三线一单”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kern w:val="0"/>
                <w:sz w:val="24"/>
                <w14:textFill>
                  <w14:solidFill>
                    <w14:schemeClr w14:val="tx1"/>
                  </w14:solidFill>
                </w14:textFill>
              </w:rPr>
              <w:t>见</w:t>
            </w:r>
            <w:r>
              <w:rPr>
                <w:rFonts w:hint="default" w:ascii="Times New Roman" w:hAnsi="Times New Roman" w:cs="Times New Roman"/>
                <w:color w:val="000000" w:themeColor="text1"/>
                <w:kern w:val="0"/>
                <w:sz w:val="24"/>
                <w:lang w:val="en-US" w:eastAsia="zh-CN"/>
                <w14:textFill>
                  <w14:solidFill>
                    <w14:schemeClr w14:val="tx1"/>
                  </w14:solidFill>
                </w14:textFill>
              </w:rPr>
              <w:t>附</w:t>
            </w:r>
            <w:r>
              <w:rPr>
                <w:rFonts w:hint="default" w:ascii="Times New Roman" w:hAnsi="Times New Roman" w:eastAsia="宋体" w:cs="Times New Roman"/>
                <w:color w:val="000000" w:themeColor="text1"/>
                <w:kern w:val="0"/>
                <w:sz w:val="24"/>
                <w14:textFill>
                  <w14:solidFill>
                    <w14:schemeClr w14:val="tx1"/>
                  </w14:solidFill>
                </w14:textFill>
              </w:rPr>
              <w:t>图</w:t>
            </w:r>
            <w:r>
              <w:rPr>
                <w:rFonts w:hint="eastAsia" w:cs="Times New Roman"/>
                <w:color w:val="000000" w:themeColor="text1"/>
                <w:kern w:val="0"/>
                <w:sz w:val="24"/>
                <w:lang w:val="en-US" w:eastAsia="zh-CN"/>
                <w14:textFill>
                  <w14:solidFill>
                    <w14:schemeClr w14:val="tx1"/>
                  </w14:solidFill>
                </w14:textFill>
              </w:rPr>
              <w:t>4</w:t>
            </w:r>
            <w:r>
              <w:rPr>
                <w:rFonts w:hint="default" w:ascii="Times New Roman" w:hAnsi="Times New Roman" w:cs="Times New Roman"/>
                <w:color w:val="000000" w:themeColor="text1"/>
                <w:kern w:val="0"/>
                <w:sz w:val="24"/>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主要涉及</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sz w:val="24"/>
                <w:lang w:val="en-US" w:eastAsia="zh-CN"/>
                <w14:textFill>
                  <w14:solidFill>
                    <w14:schemeClr w14:val="tx1"/>
                  </w14:solidFill>
                </w14:textFill>
              </w:rPr>
              <w:t>划定的</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w:t>
            </w:r>
            <w:r>
              <w:rPr>
                <w:rFonts w:hint="eastAsia" w:ascii="Times New Roman" w:hAnsi="Times New Roman" w:cs="Times New Roman"/>
                <w:color w:val="000000" w:themeColor="text1"/>
                <w:kern w:val="0"/>
                <w:sz w:val="24"/>
                <w:lang w:val="en-US" w:eastAsia="zh-CN"/>
                <w14:textFill>
                  <w14:solidFill>
                    <w14:schemeClr w14:val="tx1"/>
                  </w14:solidFill>
                </w14:textFill>
              </w:rPr>
              <w:t>和重点管控单元</w:t>
            </w:r>
            <w:r>
              <w:rPr>
                <w:rFonts w:hint="eastAsia" w:cs="Times New Roman"/>
                <w:color w:val="000000" w:themeColor="text1"/>
                <w:kern w:val="0"/>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2022年钻孔</w:t>
            </w:r>
            <w:r>
              <w:rPr>
                <w:rFonts w:hint="eastAsia"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sz w:val="24"/>
                <w:lang w:val="en-US" w:eastAsia="zh-CN"/>
                <w14:textFill>
                  <w14:solidFill>
                    <w14:schemeClr w14:val="tx1"/>
                  </w14:solidFill>
                </w14:textFill>
              </w:rPr>
              <w:t>划定的</w:t>
            </w:r>
            <w:r>
              <w:rPr>
                <w:rFonts w:hint="default" w:ascii="Times New Roman" w:hAnsi="Times New Roman" w:cs="Times New Roman"/>
                <w:color w:val="000000" w:themeColor="text1"/>
                <w:kern w:val="0"/>
                <w:sz w:val="24"/>
                <w:lang w:val="en-US" w:eastAsia="zh-CN"/>
                <w14:textFill>
                  <w14:solidFill>
                    <w14:schemeClr w14:val="tx1"/>
                  </w14:solidFill>
                </w14:textFill>
              </w:rPr>
              <w:t>重点管控单元</w:t>
            </w:r>
            <w:r>
              <w:rPr>
                <w:rFonts w:hint="eastAsia" w:cs="Times New Roman"/>
                <w:color w:val="000000" w:themeColor="text1"/>
                <w:kern w:val="0"/>
                <w:sz w:val="24"/>
                <w:lang w:val="en-US" w:eastAsia="zh-CN"/>
                <w14:textFill>
                  <w14:solidFill>
                    <w14:schemeClr w14:val="tx1"/>
                  </w14:solidFill>
                </w14:textFill>
              </w:rPr>
              <w:t>。因此，</w:t>
            </w:r>
            <w:r>
              <w:rPr>
                <w:rFonts w:hint="eastAsia" w:ascii="Times New Roman" w:hAnsi="Times New Roman" w:cs="Times New Roman"/>
                <w:color w:val="000000" w:themeColor="text1"/>
                <w:kern w:val="0"/>
                <w:sz w:val="24"/>
                <w:lang w:val="en-US" w:eastAsia="zh-CN"/>
                <w14:textFill>
                  <w14:solidFill>
                    <w14:schemeClr w14:val="tx1"/>
                  </w14:solidFill>
                </w14:textFill>
              </w:rPr>
              <w:t>2022年钻孔不涉及</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eastAsia"/>
                <w:color w:val="000000" w:themeColor="text1"/>
                <w:sz w:val="24"/>
                <w14:textFill>
                  <w14:solidFill>
                    <w14:schemeClr w14:val="tx1"/>
                  </w14:solidFill>
                </w14:textFill>
              </w:rPr>
              <w:t>优先保护单元</w:t>
            </w:r>
            <w:r>
              <w:rPr>
                <w:rFonts w:hint="eastAsia"/>
                <w:color w:val="000000" w:themeColor="text1"/>
                <w:sz w:val="24"/>
                <w:lang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项目与《内蒙古自治区“三线一单”生态环境分区管控》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1-7</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表1-7  项目与《内蒙古自治区“三线一单”生态环境分区管控》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617"/>
              <w:gridCol w:w="4375"/>
              <w:gridCol w:w="2292"/>
              <w:gridCol w:w="123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84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9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20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84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内蒙古自治区</w:t>
                  </w:r>
                  <w:r>
                    <w:rPr>
                      <w:rFonts w:hint="eastAsia"/>
                      <w:color w:val="000000" w:themeColor="text1"/>
                      <w:sz w:val="21"/>
                      <w:szCs w:val="21"/>
                      <w:lang w:val="en-US" w:eastAsia="zh-CN"/>
                      <w14:textFill>
                        <w14:solidFill>
                          <w14:schemeClr w14:val="tx1"/>
                        </w14:solidFill>
                      </w14:textFill>
                    </w:rPr>
                    <w:t>“三线一单”生态环境分区管控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优先保护单元：该区域以生态环境保护优先为原则，依法禁止或限制大规模、高强度的工业开发和城镇建设，确保生态环境功能不降低。</w:t>
                  </w:r>
                </w:p>
              </w:tc>
              <w:tc>
                <w:tcPr>
                  <w:tcW w:w="1203" w:type="pct"/>
                  <w:vMerge w:val="restart"/>
                  <w:tcBorders>
                    <w:tl2br w:val="nil"/>
                    <w:tr2bl w:val="nil"/>
                  </w:tcBorders>
                  <w:noWrap w:val="0"/>
                  <w:tcMar>
                    <w:top w:w="15" w:type="dxa"/>
                    <w:left w:w="15" w:type="dxa"/>
                    <w:bottom w:w="0" w:type="dxa"/>
                    <w:right w:w="15" w:type="dxa"/>
                  </w:tcMar>
                  <w:vAlign w:val="center"/>
                </w:tcPr>
                <w:p>
                  <w:pPr>
                    <w:pStyle w:val="16"/>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本项目2022年的钻孔不占用优先保护单元</w:t>
                  </w:r>
                  <w:r>
                    <w:rPr>
                      <w:rFonts w:hint="eastAsia" w:ascii="Times New Roman" w:hAnsi="Times New Roman" w:cs="Times New Roman"/>
                      <w:color w:val="000000" w:themeColor="text1"/>
                      <w:sz w:val="21"/>
                      <w:szCs w:val="21"/>
                      <w:lang w:val="en-US" w:eastAsia="zh-CN" w:bidi="ar-SA"/>
                      <w14:textFill>
                        <w14:solidFill>
                          <w14:schemeClr w14:val="tx1"/>
                        </w14:solidFill>
                      </w14:textFill>
                    </w:rPr>
                    <w:t>，不涉及生态红线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，也不占用国家和自治区级自然保护区、风景名胜区、水源保护地、国家级森林公园、地质公园等环境敏感区。评价要求2023-2026年的拟布设的钻孔也不得占用上述保护目标。</w:t>
                  </w:r>
                </w:p>
              </w:tc>
              <w:tc>
                <w:tcPr>
                  <w:tcW w:w="650"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重点管控单元：该区域应不断提升资源利用效率，有针对性地加强污染物排放控制和环境风险防控，解决生态环境质量不达标、生态环境风险高等问题。</w:t>
                  </w:r>
                </w:p>
              </w:tc>
              <w:tc>
                <w:tcPr>
                  <w:tcW w:w="1203" w:type="pct"/>
                  <w:vMerge w:val="continue"/>
                  <w:tcBorders>
                    <w:tl2br w:val="nil"/>
                    <w:tr2bl w:val="nil"/>
                  </w:tcBorders>
                  <w:noWrap w:val="0"/>
                  <w:tcMar>
                    <w:top w:w="15" w:type="dxa"/>
                    <w:left w:w="15" w:type="dxa"/>
                    <w:bottom w:w="0" w:type="dxa"/>
                    <w:right w:w="15" w:type="dxa"/>
                  </w:tcMar>
                  <w:vAlign w:val="center"/>
                </w:tcPr>
                <w:p>
                  <w:pPr>
                    <w:pStyle w:val="16"/>
                    <w:rPr>
                      <w:rFonts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17"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一般管控单元：主要落实生态环境保护基本要求。</w:t>
                  </w:r>
                </w:p>
              </w:tc>
              <w:tc>
                <w:tcPr>
                  <w:tcW w:w="1203" w:type="pct"/>
                  <w:vMerge w:val="continue"/>
                  <w:tcBorders>
                    <w:tl2br w:val="nil"/>
                    <w:tr2bl w:val="nil"/>
                  </w:tcBorders>
                  <w:noWrap w:val="0"/>
                  <w:tcMar>
                    <w:top w:w="15" w:type="dxa"/>
                    <w:left w:w="15" w:type="dxa"/>
                    <w:bottom w:w="0" w:type="dxa"/>
                    <w:right w:w="15" w:type="dxa"/>
                  </w:tcMar>
                  <w:vAlign w:val="center"/>
                </w:tcPr>
                <w:p>
                  <w:pPr>
                    <w:pStyle w:val="16"/>
                    <w:rPr>
                      <w:rFonts w:hint="eastAsia"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numPr>
                <w:ilvl w:val="0"/>
                <w:numId w:val="0"/>
              </w:numPr>
              <w:spacing w:line="360" w:lineRule="auto"/>
              <w:ind w:leftChars="0" w:firstLine="480" w:firstLineChars="200"/>
              <w:rPr>
                <w:rFonts w:hint="eastAsia"/>
                <w:b/>
                <w:bCs/>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综上所述，本项目符合《内蒙古自治区主体功能区规划》</w:t>
            </w:r>
            <w:r>
              <w:rPr>
                <w:rFonts w:hint="eastAsia"/>
                <w:bCs/>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《内蒙古自治区矿产资源总体规划（2016-2020年）》</w:t>
            </w:r>
            <w:r>
              <w:rPr>
                <w:rFonts w:hint="eastAsia"/>
                <w:color w:val="000000" w:themeColor="text1"/>
                <w:sz w:val="24"/>
                <w:lang w:val="en-US" w:eastAsia="zh-CN"/>
                <w14:textFill>
                  <w14:solidFill>
                    <w14:schemeClr w14:val="tx1"/>
                  </w14:solidFill>
                </w14:textFill>
              </w:rPr>
              <w:t>和《内蒙古自治区“三线一单”生态环境分区管控》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的要求。</w:t>
            </w:r>
          </w:p>
          <w:p>
            <w:pPr>
              <w:numPr>
                <w:ilvl w:val="0"/>
                <w:numId w:val="0"/>
              </w:numPr>
              <w:spacing w:line="360" w:lineRule="auto"/>
              <w:ind w:leftChars="0"/>
              <w:rPr>
                <w:b/>
                <w:bCs/>
                <w:color w:val="000000" w:themeColor="text1"/>
                <w:sz w:val="24"/>
                <w:lang w:val="en-GB"/>
                <w14:textFill>
                  <w14:solidFill>
                    <w14:schemeClr w14:val="tx1"/>
                  </w14:solidFill>
                </w14:textFill>
              </w:rPr>
            </w:pPr>
            <w:r>
              <w:rPr>
                <w:rFonts w:hint="eastAsia"/>
                <w:b/>
                <w:bCs/>
                <w:color w:val="000000" w:themeColor="text1"/>
                <w:sz w:val="24"/>
                <w:lang w:val="en-US" w:eastAsia="zh-CN"/>
                <w14:textFill>
                  <w14:solidFill>
                    <w14:schemeClr w14:val="tx1"/>
                  </w14:solidFill>
                </w14:textFill>
              </w:rPr>
              <w:t>2.4</w:t>
            </w:r>
            <w:r>
              <w:rPr>
                <w:rFonts w:hint="eastAsia"/>
                <w:b/>
                <w:bCs/>
                <w:color w:val="000000" w:themeColor="text1"/>
                <w:sz w:val="24"/>
                <w:lang w:val="en-GB"/>
                <w14:textFill>
                  <w14:solidFill>
                    <w14:schemeClr w14:val="tx1"/>
                  </w14:solidFill>
                </w14:textFill>
              </w:rPr>
              <w:t>选址可行性分析</w:t>
            </w:r>
          </w:p>
          <w:p>
            <w:pPr>
              <w:spacing w:line="360" w:lineRule="auto"/>
              <w:ind w:firstLine="480" w:firstLineChars="200"/>
              <w:rPr>
                <w:rFonts w:hint="default" w:ascii="Times New Roman" w:hAnsi="Times New Roman" w:cs="Times New Roman"/>
                <w:color w:val="000000" w:themeColor="text1"/>
                <w:kern w:val="2"/>
                <w:sz w:val="24"/>
                <w:szCs w:val="24"/>
                <w:lang w:eastAsia="zh-CN" w:bidi="ar-SA"/>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cs="Times New Roman"/>
                <w:color w:val="000000" w:themeColor="text1"/>
                <w:kern w:val="0"/>
                <w:sz w:val="24"/>
                <w:lang w:val="en-US" w:eastAsia="zh-CN"/>
                <w14:textFill>
                  <w14:solidFill>
                    <w14:schemeClr w14:val="tx1"/>
                  </w14:solidFill>
                </w14:textFill>
              </w:rPr>
              <w:t>涉及甘肃省、</w:t>
            </w:r>
            <w:r>
              <w:rPr>
                <w:rFonts w:hint="eastAsia"/>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国家级森林公园、地质公园等环境敏感区，202</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2</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年初步拟布设的钻探施工对周边环境敏感保护目标造成影响较小，从环保角度分析，本项目选址可行。</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因铀矿地质勘查过程中，钻孔位置在勘查区内</w:t>
            </w:r>
            <w:r>
              <w:rPr>
                <w:rFonts w:hint="eastAsia"/>
                <w:color w:val="000000" w:themeColor="text1"/>
                <w:sz w:val="24"/>
                <w14:textFill>
                  <w14:solidFill>
                    <w14:schemeClr w14:val="tx1"/>
                  </w14:solidFill>
                </w14:textFill>
              </w:rPr>
              <w:t>一般按照“边施工、边研究、边调整”的原则布置，具有不确定性，因此，</w:t>
            </w:r>
            <w:r>
              <w:rPr>
                <w:rFonts w:hint="eastAsia"/>
                <w:color w:val="000000" w:themeColor="text1"/>
                <w:sz w:val="24"/>
                <w:lang w:val="en-US" w:eastAsia="zh-CN"/>
                <w14:textFill>
                  <w14:solidFill>
                    <w14:schemeClr w14:val="tx1"/>
                  </w14:solidFill>
                </w14:textFill>
              </w:rPr>
              <w:t>评价针对拟设钻孔等工程选址提出以下原则性要求：</w:t>
            </w:r>
          </w:p>
          <w:p>
            <w:pPr>
              <w:spacing w:line="360" w:lineRule="auto"/>
              <w:ind w:firstLine="480" w:firstLineChars="200"/>
              <w:rPr>
                <w:rFonts w:hint="eastAsia" w:ascii="宋体" w:hAnsi="宋体" w:cs="宋体"/>
                <w:color w:val="000000" w:themeColor="text1"/>
                <w:sz w:val="24"/>
                <w:szCs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w:t>
            </w:r>
            <w:r>
              <w:rPr>
                <w:rFonts w:hint="eastAsia" w:ascii="宋体" w:hAnsi="宋体" w:eastAsia="宋体" w:cs="宋体"/>
                <w:b w:val="0"/>
                <w:bCs w:val="0"/>
                <w:color w:val="000000" w:themeColor="text1"/>
                <w:sz w:val="24"/>
                <w:lang w:eastAsia="zh-CN"/>
                <w14:textFill>
                  <w14:solidFill>
                    <w14:schemeClr w14:val="tx1"/>
                  </w14:solidFill>
                </w14:textFill>
              </w:rPr>
              <w:t>经调查，</w:t>
            </w:r>
            <w:r>
              <w:rPr>
                <w:rFonts w:hint="eastAsia" w:ascii="宋体" w:hAnsi="宋体" w:cs="宋体"/>
                <w:b w:val="0"/>
                <w:bCs w:val="0"/>
                <w:color w:val="000000" w:themeColor="text1"/>
                <w:sz w:val="24"/>
                <w:lang w:val="en-US" w:eastAsia="zh-CN"/>
                <w14:textFill>
                  <w14:solidFill>
                    <w14:schemeClr w14:val="tx1"/>
                  </w14:solidFill>
                </w14:textFill>
              </w:rPr>
              <w:t>勘查区（</w:t>
            </w:r>
            <w:r>
              <w:rPr>
                <w:rFonts w:ascii="宋体" w:hAnsi="宋体" w:eastAsia="宋体" w:cs="宋体"/>
                <w:color w:val="000000" w:themeColor="text1"/>
                <w:sz w:val="24"/>
                <w:szCs w:val="24"/>
                <w14:textFill>
                  <w14:solidFill>
                    <w14:schemeClr w14:val="tx1"/>
                  </w14:solidFill>
                </w14:textFill>
              </w:rPr>
              <w:t>内蒙古</w:t>
            </w:r>
            <w:r>
              <w:rPr>
                <w:rFonts w:hint="eastAsia" w:ascii="宋体" w:hAnsi="宋体" w:cs="宋体"/>
                <w:color w:val="000000" w:themeColor="text1"/>
                <w:sz w:val="24"/>
                <w:szCs w:val="24"/>
                <w:lang w:val="en-US" w:eastAsia="zh-CN"/>
                <w14:textFill>
                  <w14:solidFill>
                    <w14:schemeClr w14:val="tx1"/>
                  </w14:solidFill>
                </w14:textFill>
              </w:rPr>
              <w:t>自治区和甘肃省）</w:t>
            </w:r>
            <w:r>
              <w:rPr>
                <w:rFonts w:hint="eastAsia" w:ascii="宋体" w:hAnsi="宋体" w:cs="宋体"/>
                <w:b w:val="0"/>
                <w:bCs w:val="0"/>
                <w:color w:val="000000" w:themeColor="text1"/>
                <w:sz w:val="24"/>
                <w:lang w:val="en-US" w:eastAsia="zh-CN"/>
                <w14:textFill>
                  <w14:solidFill>
                    <w14:schemeClr w14:val="tx1"/>
                  </w14:solidFill>
                </w14:textFill>
              </w:rPr>
              <w:t>分布的</w:t>
            </w:r>
            <w:r>
              <w:rPr>
                <w:rFonts w:hint="eastAsia"/>
                <w:color w:val="000000" w:themeColor="text1"/>
                <w:sz w:val="24"/>
                <w:szCs w:val="24"/>
                <w:lang w:val="en-US" w:eastAsia="zh-CN"/>
                <w14:textFill>
                  <w14:solidFill>
                    <w14:schemeClr w14:val="tx1"/>
                  </w14:solidFill>
                </w14:textFill>
              </w:rPr>
              <w:t>自然保护区、风景名胜区、森林公园、地质公园、重要湿地、水源保护地、文化遗产等</w:t>
            </w:r>
            <w:r>
              <w:rPr>
                <w:rFonts w:hint="eastAsia" w:ascii="宋体" w:hAnsi="宋体" w:eastAsia="宋体" w:cs="宋体"/>
                <w:b w:val="0"/>
                <w:bCs w:val="0"/>
                <w:color w:val="000000" w:themeColor="text1"/>
                <w:sz w:val="24"/>
                <w:lang w:val="en-US" w:eastAsia="zh-CN"/>
                <w14:textFill>
                  <w14:solidFill>
                    <w14:schemeClr w14:val="tx1"/>
                  </w14:solidFill>
                </w14:textFill>
              </w:rPr>
              <w:t>环境敏感区</w:t>
            </w:r>
            <w:r>
              <w:rPr>
                <w:rFonts w:hint="eastAsia" w:ascii="宋体" w:hAnsi="宋体" w:cs="宋体"/>
                <w:color w:val="000000" w:themeColor="text1"/>
                <w:sz w:val="24"/>
                <w:szCs w:val="24"/>
                <w:lang w:val="en-US" w:eastAsia="zh-CN"/>
                <w14:textFill>
                  <w14:solidFill>
                    <w14:schemeClr w14:val="tx1"/>
                  </w14:solidFill>
                </w14:textFill>
              </w:rPr>
              <w:t>，建议调整的钻孔、临时道路修建等工程对上述环境敏感区进行避让；</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因本项目2023-2026年钻孔位置尚未确定，为贯彻落实国家、地方生态保护的各项规定，最大限度减小项目生态环境的影响，2023-2026年拟设钻孔选址应对上述敏感区及生态红线进行避让，钻孔位置明确后在施工前及时向审批部门及属地监管部门进行报备。</w:t>
            </w:r>
          </w:p>
          <w:p>
            <w:pPr>
              <w:spacing w:line="360" w:lineRule="auto"/>
              <w:ind w:firstLine="480" w:firstLineChars="200"/>
              <w:rPr>
                <w:rFonts w:hint="eastAsia"/>
                <w:color w:val="000000" w:themeColor="text1"/>
                <w:kern w:val="2"/>
                <w:sz w:val="24"/>
                <w:szCs w:val="24"/>
                <w:lang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②</w:t>
            </w:r>
            <w:r>
              <w:rPr>
                <w:rFonts w:hint="eastAsia"/>
                <w:color w:val="000000" w:themeColor="text1"/>
                <w:kern w:val="2"/>
                <w:sz w:val="24"/>
                <w:szCs w:val="24"/>
                <w:lang w:eastAsia="zh-CN" w:bidi="ar-SA"/>
                <w14:textFill>
                  <w14:solidFill>
                    <w14:schemeClr w14:val="tx1"/>
                  </w14:solidFill>
                </w14:textFill>
              </w:rPr>
              <w:t>拟设钻孔、临时道路修建等还应对勘查区内基本农田保护区、城乡规划区等保护目标进行避让，建议钻孔与周边村庄集中居住区距离不小于250m；</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对</w:t>
            </w:r>
            <w:r>
              <w:rPr>
                <w:rFonts w:ascii="宋体" w:hAnsi="宋体" w:eastAsia="宋体" w:cs="宋体"/>
                <w:color w:val="000000" w:themeColor="text1"/>
                <w:sz w:val="24"/>
                <w:szCs w:val="24"/>
                <w14:textFill>
                  <w14:solidFill>
                    <w14:schemeClr w14:val="tx1"/>
                  </w14:solidFill>
                </w14:textFill>
              </w:rPr>
              <w:t>内蒙古</w:t>
            </w:r>
            <w:r>
              <w:rPr>
                <w:rFonts w:hint="eastAsia" w:ascii="宋体" w:hAnsi="宋体" w:cs="宋体"/>
                <w:color w:val="000000" w:themeColor="text1"/>
                <w:sz w:val="24"/>
                <w:szCs w:val="24"/>
                <w:lang w:val="en-US" w:eastAsia="zh-CN"/>
                <w14:textFill>
                  <w14:solidFill>
                    <w14:schemeClr w14:val="tx1"/>
                  </w14:solidFill>
                </w14:textFill>
              </w:rPr>
              <w:t>自治区和甘肃省</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numPr>
                <w:ilvl w:val="0"/>
                <w:numId w:val="0"/>
              </w:numPr>
              <w:spacing w:line="360" w:lineRule="auto"/>
              <w:rPr>
                <w:rFonts w:hint="eastAsia" w:eastAsia="黑体"/>
                <w:color w:val="000000" w:themeColor="text1"/>
                <w:sz w:val="24"/>
                <w:lang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3、</w:t>
            </w:r>
            <w:r>
              <w:rPr>
                <w:rFonts w:hint="eastAsia" w:eastAsia="黑体"/>
                <w:color w:val="000000" w:themeColor="text1"/>
                <w:sz w:val="24"/>
                <w14:textFill>
                  <w14:solidFill>
                    <w14:schemeClr w14:val="tx1"/>
                  </w14:solidFill>
                </w14:textFill>
              </w:rPr>
              <w:t>本项目情况</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.1项目基本情况</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bookmarkStart w:id="2" w:name="_Hlk96353093"/>
            <w:r>
              <w:rPr>
                <w:rFonts w:hint="eastAsia"/>
                <w:color w:val="000000" w:themeColor="text1"/>
                <w:sz w:val="24"/>
                <w14:textFill>
                  <w14:solidFill>
                    <w14:schemeClr w14:val="tx1"/>
                  </w14:solidFill>
                </w14:textFill>
              </w:rPr>
              <w:t>项目名称：</w:t>
            </w:r>
            <w:r>
              <w:rPr>
                <w:rFonts w:hint="eastAsia"/>
                <w:color w:val="000000" w:themeColor="text1"/>
                <w:sz w:val="24"/>
                <w:lang w:val="en-GB"/>
                <w14:textFill>
                  <w14:solidFill>
                    <w14:schemeClr w14:val="tx1"/>
                  </w14:solidFill>
                </w14:textFill>
              </w:rPr>
              <w:t>巴丹吉林盆地及周缘铀矿资源调查评价</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工作性质：区域评价</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工作年限：2</w:t>
            </w:r>
            <w:r>
              <w:rPr>
                <w:color w:val="000000" w:themeColor="text1"/>
                <w:sz w:val="24"/>
                <w14:textFill>
                  <w14:solidFill>
                    <w14:schemeClr w14:val="tx1"/>
                  </w14:solidFill>
                </w14:textFill>
              </w:rPr>
              <w:t>02</w:t>
            </w:r>
            <w:r>
              <w:rPr>
                <w:rFonts w:hint="eastAsia"/>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6年</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.2</w:t>
            </w:r>
            <w:r>
              <w:rPr>
                <w:rFonts w:hint="eastAsia"/>
                <w:b/>
                <w:bCs/>
                <w:color w:val="000000" w:themeColor="text1"/>
                <w:sz w:val="24"/>
                <w:lang w:val="en-US" w:eastAsia="zh-CN"/>
                <w14:textFill>
                  <w14:solidFill>
                    <w14:schemeClr w14:val="tx1"/>
                  </w14:solidFill>
                </w14:textFill>
              </w:rPr>
              <w:t>勘查区</w:t>
            </w:r>
            <w:r>
              <w:rPr>
                <w:rFonts w:hint="eastAsia"/>
                <w:b/>
                <w:bCs/>
                <w:color w:val="000000" w:themeColor="text1"/>
                <w:sz w:val="24"/>
                <w14:textFill>
                  <w14:solidFill>
                    <w14:schemeClr w14:val="tx1"/>
                  </w14:solidFill>
                </w14:textFill>
              </w:rPr>
              <w:t>范围</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Cs/>
                <w:color w:val="000000" w:themeColor="text1"/>
                <w:sz w:val="24"/>
                <w:szCs w:val="20"/>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勘查区位于巴丹吉林盆地及其周缘，拟设5个勘查区进行钻探工作，包括</w:t>
            </w:r>
            <w:r>
              <w:rPr>
                <w:rFonts w:hint="eastAsia"/>
                <w:color w:val="000000" w:themeColor="text1"/>
                <w:sz w:val="24"/>
                <w:lang w:val="en-US" w:eastAsia="zh-CN"/>
                <w14:textFill>
                  <w14:solidFill>
                    <w14:schemeClr w14:val="tx1"/>
                  </w14:solidFill>
                </w14:textFill>
              </w:rPr>
              <w:t>巴丹吉林盆地勘查区、潮水盆地勘查区、走廊盆地勘查区、武腾盆地勘查区及北山地区勘查区</w:t>
            </w:r>
            <w:r>
              <w:rPr>
                <w:rFonts w:hint="eastAsia" w:ascii="Times New Roman" w:hAnsi="Times New Roman" w:eastAsia="宋体" w:cs="Times New Roman"/>
                <w:bCs/>
                <w:color w:val="000000" w:themeColor="text1"/>
                <w:sz w:val="24"/>
                <w:szCs w:val="20"/>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本项目勘查区拐点坐标见表1-8，勘查区地理位置图见附图5。</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eastAsia"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表1-8  本项目勘查区拐点坐标一览表</w:t>
            </w:r>
          </w:p>
          <w:tbl>
            <w:tblPr>
              <w:tblStyle w:val="11"/>
              <w:tblW w:w="499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54"/>
              <w:gridCol w:w="1062"/>
              <w:gridCol w:w="2628"/>
              <w:gridCol w:w="2383"/>
              <w:gridCol w:w="23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w:t>
                  </w:r>
                  <w:r>
                    <w:rPr>
                      <w:rFonts w:hint="default" w:ascii="Times New Roman" w:hAnsi="Times New Roman" w:eastAsia="宋体" w:cs="Times New Roman"/>
                      <w:color w:val="000000" w:themeColor="text1"/>
                      <w:sz w:val="21"/>
                      <w:szCs w:val="21"/>
                      <w14:textFill>
                        <w14:solidFill>
                          <w14:schemeClr w14:val="tx1"/>
                        </w14:solidFill>
                      </w14:textFill>
                    </w:rPr>
                    <w:t>地区</w:t>
                  </w: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序号</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东经</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北纬</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主要行政区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巴丹吉林</w:t>
                  </w:r>
                </w:p>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盆地</w:t>
                  </w:r>
                  <w:r>
                    <w:rPr>
                      <w:rFonts w:hint="eastAsia" w:cs="Times New Roman"/>
                      <w:color w:val="000000" w:themeColor="text1"/>
                      <w:sz w:val="21"/>
                      <w:szCs w:val="21"/>
                      <w:lang w:val="en-US" w:eastAsia="zh-CN"/>
                      <w14:textFill>
                        <w14:solidFill>
                          <w14:schemeClr w14:val="tx1"/>
                        </w14:solidFill>
                      </w14:textFill>
                    </w:rPr>
                    <w:t>勘查区</w:t>
                  </w: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99°27′49″</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40°36′18″</w:t>
                  </w:r>
                </w:p>
              </w:tc>
              <w:tc>
                <w:tcPr>
                  <w:tcW w:w="1252" w:type="pct"/>
                  <w:vMerge w:val="restar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内蒙古自治区阿拉善盟盟额济纳旗，甘肃酒泉市金塔县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100°05′36″</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41°07′19″</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99°20′56″</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41°54′25″</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100°28′41″</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42°40′33″</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100°52′27″</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42°39′22″</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101°48′40″</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42°28′04″</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102°05′32″</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41°46′35″</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101°04′14″</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40°38′20″</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99°50′40″</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40°20′04″</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潮水盆地</w:t>
                  </w:r>
                  <w:r>
                    <w:rPr>
                      <w:rFonts w:hint="eastAsia" w:cs="Times New Roman"/>
                      <w:color w:val="000000" w:themeColor="text1"/>
                      <w:sz w:val="21"/>
                      <w:szCs w:val="21"/>
                      <w:lang w:val="en-US" w:eastAsia="zh-CN"/>
                      <w14:textFill>
                        <w14:solidFill>
                          <w14:schemeClr w14:val="tx1"/>
                        </w14:solidFill>
                      </w14:textFill>
                    </w:rPr>
                    <w:t>勘查区</w:t>
                  </w: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99°58′17″</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39°19′14″</w:t>
                  </w:r>
                </w:p>
              </w:tc>
              <w:tc>
                <w:tcPr>
                  <w:tcW w:w="1252" w:type="pct"/>
                  <w:vMerge w:val="restar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lang w:val="en-US"/>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内蒙古自治区阿拉善盟右旗、左旗，甘肃张掖市（临泽县、甘州区和山丹县）、金昌市、武威市（民勤县）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100°25′43″</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39°40′31″</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101°43′33″</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39°17′07″</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102°41′12″</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39°04′03″</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104°12′25″</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39°14′47″</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104°11′26″</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38°46′15″</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103°17′34″</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38°19′39″</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102°25′45″</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38°20′01″</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101°58′11″</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38°37′06″</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101°43′33″</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38°44′52″</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11</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101°14′08″</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38°52′14″</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12</w:t>
                  </w:r>
                </w:p>
              </w:tc>
              <w:tc>
                <w:tcPr>
                  <w:tcW w:w="1381"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101°02′52″</w:t>
                  </w:r>
                </w:p>
              </w:tc>
              <w:tc>
                <w:tcPr>
                  <w:tcW w:w="125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38°52′11″</w:t>
                  </w:r>
                </w:p>
              </w:tc>
              <w:tc>
                <w:tcPr>
                  <w:tcW w:w="1252"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武腾盆地</w:t>
                  </w:r>
                  <w:r>
                    <w:rPr>
                      <w:rFonts w:hint="eastAsia" w:cs="Times New Roman"/>
                      <w:color w:val="000000" w:themeColor="text1"/>
                      <w:sz w:val="21"/>
                      <w:szCs w:val="21"/>
                      <w:lang w:val="en-US" w:eastAsia="zh-CN"/>
                      <w14:textFill>
                        <w14:solidFill>
                          <w14:schemeClr w14:val="tx1"/>
                        </w14:solidFill>
                      </w14:textFill>
                    </w:rPr>
                    <w:t>勘查区</w:t>
                  </w: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102°56′</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0</w:t>
                  </w:r>
                  <w:r>
                    <w:rPr>
                      <w:rFonts w:hint="default" w:ascii="Times New Roman" w:hAnsi="Times New Roman" w:eastAsia="宋体" w:cs="Times New Roman"/>
                      <w:color w:val="000000" w:themeColor="text1"/>
                      <w:sz w:val="21"/>
                      <w:szCs w:val="21"/>
                      <w14:textFill>
                        <w14:solidFill>
                          <w14:schemeClr w14:val="tx1"/>
                        </w14:solidFill>
                      </w14:textFill>
                    </w:rPr>
                    <w:t>9″</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37°41′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10</w:t>
                  </w:r>
                  <w:r>
                    <w:rPr>
                      <w:rFonts w:hint="default" w:ascii="Times New Roman" w:hAnsi="Times New Roman" w:eastAsia="宋体" w:cs="Times New Roman"/>
                      <w:color w:val="000000" w:themeColor="text1"/>
                      <w:sz w:val="21"/>
                      <w:szCs w:val="21"/>
                      <w14:textFill>
                        <w14:solidFill>
                          <w14:schemeClr w14:val="tx1"/>
                        </w14:solidFill>
                      </w14:textFill>
                    </w:rPr>
                    <w:t>″</w:t>
                  </w:r>
                </w:p>
              </w:tc>
              <w:tc>
                <w:tcPr>
                  <w:tcW w:w="1252"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甘肃金昌市、武威市（民勤县、凉州区和古浪县），内蒙古自治区阿拉善盟左旗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101°53′18″</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38°09′06″</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101°53′04″</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38°23′22″</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105°39′20″</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38°19′45″</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5</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104°52′4</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1</w:t>
                  </w:r>
                  <w:r>
                    <w:rPr>
                      <w:rFonts w:hint="default" w:ascii="Times New Roman" w:hAnsi="Times New Roman" w:eastAsia="宋体" w:cs="Times New Roman"/>
                      <w:color w:val="000000" w:themeColor="text1"/>
                      <w:sz w:val="21"/>
                      <w:szCs w:val="21"/>
                      <w14:textFill>
                        <w14:solidFill>
                          <w14:schemeClr w14:val="tx1"/>
                        </w14:solidFill>
                      </w14:textFill>
                    </w:rPr>
                    <w:t>″</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37°42′35″</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北山地区勘查区</w:t>
                  </w: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98°21′52″</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40°29′57″</w:t>
                  </w:r>
                </w:p>
              </w:tc>
              <w:tc>
                <w:tcPr>
                  <w:tcW w:w="1252"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内蒙古自治区阿拉善盟盟额济纳旗，甘肃酒泉市（肃北蒙古族自治县、玉门市和金塔县）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97°04′41″</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41°05′11″</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96°57′48″</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42°41′28″</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4"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99°24′01″</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42°29′40″</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5</w:t>
                  </w:r>
                </w:p>
              </w:tc>
              <w:tc>
                <w:tcPr>
                  <w:tcW w:w="1381"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99°28′29″</w:t>
                  </w:r>
                </w:p>
              </w:tc>
              <w:tc>
                <w:tcPr>
                  <w:tcW w:w="1252"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40°32′40″</w:t>
                  </w:r>
                </w:p>
              </w:tc>
              <w:tc>
                <w:tcPr>
                  <w:tcW w:w="1252"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走廊盆地</w:t>
                  </w:r>
                  <w:r>
                    <w:rPr>
                      <w:rFonts w:hint="eastAsia" w:cs="Times New Roman"/>
                      <w:color w:val="000000" w:themeColor="text1"/>
                      <w:sz w:val="21"/>
                      <w:szCs w:val="21"/>
                      <w:lang w:val="en-US" w:eastAsia="zh-CN"/>
                      <w14:textFill>
                        <w14:solidFill>
                          <w14:schemeClr w14:val="tx1"/>
                        </w14:solidFill>
                      </w14:textFill>
                    </w:rPr>
                    <w:t>勘查区</w:t>
                  </w: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381"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92°42′3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9</w:t>
                  </w:r>
                  <w:r>
                    <w:rPr>
                      <w:rFonts w:hint="default" w:ascii="Times New Roman" w:hAnsi="Times New Roman" w:eastAsia="宋体" w:cs="Times New Roman"/>
                      <w:color w:val="000000" w:themeColor="text1"/>
                      <w:sz w:val="21"/>
                      <w:szCs w:val="21"/>
                      <w14:textFill>
                        <w14:solidFill>
                          <w14:schemeClr w14:val="tx1"/>
                        </w14:solidFill>
                      </w14:textFill>
                    </w:rPr>
                    <w:t>″</w:t>
                  </w:r>
                </w:p>
              </w:tc>
              <w:tc>
                <w:tcPr>
                  <w:tcW w:w="1252"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39°15′2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6</w:t>
                  </w:r>
                  <w:r>
                    <w:rPr>
                      <w:rFonts w:hint="default" w:ascii="Times New Roman" w:hAnsi="Times New Roman" w:eastAsia="宋体" w:cs="Times New Roman"/>
                      <w:color w:val="000000" w:themeColor="text1"/>
                      <w:sz w:val="21"/>
                      <w:szCs w:val="21"/>
                      <w14:textFill>
                        <w14:solidFill>
                          <w14:schemeClr w14:val="tx1"/>
                        </w14:solidFill>
                      </w14:textFill>
                    </w:rPr>
                    <w:t>″</w:t>
                  </w:r>
                </w:p>
              </w:tc>
              <w:tc>
                <w:tcPr>
                  <w:tcW w:w="1252" w:type="pct"/>
                  <w:vMerge w:val="restart"/>
                  <w:tcBorders>
                    <w:tl2br w:val="nil"/>
                    <w:tr2bl w:val="nil"/>
                  </w:tcBorders>
                  <w:vAlign w:val="top"/>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甘肃酒泉市（阿克塞哈萨克族自治县、敦煌市、瓜州县和玉门市）、嘉峪关市、张掖市（高台县和肃南裕固族自治县）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381"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93°9′</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01</w:t>
                  </w:r>
                  <w:r>
                    <w:rPr>
                      <w:rFonts w:hint="default" w:ascii="Times New Roman" w:hAnsi="Times New Roman" w:eastAsia="宋体" w:cs="Times New Roman"/>
                      <w:color w:val="000000" w:themeColor="text1"/>
                      <w:sz w:val="21"/>
                      <w:szCs w:val="21"/>
                      <w14:textFill>
                        <w14:solidFill>
                          <w14:schemeClr w14:val="tx1"/>
                        </w14:solidFill>
                      </w14:textFill>
                    </w:rPr>
                    <w:t>″</w:t>
                  </w:r>
                </w:p>
              </w:tc>
              <w:tc>
                <w:tcPr>
                  <w:tcW w:w="1252"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40°31′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03</w:t>
                  </w:r>
                  <w:r>
                    <w:rPr>
                      <w:rFonts w:hint="default" w:ascii="Times New Roman" w:hAnsi="Times New Roman" w:eastAsia="宋体" w:cs="Times New Roman"/>
                      <w:color w:val="000000" w:themeColor="text1"/>
                      <w:sz w:val="21"/>
                      <w:szCs w:val="21"/>
                      <w14:textFill>
                        <w14:solidFill>
                          <w14:schemeClr w14:val="tx1"/>
                        </w14:solidFill>
                      </w14:textFill>
                    </w:rPr>
                    <w:t>″</w:t>
                  </w:r>
                </w:p>
              </w:tc>
              <w:tc>
                <w:tcPr>
                  <w:tcW w:w="1252" w:type="pct"/>
                  <w:vMerge w:val="continue"/>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1381"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96°18′58″</w:t>
                  </w:r>
                </w:p>
              </w:tc>
              <w:tc>
                <w:tcPr>
                  <w:tcW w:w="1252"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41°06′10″</w:t>
                  </w:r>
                </w:p>
              </w:tc>
              <w:tc>
                <w:tcPr>
                  <w:tcW w:w="1252" w:type="pct"/>
                  <w:vMerge w:val="continue"/>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1381"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100°02′53″</w:t>
                  </w:r>
                </w:p>
              </w:tc>
              <w:tc>
                <w:tcPr>
                  <w:tcW w:w="1252"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39°46′15″</w:t>
                  </w:r>
                </w:p>
              </w:tc>
              <w:tc>
                <w:tcPr>
                  <w:tcW w:w="1252" w:type="pct"/>
                  <w:vMerge w:val="continue"/>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54"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5</w:t>
                  </w:r>
                </w:p>
              </w:tc>
              <w:tc>
                <w:tcPr>
                  <w:tcW w:w="1381"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99°30′28″</w:t>
                  </w:r>
                </w:p>
              </w:tc>
              <w:tc>
                <w:tcPr>
                  <w:tcW w:w="1252" w:type="pct"/>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39°09′35″</w:t>
                  </w:r>
                </w:p>
              </w:tc>
              <w:tc>
                <w:tcPr>
                  <w:tcW w:w="1252" w:type="pct"/>
                  <w:vMerge w:val="continue"/>
                  <w:tcBorders>
                    <w:tl2br w:val="nil"/>
                    <w:tr2bl w:val="nil"/>
                  </w:tcBorders>
                  <w:vAlign w:val="top"/>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bl>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4、主要工作内容</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根据设计文件，2022年在巴丹吉林盆地和潮水盆地布设机械岩心钻探工作，工作量为16000m，共布设钻孔31个；2023-2026年拟在巴丹吉林盆地、潮水盆地和北山地区新增钻探工作量101000m，拟设钻孔213个。</w:t>
            </w:r>
          </w:p>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5、钻探布置</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（1）工作部署</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2022年在</w:t>
            </w:r>
            <w:r>
              <w:rPr>
                <w:rFonts w:hint="eastAsia"/>
                <w:color w:val="000000" w:themeColor="text1"/>
                <w:sz w:val="24"/>
                <w:lang w:val="en-US" w:eastAsia="zh-CN"/>
                <w14:textFill>
                  <w14:solidFill>
                    <w14:schemeClr w14:val="tx1"/>
                  </w14:solidFill>
                </w14:textFill>
              </w:rPr>
              <w:t>丹吉林盆地勘查区、潮水盆地勘查区</w:t>
            </w:r>
            <w:r>
              <w:rPr>
                <w:rFonts w:hint="eastAsia" w:eastAsia="宋体"/>
                <w:color w:val="000000" w:themeColor="text1"/>
                <w:sz w:val="24"/>
                <w:szCs w:val="24"/>
                <w:lang w:val="en-US" w:eastAsia="zh-CN"/>
                <w14:textFill>
                  <w14:solidFill>
                    <w14:schemeClr w14:val="tx1"/>
                  </w14:solidFill>
                </w14:textFill>
              </w:rPr>
              <w:t>开展钻探工作，2023</w:t>
            </w:r>
            <w:r>
              <w:rPr>
                <w:rFonts w:hint="eastAsia" w:ascii="宋体" w:hAnsi="宋体" w:eastAsia="宋体" w:cs="宋体"/>
                <w:color w:val="000000" w:themeColor="text1"/>
                <w:sz w:val="24"/>
                <w:szCs w:val="24"/>
                <w:lang w:val="en-US" w:eastAsia="zh-CN"/>
                <w14:textFill>
                  <w14:solidFill>
                    <w14:schemeClr w14:val="tx1"/>
                  </w14:solidFill>
                </w14:textFill>
              </w:rPr>
              <w:t>－</w:t>
            </w:r>
            <w:r>
              <w:rPr>
                <w:rFonts w:hint="eastAsia" w:eastAsia="宋体"/>
                <w:color w:val="000000" w:themeColor="text1"/>
                <w:sz w:val="24"/>
                <w:szCs w:val="24"/>
                <w:lang w:val="en-US" w:eastAsia="zh-CN"/>
                <w14:textFill>
                  <w14:solidFill>
                    <w14:schemeClr w14:val="tx1"/>
                  </w14:solidFill>
                </w14:textFill>
              </w:rPr>
              <w:t>2026年度拟在</w:t>
            </w:r>
            <w:r>
              <w:rPr>
                <w:rFonts w:hint="eastAsia"/>
                <w:color w:val="000000" w:themeColor="text1"/>
                <w:sz w:val="24"/>
                <w:lang w:val="en-US" w:eastAsia="zh-CN"/>
                <w14:textFill>
                  <w14:solidFill>
                    <w14:schemeClr w14:val="tx1"/>
                  </w14:solidFill>
                </w14:textFill>
              </w:rPr>
              <w:t>丹吉林盆地勘查区、潮水盆地勘查区、走廊盆地勘查区、武腾盆地勘查区及北山地区勘查区</w:t>
            </w:r>
            <w:r>
              <w:rPr>
                <w:rFonts w:hint="eastAsia" w:eastAsia="宋体"/>
                <w:color w:val="000000" w:themeColor="text1"/>
                <w:sz w:val="24"/>
                <w:szCs w:val="24"/>
                <w:lang w:val="en-US" w:eastAsia="zh-CN"/>
                <w14:textFill>
                  <w14:solidFill>
                    <w14:schemeClr w14:val="tx1"/>
                  </w14:solidFill>
                </w14:textFill>
              </w:rPr>
              <w:t>开展钻探工作。</w:t>
            </w:r>
            <w:r>
              <w:rPr>
                <w:rFonts w:hint="eastAsia" w:cs="Times New Roman"/>
                <w:bCs/>
                <w:color w:val="000000" w:themeColor="text1"/>
                <w:sz w:val="24"/>
                <w:szCs w:val="20"/>
                <w:lang w:val="en-US" w:eastAsia="zh-CN"/>
                <w14:textFill>
                  <w14:solidFill>
                    <w14:schemeClr w14:val="tx1"/>
                  </w14:solidFill>
                </w14:textFill>
              </w:rPr>
              <w:t>2022年度钻孔布置情况见表1-9，2023-2026年尚未确定钻孔位置。</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表1-9  2022年钻孔部署情况一览表</w:t>
            </w:r>
          </w:p>
          <w:tbl>
            <w:tblPr>
              <w:tblStyle w:val="1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01"/>
              <w:gridCol w:w="768"/>
              <w:gridCol w:w="1032"/>
              <w:gridCol w:w="1289"/>
              <w:gridCol w:w="835"/>
              <w:gridCol w:w="2718"/>
              <w:gridCol w:w="18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2" w:hRule="atLeast"/>
              </w:trPr>
              <w:tc>
                <w:tcPr>
                  <w:tcW w:w="525"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勘查</w:t>
                  </w: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区域</w:t>
                  </w: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序号</w:t>
                  </w:r>
                </w:p>
              </w:tc>
              <w:tc>
                <w:tcPr>
                  <w:tcW w:w="541"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eastAsia" w:cs="Times New Roman"/>
                      <w:color w:val="000000" w:themeColor="text1"/>
                      <w:kern w:val="0"/>
                      <w:sz w:val="21"/>
                      <w:szCs w:val="21"/>
                      <w:lang w:eastAsia="zh-CN"/>
                      <w14:textFill>
                        <w14:solidFill>
                          <w14:schemeClr w14:val="tx1"/>
                        </w14:solidFill>
                      </w14:textFill>
                    </w:rPr>
                    <w:t>勘查</w:t>
                  </w:r>
                  <w:r>
                    <w:rPr>
                      <w:rFonts w:hint="default" w:ascii="Times New Roman" w:hAnsi="Times New Roman" w:eastAsia="宋体" w:cs="Times New Roman"/>
                      <w:color w:val="000000" w:themeColor="text1"/>
                      <w:kern w:val="0"/>
                      <w:sz w:val="21"/>
                      <w:szCs w:val="21"/>
                      <w14:textFill>
                        <w14:solidFill>
                          <w14:schemeClr w14:val="tx1"/>
                        </w14:solidFill>
                      </w14:textFill>
                    </w:rPr>
                    <w:t>线编号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孔号</w:t>
                  </w:r>
                </w:p>
              </w:tc>
              <w:tc>
                <w:tcPr>
                  <w:tcW w:w="438"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设计孔深(m)</w:t>
                  </w:r>
                </w:p>
              </w:tc>
              <w:tc>
                <w:tcPr>
                  <w:tcW w:w="1427"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取样位置(m)</w:t>
                  </w:r>
                </w:p>
              </w:tc>
              <w:tc>
                <w:tcPr>
                  <w:tcW w:w="987"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主要行政区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巴丹吉林盆地</w:t>
                  </w:r>
                  <w:r>
                    <w:rPr>
                      <w:rFonts w:hint="eastAsia" w:cs="Times New Roman"/>
                      <w:color w:val="000000" w:themeColor="text1"/>
                      <w:kern w:val="0"/>
                      <w:sz w:val="21"/>
                      <w:szCs w:val="21"/>
                      <w:lang w:val="en-US" w:eastAsia="zh-CN"/>
                      <w14:textFill>
                        <w14:solidFill>
                          <w14:schemeClr w14:val="tx1"/>
                        </w14:solidFill>
                      </w14:textFill>
                    </w:rPr>
                    <w:t>勘查区</w:t>
                  </w: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w:t>
                  </w:r>
                </w:p>
              </w:tc>
              <w:tc>
                <w:tcPr>
                  <w:tcW w:w="541"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0号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ZK0-4</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620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437～469，505～529，583～615</w:t>
                  </w:r>
                </w:p>
              </w:tc>
              <w:tc>
                <w:tcPr>
                  <w:tcW w:w="987" w:type="pct"/>
                  <w:vMerge w:val="restart"/>
                  <w:tcBorders>
                    <w:tl2br w:val="nil"/>
                    <w:tr2bl w:val="nil"/>
                  </w:tcBorders>
                  <w:shd w:val="clear" w:color="auto" w:fill="auto"/>
                  <w:noWrap/>
                  <w:vAlign w:val="center"/>
                </w:tcPr>
                <w:p>
                  <w:pPr>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内蒙古自治区阿拉善盟盟额济纳旗，甘肃酒泉市金塔县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ZK0-5</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540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376～415,435～467,477～435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ZK0-6</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650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486～515,538～556,561～600,618～645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ZK0-7</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670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388～445，626～665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w:t>
                  </w:r>
                </w:p>
              </w:tc>
              <w:tc>
                <w:tcPr>
                  <w:tcW w:w="541"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ZK3-4</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580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136～178,493～575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w:t>
                  </w:r>
                </w:p>
              </w:tc>
              <w:tc>
                <w:tcPr>
                  <w:tcW w:w="541"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ZK4-3</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300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261～295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7</w:t>
                  </w:r>
                </w:p>
              </w:tc>
              <w:tc>
                <w:tcPr>
                  <w:tcW w:w="541"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ZK6-1</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490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235～245,398～405,</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460～485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8</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ZK6-2</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650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290～369,480～504，</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515～645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9</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ZK6-3</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570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260～285，505～520，535～565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7"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10</w:t>
                  </w:r>
                </w:p>
              </w:tc>
              <w:tc>
                <w:tcPr>
                  <w:tcW w:w="541"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7号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ZK7-1</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600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265～287，405～425,</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570～595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11</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ZK7-2</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720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290～310,440～460,</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555～565，695～715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12</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ZK7-3</w:t>
                  </w:r>
                </w:p>
              </w:tc>
              <w:tc>
                <w:tcPr>
                  <w:tcW w:w="438" w:type="pct"/>
                  <w:tcBorders>
                    <w:tl2br w:val="nil"/>
                    <w:tr2bl w:val="nil"/>
                  </w:tcBorders>
                  <w:shd w:val="clear" w:color="000000"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660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280～290,430～450,</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542～558，640～655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13</w:t>
                  </w:r>
                </w:p>
              </w:tc>
              <w:tc>
                <w:tcPr>
                  <w:tcW w:w="541"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8号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ZK8-1</w:t>
                  </w:r>
                </w:p>
              </w:tc>
              <w:tc>
                <w:tcPr>
                  <w:tcW w:w="438"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450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310～320,395～305，</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430～445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14</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ZK8-2</w:t>
                  </w:r>
                </w:p>
              </w:tc>
              <w:tc>
                <w:tcPr>
                  <w:tcW w:w="438"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570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400～410,500～510，</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550～565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15</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ZK8-3</w:t>
                  </w:r>
                </w:p>
              </w:tc>
              <w:tc>
                <w:tcPr>
                  <w:tcW w:w="438"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510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350～360，450～460，495～505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16</w:t>
                  </w:r>
                </w:p>
              </w:tc>
              <w:tc>
                <w:tcPr>
                  <w:tcW w:w="541"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9号</w:t>
                  </w: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ZK9-1</w:t>
                  </w:r>
                </w:p>
              </w:tc>
              <w:tc>
                <w:tcPr>
                  <w:tcW w:w="438"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410</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290～300,360～375,</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385～405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17</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ZK9-2</w:t>
                  </w:r>
                </w:p>
              </w:tc>
              <w:tc>
                <w:tcPr>
                  <w:tcW w:w="438"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535</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410～420，480～495,</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510～530</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525" w:type="pct"/>
                  <w:vMerge w:val="continue"/>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18</w:t>
                  </w:r>
                </w:p>
              </w:tc>
              <w:tc>
                <w:tcPr>
                  <w:tcW w:w="541" w:type="pct"/>
                  <w:vMerge w:val="continue"/>
                  <w:tcBorders>
                    <w:tl2br w:val="nil"/>
                    <w:tr2bl w:val="nil"/>
                  </w:tcBorders>
                  <w:vAlign w:val="center"/>
                </w:tcPr>
                <w:p>
                  <w:pPr>
                    <w:widowControl/>
                    <w:jc w:val="left"/>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ZK9-3</w:t>
                  </w:r>
                </w:p>
              </w:tc>
              <w:tc>
                <w:tcPr>
                  <w:tcW w:w="438" w:type="pct"/>
                  <w:tcBorders>
                    <w:tl2br w:val="nil"/>
                    <w:tr2bl w:val="nil"/>
                  </w:tcBorders>
                  <w:shd w:val="clear" w:color="auto" w:fill="auto"/>
                  <w:noWrap/>
                  <w:vAlign w:val="center"/>
                </w:tcPr>
                <w:p>
                  <w:pPr>
                    <w:widowControl/>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475</w:t>
                  </w:r>
                </w:p>
              </w:tc>
              <w:tc>
                <w:tcPr>
                  <w:tcW w:w="1427"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350～360，420～435,</w:t>
                  </w:r>
                </w:p>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455～475</w:t>
                  </w:r>
                </w:p>
              </w:tc>
              <w:tc>
                <w:tcPr>
                  <w:tcW w:w="987"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restar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潮水盆地</w:t>
                  </w:r>
                  <w:r>
                    <w:rPr>
                      <w:rFonts w:hint="eastAsia" w:cs="Times New Roman"/>
                      <w:color w:val="000000" w:themeColor="text1"/>
                      <w:kern w:val="0"/>
                      <w:sz w:val="21"/>
                      <w:szCs w:val="21"/>
                      <w:lang w:val="en-US" w:eastAsia="zh-CN"/>
                      <w14:textFill>
                        <w14:solidFill>
                          <w14:schemeClr w14:val="tx1"/>
                        </w14:solidFill>
                      </w14:textFill>
                    </w:rPr>
                    <w:t>勘查区</w:t>
                  </w: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541" w:type="pct"/>
                  <w:vMerge w:val="restar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D0</w:t>
                  </w: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ZKD0-1</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15～380</w:t>
                  </w:r>
                </w:p>
              </w:tc>
              <w:tc>
                <w:tcPr>
                  <w:tcW w:w="987" w:type="pct"/>
                  <w:vMerge w:val="restar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内蒙古自治区阿拉善盟右旗、左旗，甘肃张掖市（临泽县、甘州区、山丹县）、金昌市、武威市（民勤县）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541" w:type="pct"/>
                  <w:vMerge w:val="continue"/>
                  <w:tcBorders>
                    <w:tl2br w:val="nil"/>
                    <w:tr2bl w:val="nil"/>
                  </w:tcBorders>
                  <w:shd w:val="clear" w:color="auto" w:fill="auto"/>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ZKD0-2</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550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45～550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541" w:type="pct"/>
                  <w:vMerge w:val="continue"/>
                  <w:tcBorders>
                    <w:tl2br w:val="nil"/>
                    <w:tr2bl w:val="nil"/>
                  </w:tcBorders>
                  <w:shd w:val="clear" w:color="auto" w:fill="auto"/>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ZKD0-3</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500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50～500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541" w:type="pct"/>
                  <w:vMerge w:val="restart"/>
                  <w:tcBorders>
                    <w:tl2br w:val="nil"/>
                    <w:tr2bl w:val="nil"/>
                  </w:tcBorders>
                  <w:shd w:val="clear" w:color="auto" w:fill="auto"/>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D239</w:t>
                  </w: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ZKD239-1</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480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15～480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w:t>
                  </w:r>
                </w:p>
              </w:tc>
              <w:tc>
                <w:tcPr>
                  <w:tcW w:w="541"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ZKD239-2</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500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15～500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w:t>
                  </w:r>
                </w:p>
              </w:tc>
              <w:tc>
                <w:tcPr>
                  <w:tcW w:w="541" w:type="pct"/>
                  <w:vMerge w:val="restar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A0</w:t>
                  </w: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ZKA0-1</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410</w:t>
                  </w:r>
                </w:p>
              </w:tc>
              <w:tc>
                <w:tcPr>
                  <w:tcW w:w="1427"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45～410</w:t>
                  </w:r>
                </w:p>
              </w:tc>
              <w:tc>
                <w:tcPr>
                  <w:tcW w:w="987" w:type="pct"/>
                  <w:vMerge w:val="continue"/>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w:t>
                  </w:r>
                </w:p>
              </w:tc>
              <w:tc>
                <w:tcPr>
                  <w:tcW w:w="541"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ZKA0-2</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450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55～450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w:t>
                  </w:r>
                </w:p>
              </w:tc>
              <w:tc>
                <w:tcPr>
                  <w:tcW w:w="541" w:type="pct"/>
                  <w:vMerge w:val="restart"/>
                  <w:tcBorders>
                    <w:tl2br w:val="nil"/>
                    <w:tr2bl w:val="nil"/>
                  </w:tcBorders>
                  <w:shd w:val="clear" w:color="auto" w:fill="auto"/>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A62</w:t>
                  </w: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ZKA62-1</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60～400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w:t>
                  </w:r>
                </w:p>
              </w:tc>
              <w:tc>
                <w:tcPr>
                  <w:tcW w:w="541" w:type="pct"/>
                  <w:vMerge w:val="continue"/>
                  <w:tcBorders>
                    <w:tl2br w:val="nil"/>
                    <w:tr2bl w:val="nil"/>
                  </w:tcBorders>
                  <w:shd w:val="clear" w:color="auto" w:fill="auto"/>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ZKA62-2</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450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80～450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w:t>
                  </w:r>
                </w:p>
              </w:tc>
              <w:tc>
                <w:tcPr>
                  <w:tcW w:w="541"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D159</w:t>
                  </w: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ZKD159-1</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25～400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11</w:t>
                  </w:r>
                </w:p>
              </w:tc>
              <w:tc>
                <w:tcPr>
                  <w:tcW w:w="541" w:type="pct"/>
                  <w:tcBorders>
                    <w:tl2br w:val="nil"/>
                    <w:tr2bl w:val="nil"/>
                  </w:tcBorders>
                  <w:shd w:val="clear" w:color="auto" w:fill="auto"/>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D240</w:t>
                  </w: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ZKD240-1</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400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25～400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12</w:t>
                  </w:r>
                </w:p>
              </w:tc>
              <w:tc>
                <w:tcPr>
                  <w:tcW w:w="541" w:type="pct"/>
                  <w:vMerge w:val="restart"/>
                  <w:tcBorders>
                    <w:tl2br w:val="nil"/>
                    <w:tr2bl w:val="nil"/>
                  </w:tcBorders>
                  <w:shd w:val="clear" w:color="auto" w:fill="auto"/>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H0</w:t>
                  </w: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ZKH0-1</w:t>
                  </w:r>
                </w:p>
              </w:tc>
              <w:tc>
                <w:tcPr>
                  <w:tcW w:w="438" w:type="pct"/>
                  <w:tcBorders>
                    <w:tl2br w:val="nil"/>
                    <w:tr2bl w:val="nil"/>
                  </w:tcBorders>
                  <w:shd w:val="clear" w:color="000000"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530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20～530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5"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03"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13</w:t>
                  </w:r>
                </w:p>
              </w:tc>
              <w:tc>
                <w:tcPr>
                  <w:tcW w:w="541" w:type="pct"/>
                  <w:vMerge w:val="continue"/>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676"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ZKH0-2</w:t>
                  </w:r>
                </w:p>
              </w:tc>
              <w:tc>
                <w:tcPr>
                  <w:tcW w:w="438" w:type="pct"/>
                  <w:tcBorders>
                    <w:tl2br w:val="nil"/>
                    <w:tr2bl w:val="nil"/>
                  </w:tcBorders>
                  <w:shd w:val="clear" w:color="auto" w:fill="auto"/>
                  <w:noWrap/>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550</w:t>
                  </w:r>
                </w:p>
              </w:tc>
              <w:tc>
                <w:tcPr>
                  <w:tcW w:w="1427" w:type="pct"/>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25～550</w:t>
                  </w:r>
                </w:p>
              </w:tc>
              <w:tc>
                <w:tcPr>
                  <w:tcW w:w="987" w:type="pct"/>
                  <w:vMerge w:val="continue"/>
                  <w:tcBorders>
                    <w:tl2br w:val="nil"/>
                    <w:tr2bl w:val="nil"/>
                  </w:tcBorders>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gridSpan w:val="7"/>
                  <w:tcBorders>
                    <w:tl2br w:val="nil"/>
                    <w:tr2bl w:val="nil"/>
                  </w:tcBorders>
                  <w:shd w:val="clear" w:color="auto" w:fill="auto"/>
                  <w:noWrap/>
                  <w:vAlign w:val="center"/>
                </w:tcPr>
                <w:p>
                  <w:pPr>
                    <w:widowControl/>
                    <w:adjustRightInd w:val="0"/>
                    <w:snapToGrid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共31个钻孔，钻探工作量16000m</w:t>
                  </w:r>
                </w:p>
              </w:tc>
            </w:tr>
          </w:tbl>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（2）钻井场地平面布置</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本项目单个钻井井场长为</w:t>
            </w:r>
            <w:r>
              <w:rPr>
                <w:color w:val="000000" w:themeColor="text1"/>
                <w:sz w:val="24"/>
                <w:lang w:val="en-GB"/>
                <w14:textFill>
                  <w14:solidFill>
                    <w14:schemeClr w14:val="tx1"/>
                  </w14:solidFill>
                </w14:textFill>
              </w:rPr>
              <w:t>15</w:t>
            </w:r>
            <w:r>
              <w:rPr>
                <w:rFonts w:hint="eastAsia"/>
                <w:color w:val="000000" w:themeColor="text1"/>
                <w:sz w:val="24"/>
                <w:lang w:val="en-GB"/>
                <w14:textFill>
                  <w14:solidFill>
                    <w14:schemeClr w14:val="tx1"/>
                  </w14:solidFill>
                </w14:textFill>
              </w:rPr>
              <w:t>m，宽为1</w:t>
            </w:r>
            <w:r>
              <w:rPr>
                <w:color w:val="000000" w:themeColor="text1"/>
                <w:sz w:val="24"/>
                <w:lang w:val="en-GB"/>
                <w14:textFill>
                  <w14:solidFill>
                    <w14:schemeClr w14:val="tx1"/>
                  </w14:solidFill>
                </w14:textFill>
              </w:rPr>
              <w:t>0</w:t>
            </w:r>
            <w:r>
              <w:rPr>
                <w:rFonts w:hint="eastAsia"/>
                <w:color w:val="000000" w:themeColor="text1"/>
                <w:sz w:val="24"/>
                <w:lang w:val="en-GB"/>
                <w14:textFill>
                  <w14:solidFill>
                    <w14:schemeClr w14:val="tx1"/>
                  </w14:solidFill>
                </w14:textFill>
              </w:rPr>
              <w:t>m，面积</w:t>
            </w:r>
            <w:r>
              <w:rPr>
                <w:color w:val="000000" w:themeColor="text1"/>
                <w:sz w:val="24"/>
                <w:lang w:val="en-GB"/>
                <w14:textFill>
                  <w14:solidFill>
                    <w14:schemeClr w14:val="tx1"/>
                  </w14:solidFill>
                </w14:textFill>
              </w:rPr>
              <w:t>150</w:t>
            </w:r>
            <w:r>
              <w:rPr>
                <w:rFonts w:hint="eastAsia"/>
                <w:color w:val="000000" w:themeColor="text1"/>
                <w:sz w:val="24"/>
                <w:lang w:val="en-GB"/>
                <w14:textFill>
                  <w14:solidFill>
                    <w14:schemeClr w14:val="tx1"/>
                  </w14:solidFill>
                </w14:textFill>
              </w:rPr>
              <w:t>m</w:t>
            </w:r>
            <w:r>
              <w:rPr>
                <w:rFonts w:hint="eastAsia"/>
                <w:color w:val="000000" w:themeColor="text1"/>
                <w:sz w:val="24"/>
                <w:vertAlign w:val="superscript"/>
                <w:lang w:val="en-GB"/>
                <w14:textFill>
                  <w14:solidFill>
                    <w14:schemeClr w14:val="tx1"/>
                  </w14:solidFill>
                </w14:textFill>
              </w:rPr>
              <w:t>2</w:t>
            </w:r>
            <w:r>
              <w:rPr>
                <w:rFonts w:hint="eastAsia"/>
                <w:color w:val="000000" w:themeColor="text1"/>
                <w:sz w:val="24"/>
                <w:lang w:val="en-GB"/>
                <w14:textFill>
                  <w14:solidFill>
                    <w14:schemeClr w14:val="tx1"/>
                  </w14:solidFill>
                </w14:textFill>
              </w:rPr>
              <w:t>。井场布置机台、泥浆机、钻具区、发电机、油料储存区等，布局满足生产要求前提下，符合国家现行的防火、防爆、安全、卫生及环保规范要求。全部测试工作完成后进行封孔，场地平整并进行生态恢复。钻探井场平面布置示意图见图</w:t>
            </w:r>
            <w:r>
              <w:rPr>
                <w:color w:val="000000" w:themeColor="text1"/>
                <w:sz w:val="24"/>
                <w:lang w:val="en-GB"/>
                <w14:textFill>
                  <w14:solidFill>
                    <w14:schemeClr w14:val="tx1"/>
                  </w14:solidFill>
                </w14:textFill>
              </w:rPr>
              <w:t>1-1</w:t>
            </w:r>
            <w:r>
              <w:rPr>
                <w:rFonts w:hint="eastAsia"/>
                <w:color w:val="000000" w:themeColor="text1"/>
                <w:sz w:val="24"/>
                <w:lang w:val="en-GB"/>
                <w14:textFill>
                  <w14:solidFill>
                    <w14:schemeClr w14:val="tx1"/>
                  </w14:solidFill>
                </w14:textFill>
              </w:rPr>
              <w:t>。</w:t>
            </w:r>
          </w:p>
          <w:p>
            <w:pPr>
              <w:spacing w:line="360" w:lineRule="auto"/>
              <w:rPr>
                <w:color w:val="000000" w:themeColor="text1"/>
                <w:sz w:val="24"/>
                <w:lang w:val="en-GB"/>
                <w14:textFill>
                  <w14:solidFill>
                    <w14:schemeClr w14:val="tx1"/>
                  </w14:solidFill>
                </w14:textFill>
              </w:rPr>
            </w:pPr>
            <w:r>
              <w:rPr>
                <w:color w:val="000000" w:themeColor="text1"/>
                <w14:textFill>
                  <w14:solidFill>
                    <w14:schemeClr w14:val="tx1"/>
                  </w14:solidFill>
                </w14:textFill>
              </w:rPr>
              <w:drawing>
                <wp:inline distT="0" distB="0" distL="0" distR="0">
                  <wp:extent cx="6188710" cy="3520440"/>
                  <wp:effectExtent l="0" t="0" r="889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6188710" cy="3520440"/>
                          </a:xfrm>
                          <a:prstGeom prst="rect">
                            <a:avLst/>
                          </a:prstGeom>
                          <a:noFill/>
                          <a:ln>
                            <a:noFill/>
                          </a:ln>
                        </pic:spPr>
                      </pic:pic>
                    </a:graphicData>
                  </a:graphic>
                </wp:inline>
              </w:drawing>
            </w:r>
          </w:p>
          <w:p>
            <w:pPr>
              <w:spacing w:line="240" w:lineRule="auto"/>
              <w:jc w:val="center"/>
              <w:rPr>
                <w:b w:val="0"/>
                <w:bCs w:val="0"/>
                <w:color w:val="000000" w:themeColor="text1"/>
                <w:sz w:val="24"/>
                <w:lang w:val="en-GB"/>
                <w14:textFill>
                  <w14:solidFill>
                    <w14:schemeClr w14:val="tx1"/>
                  </w14:solidFill>
                </w14:textFill>
              </w:rPr>
            </w:pPr>
            <w:r>
              <w:rPr>
                <w:rFonts w:hint="eastAsia"/>
                <w:b w:val="0"/>
                <w:bCs w:val="0"/>
                <w:color w:val="000000" w:themeColor="text1"/>
                <w:sz w:val="24"/>
                <w:lang w:val="en-GB"/>
                <w14:textFill>
                  <w14:solidFill>
                    <w14:schemeClr w14:val="tx1"/>
                  </w14:solidFill>
                </w14:textFill>
              </w:rPr>
              <w:t>图</w:t>
            </w:r>
            <w:r>
              <w:rPr>
                <w:b w:val="0"/>
                <w:bCs w:val="0"/>
                <w:color w:val="000000" w:themeColor="text1"/>
                <w:sz w:val="24"/>
                <w:lang w:val="en-GB"/>
                <w14:textFill>
                  <w14:solidFill>
                    <w14:schemeClr w14:val="tx1"/>
                  </w14:solidFill>
                </w14:textFill>
              </w:rPr>
              <w:t xml:space="preserve">1-1  </w:t>
            </w:r>
            <w:r>
              <w:rPr>
                <w:rFonts w:hint="eastAsia"/>
                <w:b w:val="0"/>
                <w:bCs w:val="0"/>
                <w:color w:val="000000" w:themeColor="text1"/>
                <w:sz w:val="24"/>
                <w:lang w:val="en-GB"/>
                <w14:textFill>
                  <w14:solidFill>
                    <w14:schemeClr w14:val="tx1"/>
                  </w14:solidFill>
                </w14:textFill>
              </w:rPr>
              <w:t>钻探井场平面布置示意图</w:t>
            </w:r>
          </w:p>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6、主要设备</w:t>
            </w:r>
          </w:p>
          <w:p>
            <w:pPr>
              <w:spacing w:line="360" w:lineRule="auto"/>
              <w:ind w:firstLine="480" w:firstLineChars="200"/>
              <w:rPr>
                <w:color w:val="000000" w:themeColor="text1"/>
                <w:sz w:val="24"/>
                <w:lang w:val="en-GB"/>
                <w14:textFill>
                  <w14:solidFill>
                    <w14:schemeClr w14:val="tx1"/>
                  </w14:solidFill>
                </w14:textFill>
              </w:rPr>
            </w:pPr>
            <w:r>
              <w:rPr>
                <w:color w:val="000000" w:themeColor="text1"/>
                <w:sz w:val="24"/>
                <w14:textFill>
                  <w14:solidFill>
                    <w14:schemeClr w14:val="tx1"/>
                  </w14:solidFill>
                </w14:textFill>
              </w:rPr>
              <w:t>项目主要设备清单见表</w:t>
            </w:r>
            <w:r>
              <w:rPr>
                <w:rFonts w:hint="eastAsia"/>
                <w:color w:val="000000" w:themeColor="text1"/>
                <w:sz w:val="24"/>
                <w:lang w:val="en-US" w:eastAsia="zh-CN"/>
                <w14:textFill>
                  <w14:solidFill>
                    <w14:schemeClr w14:val="tx1"/>
                  </w14:solidFill>
                </w14:textFill>
              </w:rPr>
              <w:t>1</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color w:val="000000" w:themeColor="text1"/>
                <w:sz w:val="24"/>
                <w14:textFill>
                  <w14:solidFill>
                    <w14:schemeClr w14:val="tx1"/>
                  </w14:solidFill>
                </w14:textFill>
              </w:rPr>
              <w:t>。</w:t>
            </w:r>
          </w:p>
          <w:p>
            <w:pPr>
              <w:spacing w:line="240" w:lineRule="auto"/>
              <w:jc w:val="center"/>
              <w:rPr>
                <w:b w:val="0"/>
                <w:bCs w:val="0"/>
                <w:color w:val="000000" w:themeColor="text1"/>
                <w:sz w:val="24"/>
                <w:lang w:val="en-GB"/>
                <w14:textFill>
                  <w14:solidFill>
                    <w14:schemeClr w14:val="tx1"/>
                  </w14:solidFill>
                </w14:textFill>
              </w:rPr>
            </w:pPr>
            <w:r>
              <w:rPr>
                <w:rFonts w:hint="eastAsia"/>
                <w:b w:val="0"/>
                <w:bCs w:val="0"/>
                <w:color w:val="000000" w:themeColor="text1"/>
                <w:sz w:val="24"/>
                <w:lang w:val="en-GB"/>
                <w14:textFill>
                  <w14:solidFill>
                    <w14:schemeClr w14:val="tx1"/>
                  </w14:solidFill>
                </w14:textFill>
              </w:rPr>
              <w:t>表</w:t>
            </w:r>
            <w:r>
              <w:rPr>
                <w:rFonts w:hint="eastAsia"/>
                <w:b w:val="0"/>
                <w:bCs w:val="0"/>
                <w:color w:val="000000" w:themeColor="text1"/>
                <w:sz w:val="24"/>
                <w:lang w:val="en-US" w:eastAsia="zh-CN"/>
                <w14:textFill>
                  <w14:solidFill>
                    <w14:schemeClr w14:val="tx1"/>
                  </w14:solidFill>
                </w14:textFill>
              </w:rPr>
              <w:t>1</w:t>
            </w:r>
            <w:r>
              <w:rPr>
                <w:b w:val="0"/>
                <w:bCs w:val="0"/>
                <w:color w:val="000000" w:themeColor="text1"/>
                <w:sz w:val="24"/>
                <w:lang w:val="en-GB"/>
                <w14:textFill>
                  <w14:solidFill>
                    <w14:schemeClr w14:val="tx1"/>
                  </w14:solidFill>
                </w14:textFill>
              </w:rPr>
              <w:t>-</w:t>
            </w:r>
            <w:r>
              <w:rPr>
                <w:rFonts w:hint="eastAsia"/>
                <w:b w:val="0"/>
                <w:bCs w:val="0"/>
                <w:color w:val="000000" w:themeColor="text1"/>
                <w:sz w:val="24"/>
                <w:lang w:val="en-US" w:eastAsia="zh-CN"/>
                <w14:textFill>
                  <w14:solidFill>
                    <w14:schemeClr w14:val="tx1"/>
                  </w14:solidFill>
                </w14:textFill>
              </w:rPr>
              <w:t>10</w:t>
            </w:r>
            <w:r>
              <w:rPr>
                <w:rFonts w:hint="eastAsia"/>
                <w:b w:val="0"/>
                <w:bCs w:val="0"/>
                <w:color w:val="000000" w:themeColor="text1"/>
                <w:sz w:val="24"/>
                <w:lang w:val="en-GB"/>
                <w14:textFill>
                  <w14:solidFill>
                    <w14:schemeClr w14:val="tx1"/>
                  </w14:solidFill>
                </w14:textFill>
              </w:rPr>
              <w:t xml:space="preserve"> </w:t>
            </w:r>
            <w:r>
              <w:rPr>
                <w:b w:val="0"/>
                <w:bCs w:val="0"/>
                <w:color w:val="000000" w:themeColor="text1"/>
                <w:sz w:val="24"/>
                <w:lang w:val="en-GB"/>
                <w14:textFill>
                  <w14:solidFill>
                    <w14:schemeClr w14:val="tx1"/>
                  </w14:solidFill>
                </w14:textFill>
              </w:rPr>
              <w:t xml:space="preserve"> </w:t>
            </w:r>
            <w:r>
              <w:rPr>
                <w:rFonts w:hint="eastAsia"/>
                <w:b w:val="0"/>
                <w:bCs w:val="0"/>
                <w:color w:val="000000" w:themeColor="text1"/>
                <w:sz w:val="24"/>
                <w:lang w:val="en-GB"/>
                <w14:textFill>
                  <w14:solidFill>
                    <w14:schemeClr w14:val="tx1"/>
                  </w14:solidFill>
                </w14:textFill>
              </w:rPr>
              <w:t>项目主要设备清单</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54"/>
              <w:gridCol w:w="1920"/>
              <w:gridCol w:w="2192"/>
              <w:gridCol w:w="1091"/>
              <w:gridCol w:w="1291"/>
              <w:gridCol w:w="207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规格型号</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单位</w:t>
                  </w:r>
                </w:p>
              </w:tc>
              <w:tc>
                <w:tcPr>
                  <w:tcW w:w="67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1086"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一、钻探设备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钻机</w:t>
                  </w:r>
                </w:p>
              </w:tc>
              <w:tc>
                <w:tcPr>
                  <w:tcW w:w="1151" w:type="pct"/>
                  <w:vAlign w:val="center"/>
                </w:tcPr>
                <w:p>
                  <w:pPr>
                    <w:jc w:val="center"/>
                    <w:rPr>
                      <w:rFonts w:hint="default" w:eastAsia="宋体"/>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XY-</w:t>
                  </w:r>
                  <w:r>
                    <w:rPr>
                      <w:rFonts w:hint="eastAsia"/>
                      <w:color w:val="000000" w:themeColor="text1"/>
                      <w:szCs w:val="21"/>
                      <w:lang w:val="en-US" w:eastAsia="zh-CN"/>
                      <w14:textFill>
                        <w14:solidFill>
                          <w14:schemeClr w14:val="tx1"/>
                        </w14:solidFill>
                      </w14:textFill>
                    </w:rPr>
                    <w:t>44/XY-5</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大部分情况单台钻机施工，个别情况下两台钻机同时施工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BW</w:t>
                  </w:r>
                  <w:r>
                    <w:rPr>
                      <w:color w:val="000000" w:themeColor="text1"/>
                      <w:szCs w:val="21"/>
                      <w14:textFill>
                        <w14:solidFill>
                          <w14:schemeClr w14:val="tx1"/>
                        </w14:solidFill>
                      </w14:textFill>
                    </w:rPr>
                    <w:t>-250</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2075"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钻塔</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A型18m/13m</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付</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2075"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1.5m</w:t>
                  </w:r>
                  <w:r>
                    <w:rPr>
                      <w:color w:val="000000" w:themeColor="text1"/>
                      <w:szCs w:val="21"/>
                      <w:vertAlign w:val="superscript"/>
                      <w14:textFill>
                        <w14:solidFill>
                          <w14:schemeClr w14:val="tx1"/>
                        </w14:solidFill>
                      </w14:textFill>
                    </w:rPr>
                    <w:t>3</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100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除砂</w:t>
                  </w:r>
                  <w:r>
                    <w:rPr>
                      <w:rFonts w:hint="eastAsia"/>
                      <w:color w:val="000000" w:themeColor="text1"/>
                      <w:szCs w:val="21"/>
                      <w:lang w:val="en-US" w:eastAsia="zh-CN"/>
                      <w14:textFill>
                        <w14:solidFill>
                          <w14:schemeClr w14:val="tx1"/>
                        </w14:solidFill>
                      </w14:textFill>
                    </w:rPr>
                    <w:t>器</w:t>
                  </w:r>
                </w:p>
              </w:tc>
              <w:tc>
                <w:tcPr>
                  <w:tcW w:w="1151"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CS-150</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w:t>
                  </w:r>
                </w:p>
              </w:tc>
              <w:tc>
                <w:tcPr>
                  <w:tcW w:w="100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液压挖掘机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PC240LC-8</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渣浆泵</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50KZD-80</w:t>
                  </w:r>
                </w:p>
              </w:tc>
              <w:tc>
                <w:tcPr>
                  <w:tcW w:w="573"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台</w:t>
                  </w:r>
                </w:p>
              </w:tc>
              <w:tc>
                <w:tcPr>
                  <w:tcW w:w="67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二、运输设备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越野车</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三菱帕杰罗</w:t>
                  </w:r>
                </w:p>
                <w:p>
                  <w:pPr>
                    <w:jc w:val="center"/>
                    <w:rPr>
                      <w:color w:val="000000" w:themeColor="text1"/>
                      <w:szCs w:val="21"/>
                      <w14:textFill>
                        <w14:solidFill>
                          <w14:schemeClr w14:val="tx1"/>
                        </w14:solidFill>
                      </w14:textFill>
                    </w:rPr>
                  </w:pPr>
                  <w:r>
                    <w:rPr>
                      <w:color w:val="000000" w:themeColor="text1"/>
                      <w:szCs w:val="21"/>
                      <w:lang w:val="en-US" w:eastAsia="zh-CN"/>
                      <w14:textFill>
                        <w14:solidFill>
                          <w14:schemeClr w14:val="tx1"/>
                        </w14:solidFill>
                      </w14:textFill>
                    </w:rPr>
                    <w:t>V93WLYHVL0C</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越野车</w:t>
                  </w:r>
                </w:p>
              </w:tc>
              <w:tc>
                <w:tcPr>
                  <w:tcW w:w="1151" w:type="pct"/>
                  <w:vAlign w:val="center"/>
                </w:tcPr>
                <w:p>
                  <w:pPr>
                    <w:jc w:val="center"/>
                    <w:rPr>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四驱六缸汽油</w:t>
                  </w:r>
                </w:p>
              </w:tc>
              <w:tc>
                <w:tcPr>
                  <w:tcW w:w="573" w:type="pct"/>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辆</w:t>
                  </w:r>
                </w:p>
              </w:tc>
              <w:tc>
                <w:tcPr>
                  <w:tcW w:w="678" w:type="pct"/>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1</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生产生活供应</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皮卡</w:t>
                  </w:r>
                  <w:r>
                    <w:rPr>
                      <w:rFonts w:eastAsia="仿宋_GB2312"/>
                      <w:color w:val="000000" w:themeColor="text1"/>
                      <w:szCs w:val="21"/>
                      <w14:textFill>
                        <w14:solidFill>
                          <w14:schemeClr w14:val="tx1"/>
                        </w14:solidFill>
                      </w14:textFill>
                    </w:rPr>
                    <w:t>CC1031PS25</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w:t>
                  </w:r>
                </w:p>
              </w:tc>
              <w:tc>
                <w:tcPr>
                  <w:tcW w:w="100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测井车</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67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三、动力设备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发电机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lang w:val="en-US" w:eastAsia="zh-CN"/>
                      <w14:textFill>
                        <w14:solidFill>
                          <w14:schemeClr w14:val="tx1"/>
                        </w14:solidFill>
                      </w14:textFill>
                    </w:rPr>
                    <w:t>8</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kW</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配电柜</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57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6"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bl>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7、公用工程</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7</w:t>
            </w:r>
            <w:r>
              <w:rPr>
                <w:rFonts w:hint="eastAsia"/>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1供电</w:t>
            </w:r>
          </w:p>
          <w:p>
            <w:pPr>
              <w:spacing w:line="360" w:lineRule="auto"/>
              <w:ind w:firstLine="480" w:firstLineChars="200"/>
              <w:rPr>
                <w:rFonts w:hint="eastAsia" w:eastAsia="宋体"/>
                <w:b/>
                <w:bCs/>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施工作业由自备柴油发电机供电</w:t>
            </w:r>
            <w:r>
              <w:rPr>
                <w:rFonts w:hint="eastAsia"/>
                <w:color w:val="000000" w:themeColor="text1"/>
                <w:sz w:val="24"/>
                <w:lang w:val="en-GB" w:eastAsia="zh-CN"/>
                <w14:textFill>
                  <w14:solidFill>
                    <w14:schemeClr w14:val="tx1"/>
                  </w14:solidFill>
                </w14:textFill>
              </w:rPr>
              <w:t>。</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7</w:t>
            </w:r>
            <w:r>
              <w:rPr>
                <w:rFonts w:hint="eastAsia"/>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2给、排水</w:t>
            </w:r>
          </w:p>
          <w:p>
            <w:pPr>
              <w:spacing w:line="360" w:lineRule="auto"/>
              <w:ind w:firstLine="480" w:firstLineChars="200"/>
              <w:rPr>
                <w:rFonts w:hint="default" w:ascii="宋体" w:hAnsi="宋体" w:cs="宋体"/>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（1）给水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项目部</w:t>
            </w:r>
            <w:r>
              <w:rPr>
                <w:rFonts w:hint="eastAsia"/>
                <w:color w:val="000000" w:themeColor="text1"/>
                <w:sz w:val="24"/>
                <w:lang w:val="en-GB"/>
                <w14:textFill>
                  <w14:solidFill>
                    <w14:schemeClr w14:val="tx1"/>
                  </w14:solidFill>
                </w14:textFill>
              </w:rPr>
              <w:t>生活用水依托</w:t>
            </w:r>
            <w:r>
              <w:rPr>
                <w:rFonts w:hint="eastAsia"/>
                <w:color w:val="000000" w:themeColor="text1"/>
                <w:sz w:val="24"/>
                <w:lang w:val="en-US" w:eastAsia="zh-CN"/>
                <w14:textFill>
                  <w14:solidFill>
                    <w14:schemeClr w14:val="tx1"/>
                  </w14:solidFill>
                </w14:textFill>
              </w:rPr>
              <w:t>附近</w:t>
            </w:r>
            <w:r>
              <w:rPr>
                <w:rFonts w:hint="eastAsia"/>
                <w:color w:val="000000" w:themeColor="text1"/>
                <w:sz w:val="24"/>
                <w:lang w:val="en-GB"/>
                <w14:textFill>
                  <w14:solidFill>
                    <w14:schemeClr w14:val="tx1"/>
                  </w14:solidFill>
                </w14:textFill>
              </w:rPr>
              <w:t>村庄，钻探施工及生活用水采用水车从附近村庄拉运。</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spacing w:line="360" w:lineRule="auto"/>
              <w:ind w:firstLine="480" w:firstLineChars="200"/>
              <w:rPr>
                <w:rFonts w:hint="eastAsia"/>
                <w:color w:val="000000" w:themeColor="text1"/>
                <w:sz w:val="24"/>
                <w:lang w:val="en-GB"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spacing w:line="360" w:lineRule="auto"/>
              <w:rPr>
                <w:rFonts w:ascii="Times New Roman" w:hAnsi="Times New Roman" w:cs="Times New Roman"/>
                <w:b/>
                <w:color w:val="000000" w:themeColor="text1"/>
                <w:sz w:val="24"/>
                <w:lang w:eastAsia="zh-CN"/>
                <w14:textFill>
                  <w14:solidFill>
                    <w14:schemeClr w14:val="tx1"/>
                  </w14:solidFill>
                </w14:textFill>
              </w:rPr>
            </w:pPr>
            <w:r>
              <w:rPr>
                <w:rFonts w:hint="eastAsia" w:ascii="Times New Roman" w:hAnsi="Times New Roman" w:cs="Times New Roman"/>
                <w:b/>
                <w:color w:val="000000" w:themeColor="text1"/>
                <w:sz w:val="24"/>
                <w:lang w:val="en-US"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.3</w:t>
            </w:r>
            <w:r>
              <w:rPr>
                <w:rFonts w:ascii="Times New Roman" w:cs="Times New Roman"/>
                <w:b/>
                <w:color w:val="000000" w:themeColor="text1"/>
                <w:sz w:val="24"/>
                <w:lang w:eastAsia="zh-CN"/>
                <w14:textFill>
                  <w14:solidFill>
                    <w14:schemeClr w14:val="tx1"/>
                  </w14:solidFill>
                </w14:textFill>
              </w:rPr>
              <w:t>采暖</w:t>
            </w:r>
          </w:p>
          <w:p>
            <w:pPr>
              <w:spacing w:line="360" w:lineRule="auto"/>
              <w:ind w:firstLine="480" w:firstLineChars="200"/>
              <w:rPr>
                <w:rFonts w:ascii="Times New Roman" w:cs="Times New Roman"/>
                <w:color w:val="000000" w:themeColor="text1"/>
                <w:sz w:val="24"/>
                <w:lang w:eastAsia="zh-CN"/>
                <w14:textFill>
                  <w14:solidFill>
                    <w14:schemeClr w14:val="tx1"/>
                  </w14:solidFill>
                </w14:textFill>
              </w:rPr>
            </w:pPr>
            <w:r>
              <w:rPr>
                <w:rFonts w:ascii="Times New Roman" w:cs="Times New Roman"/>
                <w:color w:val="000000" w:themeColor="text1"/>
                <w:sz w:val="24"/>
                <w:lang w:eastAsia="zh-CN"/>
                <w14:textFill>
                  <w14:solidFill>
                    <w14:schemeClr w14:val="tx1"/>
                  </w14:solidFill>
                </w14:textFill>
              </w:rPr>
              <w:t>施工营地、项目部均采用电暖气采暖。</w:t>
            </w:r>
          </w:p>
          <w:p>
            <w:pPr>
              <w:spacing w:line="360" w:lineRule="auto"/>
              <w:rPr>
                <w:rFonts w:hint="default" w:ascii="Times New Roman" w:hAnsi="Times New Roman" w:cs="Times New Roman"/>
                <w:b/>
                <w:color w:val="000000" w:themeColor="text1"/>
                <w:sz w:val="24"/>
                <w:lang w:val="en-US" w:eastAsia="zh-CN"/>
                <w14:textFill>
                  <w14:solidFill>
                    <w14:schemeClr w14:val="tx1"/>
                  </w14:solidFill>
                </w14:textFill>
              </w:rPr>
            </w:pPr>
            <w:r>
              <w:rPr>
                <w:rFonts w:hint="eastAsia" w:ascii="Times New Roman" w:hAnsi="Times New Roman" w:cs="Times New Roman"/>
                <w:b/>
                <w:color w:val="000000" w:themeColor="text1"/>
                <w:sz w:val="24"/>
                <w:lang w:val="en-US"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w:t>
            </w:r>
            <w:r>
              <w:rPr>
                <w:rFonts w:hint="eastAsia" w:ascii="Times New Roman" w:hAnsi="Times New Roman" w:cs="Times New Roman"/>
                <w:b/>
                <w:color w:val="000000" w:themeColor="text1"/>
                <w:sz w:val="24"/>
                <w:lang w:val="en-US" w:eastAsia="zh-CN"/>
                <w14:textFill>
                  <w14:solidFill>
                    <w14:schemeClr w14:val="tx1"/>
                  </w14:solidFill>
                </w14:textFill>
              </w:rPr>
              <w:t>4</w:t>
            </w:r>
            <w:r>
              <w:rPr>
                <w:rFonts w:hint="eastAsia" w:ascii="Times New Roman" w:cs="Times New Roman"/>
                <w:b/>
                <w:color w:val="000000" w:themeColor="text1"/>
                <w:sz w:val="24"/>
                <w:lang w:val="en-US" w:eastAsia="zh-CN"/>
                <w14:textFill>
                  <w14:solidFill>
                    <w14:schemeClr w14:val="tx1"/>
                  </w14:solidFill>
                </w14:textFill>
              </w:rPr>
              <w:t>施工便道</w:t>
            </w:r>
          </w:p>
          <w:p>
            <w:pPr>
              <w:widowControl/>
              <w:autoSpaceDE/>
              <w:autoSpaceDN/>
              <w:spacing w:line="360" w:lineRule="auto"/>
              <w:ind w:firstLine="480" w:firstLineChars="200"/>
              <w:jc w:val="both"/>
              <w:rPr>
                <w:rFonts w:hint="default"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lang w:val="zh-CN" w:eastAsia="zh-CN"/>
                <w14:textFill>
                  <w14:solidFill>
                    <w14:schemeClr w14:val="tx1"/>
                  </w14:solidFill>
                </w14:textFill>
              </w:rPr>
              <w:t>充分利用当地现有公路、村道、居民区通道及农耕道等，</w:t>
            </w:r>
            <w:r>
              <w:rPr>
                <w:rFonts w:hint="eastAsia" w:ascii="宋体" w:hAnsi="宋体" w:eastAsia="宋体" w:cs="宋体"/>
                <w:color w:val="000000" w:themeColor="text1"/>
                <w:sz w:val="24"/>
                <w:szCs w:val="24"/>
                <w:lang w:val="en-US" w:eastAsia="zh-CN"/>
                <w14:textFill>
                  <w14:solidFill>
                    <w14:schemeClr w14:val="tx1"/>
                  </w14:solidFill>
                </w14:textFill>
              </w:rPr>
              <w:t>钻探设备及车辆基本可直接可抵达，无需修建施工便道。</w:t>
            </w:r>
          </w:p>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8、劳动定员与工作制度</w:t>
            </w:r>
          </w:p>
          <w:p>
            <w:pPr>
              <w:spacing w:line="360" w:lineRule="auto"/>
              <w:ind w:firstLine="480" w:firstLineChars="200"/>
              <w:rPr>
                <w:rFonts w:hint="eastAsia" w:ascii="Times New Roman" w:hAnsi="Times New Roman" w:eastAsia="宋体" w:cs="Times New Roman"/>
                <w:color w:val="000000" w:themeColor="text1"/>
                <w:sz w:val="24"/>
                <w:lang w:val="en-GB" w:eastAsia="zh-CN"/>
                <w14:textFill>
                  <w14:solidFill>
                    <w14:schemeClr w14:val="tx1"/>
                  </w14:solidFill>
                </w14:textFill>
              </w:rPr>
            </w:pPr>
            <w:r>
              <w:rPr>
                <w:rFonts w:hint="eastAsia" w:ascii="Times New Roman" w:hAnsi="Times New Roman" w:eastAsia="宋体" w:cs="Times New Roman"/>
                <w:color w:val="000000" w:themeColor="text1"/>
                <w:sz w:val="24"/>
                <w:lang w:val="en-GB" w:eastAsia="zh-CN"/>
                <w14:textFill>
                  <w14:solidFill>
                    <w14:schemeClr w14:val="tx1"/>
                  </w14:solidFill>
                </w14:textFill>
              </w:rPr>
              <w:t>（1）劳动定员</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本次</w:t>
            </w:r>
            <w:r>
              <w:rPr>
                <w:rFonts w:hint="eastAsia"/>
                <w:color w:val="000000" w:themeColor="text1"/>
                <w:sz w:val="24"/>
                <w:lang w:eastAsia="zh-CN"/>
                <w14:textFill>
                  <w14:solidFill>
                    <w14:schemeClr w14:val="tx1"/>
                  </w14:solidFill>
                </w14:textFill>
              </w:rPr>
              <w:t>勘查</w:t>
            </w:r>
            <w:r>
              <w:rPr>
                <w:rFonts w:hint="eastAsia"/>
                <w:color w:val="000000" w:themeColor="text1"/>
                <w:sz w:val="24"/>
                <w14:textFill>
                  <w14:solidFill>
                    <w14:schemeClr w14:val="tx1"/>
                  </w14:solidFill>
                </w14:textFill>
              </w:rPr>
              <w:t>工作</w:t>
            </w:r>
            <w:r>
              <w:rPr>
                <w:rFonts w:hint="eastAsia"/>
                <w:color w:val="000000" w:themeColor="text1"/>
                <w:sz w:val="24"/>
                <w:szCs w:val="24"/>
                <w:lang w:val="en-US" w:eastAsia="zh-CN"/>
                <w14:textFill>
                  <w14:solidFill>
                    <w14:schemeClr w14:val="tx1"/>
                  </w14:solidFill>
                </w14:textFill>
              </w:rPr>
              <w:t>劳动定员</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40</w:t>
            </w:r>
            <w:r>
              <w:rPr>
                <w:rFonts w:hint="eastAsia"/>
                <w:color w:val="000000" w:themeColor="text1"/>
                <w:sz w:val="24"/>
                <w14:textFill>
                  <w14:solidFill>
                    <w14:schemeClr w14:val="tx1"/>
                  </w14:solidFill>
                </w14:textFill>
              </w:rPr>
              <w:t>人</w:t>
            </w:r>
            <w:r>
              <w:rPr>
                <w:rFonts w:hint="eastAsia"/>
                <w:color w:val="000000" w:themeColor="text1"/>
                <w:sz w:val="24"/>
                <w:lang w:eastAsia="zh-CN"/>
                <w14:textFill>
                  <w14:solidFill>
                    <w14:schemeClr w14:val="tx1"/>
                  </w14:solidFill>
                </w14:textFill>
              </w:rPr>
              <w:t>。</w:t>
            </w:r>
          </w:p>
          <w:p>
            <w:pPr>
              <w:spacing w:line="360" w:lineRule="auto"/>
              <w:ind w:firstLine="480" w:firstLineChars="20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（2）工作制度</w:t>
            </w:r>
          </w:p>
          <w:p>
            <w:pPr>
              <w:spacing w:line="360" w:lineRule="auto"/>
              <w:ind w:firstLine="480" w:firstLineChars="200"/>
              <w:rPr>
                <w:rFonts w:hint="eastAsia"/>
                <w:color w:val="000000" w:themeColor="text1"/>
                <w:sz w:val="24"/>
                <w:lang w:val="en-GB" w:eastAsia="zh-CN"/>
                <w14:textFill>
                  <w14:solidFill>
                    <w14:schemeClr w14:val="tx1"/>
                  </w14:solidFill>
                </w14:textFill>
              </w:rPr>
            </w:pPr>
            <w:r>
              <w:rPr>
                <w:rFonts w:hint="eastAsia"/>
                <w:color w:val="000000" w:themeColor="text1"/>
                <w:sz w:val="24"/>
                <w:lang w:val="en-GB"/>
                <w14:textFill>
                  <w14:solidFill>
                    <w14:schemeClr w14:val="tx1"/>
                  </w14:solidFill>
                </w14:textFill>
              </w:rPr>
              <w:t>工作制度为</w:t>
            </w:r>
            <w:r>
              <w:rPr>
                <w:rFonts w:hint="eastAsia"/>
                <w:color w:val="000000" w:themeColor="text1"/>
                <w:sz w:val="24"/>
                <w:lang w:val="en-GB" w:eastAsia="zh-CN"/>
                <w14:textFill>
                  <w14:solidFill>
                    <w14:schemeClr w14:val="tx1"/>
                  </w14:solidFill>
                </w14:textFill>
              </w:rPr>
              <w:t>三</w:t>
            </w:r>
            <w:r>
              <w:rPr>
                <w:rFonts w:hint="eastAsia"/>
                <w:color w:val="000000" w:themeColor="text1"/>
                <w:sz w:val="24"/>
                <w:lang w:val="en-GB"/>
                <w14:textFill>
                  <w14:solidFill>
                    <w14:schemeClr w14:val="tx1"/>
                  </w14:solidFill>
                </w14:textFill>
              </w:rPr>
              <w:t>班制，每班8h</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年工作天数2</w:t>
            </w:r>
            <w:r>
              <w:rPr>
                <w:rFonts w:hint="eastAsia"/>
                <w:color w:val="000000" w:themeColor="text1"/>
                <w:sz w:val="24"/>
                <w:lang w:val="en-GB" w:eastAsia="zh-CN"/>
                <w14:textFill>
                  <w14:solidFill>
                    <w14:schemeClr w14:val="tx1"/>
                  </w14:solidFill>
                </w14:textFill>
              </w:rPr>
              <w:t>00</w:t>
            </w:r>
            <w:r>
              <w:rPr>
                <w:rFonts w:hint="eastAsia"/>
                <w:color w:val="000000" w:themeColor="text1"/>
                <w:sz w:val="24"/>
                <w:lang w:val="en-GB"/>
                <w14:textFill>
                  <w14:solidFill>
                    <w14:schemeClr w14:val="tx1"/>
                  </w14:solidFill>
                </w14:textFill>
              </w:rPr>
              <w:t>天。</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9、项目组成</w:t>
            </w:r>
          </w:p>
          <w:p>
            <w:pPr>
              <w:spacing w:line="360" w:lineRule="auto"/>
              <w:ind w:firstLine="480" w:firstLineChars="200"/>
              <w:rPr>
                <w:rFonts w:hint="eastAsia" w:hAnsi="宋体"/>
                <w:color w:val="000000" w:themeColor="text1"/>
                <w:sz w:val="24"/>
                <w:lang w:val="sq-AL"/>
                <w14:textFill>
                  <w14:solidFill>
                    <w14:schemeClr w14:val="tx1"/>
                  </w14:solidFill>
                </w14:textFill>
              </w:rPr>
            </w:pPr>
            <w:r>
              <w:rPr>
                <w:rFonts w:hint="eastAsia" w:hAnsi="宋体"/>
                <w:color w:val="000000" w:themeColor="text1"/>
                <w:sz w:val="24"/>
                <w:lang w:val="sq-AL"/>
                <w14:textFill>
                  <w14:solidFill>
                    <w14:schemeClr w14:val="tx1"/>
                  </w14:solidFill>
                </w14:textFill>
              </w:rPr>
              <w:t>本项目主要建设内容见表</w:t>
            </w:r>
            <w:r>
              <w:rPr>
                <w:rFonts w:hint="eastAsia" w:hAnsi="宋体"/>
                <w:color w:val="000000" w:themeColor="text1"/>
                <w:sz w:val="24"/>
                <w:lang w:val="en-US" w:eastAsia="zh-CN"/>
                <w14:textFill>
                  <w14:solidFill>
                    <w14:schemeClr w14:val="tx1"/>
                  </w14:solidFill>
                </w14:textFill>
              </w:rPr>
              <w:t>1</w:t>
            </w:r>
            <w:r>
              <w:rPr>
                <w:rFonts w:hAnsi="宋体"/>
                <w:color w:val="000000" w:themeColor="text1"/>
                <w:sz w:val="24"/>
                <w:lang w:val="sq-AL"/>
                <w14:textFill>
                  <w14:solidFill>
                    <w14:schemeClr w14:val="tx1"/>
                  </w14:solidFill>
                </w14:textFill>
              </w:rPr>
              <w:t>-1</w:t>
            </w:r>
            <w:r>
              <w:rPr>
                <w:rFonts w:hint="eastAsia" w:hAnsi="宋体"/>
                <w:color w:val="000000" w:themeColor="text1"/>
                <w:sz w:val="24"/>
                <w:lang w:val="en-US" w:eastAsia="zh-CN"/>
                <w14:textFill>
                  <w14:solidFill>
                    <w14:schemeClr w14:val="tx1"/>
                  </w14:solidFill>
                </w14:textFill>
              </w:rPr>
              <w:t>1</w:t>
            </w:r>
            <w:r>
              <w:rPr>
                <w:rFonts w:hint="eastAsia" w:hAnsi="宋体"/>
                <w:color w:val="000000" w:themeColor="text1"/>
                <w:sz w:val="24"/>
                <w:lang w:val="sq-AL"/>
                <w14:textFill>
                  <w14:solidFill>
                    <w14:schemeClr w14:val="tx1"/>
                  </w14:solidFill>
                </w14:textFill>
              </w:rPr>
              <w:t>。</w:t>
            </w:r>
          </w:p>
          <w:p>
            <w:pPr>
              <w:spacing w:line="240" w:lineRule="auto"/>
              <w:jc w:val="center"/>
              <w:rPr>
                <w:rFonts w:hint="eastAsia" w:hAnsi="宋体"/>
                <w:color w:val="000000" w:themeColor="text1"/>
                <w:sz w:val="24"/>
                <w:lang w:val="en-US" w:eastAsia="zh-CN"/>
                <w14:textFill>
                  <w14:solidFill>
                    <w14:schemeClr w14:val="tx1"/>
                  </w14:solidFill>
                </w14:textFill>
              </w:rPr>
            </w:pPr>
            <w:r>
              <w:rPr>
                <w:rFonts w:hint="eastAsia" w:hAnsi="宋体"/>
                <w:color w:val="000000" w:themeColor="text1"/>
                <w:sz w:val="24"/>
                <w:lang w:val="en-US" w:eastAsia="zh-CN"/>
                <w14:textFill>
                  <w14:solidFill>
                    <w14:schemeClr w14:val="tx1"/>
                  </w14:solidFill>
                </w14:textFill>
              </w:rPr>
              <w:t>表1-11  项目组成一览表</w:t>
            </w:r>
          </w:p>
          <w:tbl>
            <w:tblPr>
              <w:tblStyle w:val="11"/>
              <w:tblW w:w="4996"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1079"/>
              <w:gridCol w:w="1660"/>
              <w:gridCol w:w="677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工程名称</w:t>
                  </w:r>
                </w:p>
              </w:tc>
              <w:tc>
                <w:tcPr>
                  <w:tcW w:w="3559"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工程内容及规模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755"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主体</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钻探工程</w:t>
                  </w:r>
                </w:p>
              </w:tc>
              <w:tc>
                <w:tcPr>
                  <w:tcW w:w="3559" w:type="pct"/>
                  <w:tcBorders>
                    <w:tl2br w:val="nil"/>
                    <w:tr2bl w:val="nil"/>
                  </w:tcBorders>
                  <w:vAlign w:val="center"/>
                </w:tcPr>
                <w:p>
                  <w:pPr>
                    <w:adjustRightInd w:val="0"/>
                    <w:snapToGrid w:val="0"/>
                    <w:rPr>
                      <w:rFonts w:hint="eastAsia"/>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lang w:val="en-US" w:eastAsia="zh-CN"/>
                      <w14:textFill>
                        <w14:solidFill>
                          <w14:schemeClr w14:val="tx1"/>
                        </w14:solidFill>
                      </w14:textFill>
                    </w:rPr>
                    <w:t>2</w:t>
                  </w:r>
                  <w:r>
                    <w:rPr>
                      <w:color w:val="000000" w:themeColor="text1"/>
                      <w:szCs w:val="21"/>
                      <w14:textFill>
                        <w14:solidFill>
                          <w14:schemeClr w14:val="tx1"/>
                        </w14:solidFill>
                      </w14:textFill>
                    </w:rPr>
                    <w:t>年钻探工程量</w:t>
                  </w:r>
                  <w:r>
                    <w:rPr>
                      <w:rFonts w:hint="eastAsia"/>
                      <w:color w:val="000000" w:themeColor="text1"/>
                      <w:szCs w:val="21"/>
                      <w:lang w:val="en-US" w:eastAsia="zh-CN"/>
                      <w14:textFill>
                        <w14:solidFill>
                          <w14:schemeClr w14:val="tx1"/>
                        </w14:solidFill>
                      </w14:textFill>
                    </w:rPr>
                    <w:t>16</w:t>
                  </w:r>
                  <w:r>
                    <w:rPr>
                      <w:color w:val="000000" w:themeColor="text1"/>
                      <w:szCs w:val="21"/>
                      <w14:textFill>
                        <w14:solidFill>
                          <w14:schemeClr w14:val="tx1"/>
                        </w14:solidFill>
                      </w14:textFill>
                    </w:rPr>
                    <w:t>000m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拟设钻孔</w:t>
                  </w:r>
                  <w:r>
                    <w:rPr>
                      <w:rFonts w:hint="eastAsia"/>
                      <w:color w:val="000000" w:themeColor="text1"/>
                      <w:szCs w:val="21"/>
                      <w:lang w:val="en-US" w:eastAsia="zh-CN"/>
                      <w14:textFill>
                        <w14:solidFill>
                          <w14:schemeClr w14:val="tx1"/>
                        </w14:solidFill>
                      </w14:textFill>
                    </w:rPr>
                    <w:t>31</w:t>
                  </w:r>
                  <w:r>
                    <w:rPr>
                      <w:rFonts w:hint="eastAsia"/>
                      <w:color w:val="000000" w:themeColor="text1"/>
                      <w:szCs w:val="21"/>
                      <w14:textFill>
                        <w14:solidFill>
                          <w14:schemeClr w14:val="tx1"/>
                        </w14:solidFill>
                      </w14:textFill>
                    </w:rPr>
                    <w:t>个</w:t>
                  </w:r>
                  <w:r>
                    <w:rPr>
                      <w:rFonts w:hint="eastAsia"/>
                      <w:color w:val="000000" w:themeColor="text1"/>
                      <w:szCs w:val="21"/>
                      <w:lang w:eastAsia="zh-CN"/>
                      <w14:textFill>
                        <w14:solidFill>
                          <w14:schemeClr w14:val="tx1"/>
                        </w14:solidFill>
                      </w14:textFill>
                    </w:rPr>
                    <w:t>；</w:t>
                  </w:r>
                </w:p>
                <w:p>
                  <w:pPr>
                    <w:adjustRightInd w:val="0"/>
                    <w:snapToGrid w:val="0"/>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lang w:val="en-US" w:eastAsia="zh-CN"/>
                      <w14:textFill>
                        <w14:solidFill>
                          <w14:schemeClr w14:val="tx1"/>
                        </w14:solidFill>
                      </w14:textFill>
                    </w:rPr>
                    <w:t>3-2026</w:t>
                  </w:r>
                  <w:r>
                    <w:rPr>
                      <w:color w:val="000000" w:themeColor="text1"/>
                      <w:szCs w:val="21"/>
                      <w14:textFill>
                        <w14:solidFill>
                          <w14:schemeClr w14:val="tx1"/>
                        </w14:solidFill>
                      </w14:textFill>
                    </w:rPr>
                    <w:t>年</w:t>
                  </w:r>
                  <w:r>
                    <w:rPr>
                      <w:rFonts w:hint="eastAsia"/>
                      <w:color w:val="000000" w:themeColor="text1"/>
                      <w:szCs w:val="21"/>
                      <w:lang w:val="en-US" w:eastAsia="zh-CN"/>
                      <w14:textFill>
                        <w14:solidFill>
                          <w14:schemeClr w14:val="tx1"/>
                        </w14:solidFill>
                      </w14:textFill>
                    </w:rPr>
                    <w:t>预估</w:t>
                  </w:r>
                  <w:r>
                    <w:rPr>
                      <w:color w:val="000000" w:themeColor="text1"/>
                      <w:szCs w:val="21"/>
                      <w14:textFill>
                        <w14:solidFill>
                          <w14:schemeClr w14:val="tx1"/>
                        </w14:solidFill>
                      </w14:textFill>
                    </w:rPr>
                    <w:t>钻探工程量</w:t>
                  </w:r>
                  <w:r>
                    <w:rPr>
                      <w:rFonts w:hint="eastAsia"/>
                      <w:color w:val="000000" w:themeColor="text1"/>
                      <w:szCs w:val="21"/>
                      <w:lang w:val="en-US" w:eastAsia="zh-CN"/>
                      <w14:textFill>
                        <w14:solidFill>
                          <w14:schemeClr w14:val="tx1"/>
                        </w14:solidFill>
                      </w14:textFill>
                    </w:rPr>
                    <w:t>1010</w:t>
                  </w:r>
                  <w:r>
                    <w:rPr>
                      <w:color w:val="000000" w:themeColor="text1"/>
                      <w:szCs w:val="21"/>
                      <w14:textFill>
                        <w14:solidFill>
                          <w14:schemeClr w14:val="tx1"/>
                        </w14:solidFill>
                      </w14:textFill>
                    </w:rPr>
                    <w:t>00m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拟设钻孔</w:t>
                  </w:r>
                  <w:r>
                    <w:rPr>
                      <w:rFonts w:hint="eastAsia"/>
                      <w:color w:val="000000" w:themeColor="text1"/>
                      <w:szCs w:val="21"/>
                      <w:lang w:val="en-US" w:eastAsia="zh-CN"/>
                      <w14:textFill>
                        <w14:solidFill>
                          <w14:schemeClr w14:val="tx1"/>
                        </w14:solidFill>
                      </w14:textFill>
                    </w:rPr>
                    <w:t>213</w:t>
                  </w:r>
                  <w:r>
                    <w:rPr>
                      <w:rFonts w:hint="eastAsia"/>
                      <w:color w:val="000000" w:themeColor="text1"/>
                      <w:szCs w:val="21"/>
                      <w14:textFill>
                        <w14:solidFill>
                          <w14:schemeClr w14:val="tx1"/>
                        </w14:solidFill>
                      </w14:textFill>
                    </w:rPr>
                    <w:t>个</w:t>
                  </w:r>
                  <w:r>
                    <w:rPr>
                      <w:rFonts w:hint="eastAsia"/>
                      <w:color w:val="000000" w:themeColor="text1"/>
                      <w:szCs w:val="21"/>
                      <w:lang w:eastAsia="zh-CN"/>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样品采集及化验</w:t>
                  </w:r>
                </w:p>
              </w:tc>
              <w:tc>
                <w:tcPr>
                  <w:tcW w:w="3559" w:type="pct"/>
                  <w:tcBorders>
                    <w:tl2br w:val="nil"/>
                    <w:tr2bl w:val="nil"/>
                  </w:tcBorders>
                  <w:vAlign w:val="center"/>
                </w:tcPr>
                <w:p>
                  <w:pPr>
                    <w:contextualSpacing/>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岩矿芯样品、岩矿鉴定标本制作光、薄片样</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辅助</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钻井井场</w:t>
                  </w:r>
                </w:p>
              </w:tc>
              <w:tc>
                <w:tcPr>
                  <w:tcW w:w="3559" w:type="pct"/>
                  <w:tcBorders>
                    <w:tl2br w:val="nil"/>
                    <w:tr2bl w:val="nil"/>
                  </w:tcBorders>
                  <w:vAlign w:val="center"/>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井场布置钻井、泥浆机、钻具区、发电机、生活帐篷、油料储存区等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adjustRightInd w:val="0"/>
                    <w:snapToGrid w:val="0"/>
                    <w:jc w:val="center"/>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w:t>
                  </w:r>
                </w:p>
              </w:tc>
              <w:tc>
                <w:tcPr>
                  <w:tcW w:w="3559" w:type="pct"/>
                  <w:tcBorders>
                    <w:tl2br w:val="nil"/>
                    <w:tr2bl w:val="nil"/>
                  </w:tcBorders>
                  <w:vAlign w:val="center"/>
                </w:tcPr>
                <w:p>
                  <w:pPr>
                    <w:widowControl/>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在每个勘查区块设一个项目部，</w:t>
                  </w:r>
                  <w:r>
                    <w:rPr>
                      <w:color w:val="000000" w:themeColor="text1"/>
                      <w:szCs w:val="21"/>
                      <w14:textFill>
                        <w14:solidFill>
                          <w14:schemeClr w14:val="tx1"/>
                        </w14:solidFill>
                      </w14:textFill>
                    </w:rPr>
                    <w:t>主要租用附近村庄居民房屋</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公用</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供水</w:t>
                  </w:r>
                </w:p>
              </w:tc>
              <w:tc>
                <w:tcPr>
                  <w:tcW w:w="3559"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项目部生活用水依托所在村庄，钻探施工及生活用水采用水车从附近村庄拉运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供电</w:t>
                  </w:r>
                </w:p>
              </w:tc>
              <w:tc>
                <w:tcPr>
                  <w:tcW w:w="3559"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施工作业由自备柴油发电机供电</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rFonts w:hint="eastAsia"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施工便道</w:t>
                  </w:r>
                </w:p>
              </w:tc>
              <w:tc>
                <w:tcPr>
                  <w:tcW w:w="3559" w:type="pct"/>
                  <w:tcBorders>
                    <w:tl2br w:val="nil"/>
                    <w:tr2bl w:val="nil"/>
                  </w:tcBorders>
                  <w:vAlign w:val="center"/>
                </w:tcPr>
                <w:p>
                  <w:pPr>
                    <w:adjustRightInd w:val="0"/>
                    <w:snapToGrid w:val="0"/>
                    <w:rPr>
                      <w:rFonts w:hint="eastAsia"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szCs w:val="21"/>
                      <w:lang w:val="zh-CN" w:eastAsia="zh-CN"/>
                      <w14:textFill>
                        <w14:solidFill>
                          <w14:schemeClr w14:val="tx1"/>
                        </w14:solidFill>
                      </w14:textFill>
                    </w:rPr>
                    <w:t>充分利用当地现有公路、村道、居民区通道及农耕道等，</w:t>
                  </w:r>
                  <w:r>
                    <w:rPr>
                      <w:rFonts w:hint="eastAsia" w:ascii="宋体" w:hAnsi="宋体" w:eastAsia="宋体" w:cs="宋体"/>
                      <w:color w:val="000000" w:themeColor="text1"/>
                      <w:szCs w:val="21"/>
                      <w:lang w:val="en-US" w:eastAsia="zh-CN"/>
                      <w14:textFill>
                        <w14:solidFill>
                          <w14:schemeClr w14:val="tx1"/>
                        </w14:solidFill>
                      </w14:textFill>
                    </w:rPr>
                    <w:t>钻探设备及车辆基本可直接可抵达，无需修建施工便道</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环保</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3559"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施工扬尘采用洒水抑尘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废水</w:t>
                  </w:r>
                </w:p>
              </w:tc>
              <w:tc>
                <w:tcPr>
                  <w:tcW w:w="3559"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项目部依托村庄现有旱厕收集生活粪便，生活洗漱污水用于抑尘；钻探施工区生活区设</w:t>
                  </w:r>
                  <w:r>
                    <w:rPr>
                      <w:rFonts w:hint="eastAsia"/>
                      <w:color w:val="000000" w:themeColor="text1"/>
                      <w:szCs w:val="21"/>
                      <w14:textFill>
                        <w14:solidFill>
                          <w14:schemeClr w14:val="tx1"/>
                        </w14:solidFill>
                      </w14:textFill>
                    </w:rPr>
                    <w:t>旱厕</w:t>
                  </w:r>
                  <w:r>
                    <w:rPr>
                      <w:color w:val="000000" w:themeColor="text1"/>
                      <w:szCs w:val="21"/>
                      <w14:textFill>
                        <w14:solidFill>
                          <w14:schemeClr w14:val="tx1"/>
                        </w14:solidFill>
                      </w14:textFill>
                    </w:rPr>
                    <w:t>，生活洗漱污水用于抑尘</w:t>
                  </w:r>
                  <w:r>
                    <w:rPr>
                      <w:rFonts w:hint="eastAsia"/>
                      <w:color w:val="000000" w:themeColor="text1"/>
                      <w:szCs w:val="21"/>
                      <w14:textFill>
                        <w14:solidFill>
                          <w14:schemeClr w14:val="tx1"/>
                        </w14:solidFill>
                      </w14:textFill>
                    </w:rPr>
                    <w:t>；</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钻井泥浆池中的上清液循环使用，过程需补充一定消耗水量，废水全部循环，不外排。设备冲洗废水进入泥浆池沉淀自然干化，不外排。</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3559"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选用低噪声设备，设备减振处理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固废</w:t>
                  </w:r>
                </w:p>
              </w:tc>
              <w:tc>
                <w:tcPr>
                  <w:tcW w:w="3559" w:type="pct"/>
                  <w:tcBorders>
                    <w:tl2br w:val="nil"/>
                    <w:tr2bl w:val="nil"/>
                  </w:tcBorders>
                  <w:vAlign w:val="center"/>
                </w:tcPr>
                <w:p>
                  <w:pPr>
                    <w:widowControl/>
                    <w:rPr>
                      <w:color w:val="000000" w:themeColor="text1"/>
                      <w:szCs w:val="21"/>
                      <w:lang w:bidi="ar"/>
                      <w14:textFill>
                        <w14:solidFill>
                          <w14:schemeClr w14:val="tx1"/>
                        </w14:solidFill>
                      </w14:textFill>
                    </w:rPr>
                  </w:pPr>
                  <w:r>
                    <w:rPr>
                      <w:color w:val="000000" w:themeColor="text1"/>
                      <w:szCs w:val="21"/>
                      <w14:textFill>
                        <w14:solidFill>
                          <w14:schemeClr w14:val="tx1"/>
                        </w14:solidFill>
                      </w14:textFill>
                    </w:rPr>
                    <w:t>钻探</w:t>
                  </w:r>
                  <w:r>
                    <w:rPr>
                      <w:rFonts w:hint="eastAsia"/>
                      <w:color w:val="000000" w:themeColor="text1"/>
                      <w:szCs w:val="21"/>
                      <w:lang w:val="en-US" w:eastAsia="zh-CN"/>
                      <w14:textFill>
                        <w14:solidFill>
                          <w14:schemeClr w14:val="tx1"/>
                        </w14:solidFill>
                      </w14:textFill>
                    </w:rPr>
                    <w:t>人员</w:t>
                  </w:r>
                  <w:r>
                    <w:rPr>
                      <w:color w:val="000000" w:themeColor="text1"/>
                      <w:szCs w:val="21"/>
                      <w14:textFill>
                        <w14:solidFill>
                          <w14:schemeClr w14:val="tx1"/>
                        </w14:solidFill>
                      </w14:textFill>
                    </w:rPr>
                    <w:t>生活垃圾用垃圾袋带回项目部，项目部垃圾采用垃圾桶分类集中收集，由环卫部门清理处置；非矿段岩芯填埋，矿段岩芯放置在岩芯库内</w:t>
                  </w:r>
                  <w:r>
                    <w:rPr>
                      <w:rFonts w:hint="eastAsia"/>
                      <w:color w:val="000000" w:themeColor="text1"/>
                      <w:szCs w:val="21"/>
                      <w14:textFill>
                        <w14:solidFill>
                          <w14:schemeClr w14:val="tx1"/>
                        </w14:solidFill>
                      </w14:textFill>
                    </w:rPr>
                    <w:t>，后期</w:t>
                  </w:r>
                  <w:r>
                    <w:rPr>
                      <w:color w:val="000000" w:themeColor="text1"/>
                      <w:szCs w:val="21"/>
                      <w14:textFill>
                        <w14:solidFill>
                          <w14:schemeClr w14:val="tx1"/>
                        </w14:solidFill>
                      </w14:textFill>
                    </w:rPr>
                    <w:t>带回分析、化验。钻孔过程中产生的泥浆进入泥浆池内，待钻孔结束泥浆干化处置，将泥浆池覆土绿化恢复</w:t>
                  </w:r>
                  <w:r>
                    <w:rPr>
                      <w:rFonts w:hint="eastAsia"/>
                      <w:color w:val="000000" w:themeColor="text1"/>
                      <w:szCs w:val="21"/>
                      <w14:textFill>
                        <w14:solidFill>
                          <w14:schemeClr w14:val="tx1"/>
                        </w14:solidFill>
                      </w14:textFill>
                    </w:rPr>
                    <w:t>；废机油收集于专用收集桶，交有资质单位进行处置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ind w:right="-67" w:rightChars="-32"/>
                    <w:contextualSpacing/>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生态保护与恢复</w:t>
                  </w:r>
                </w:p>
              </w:tc>
              <w:tc>
                <w:tcPr>
                  <w:tcW w:w="3559" w:type="pct"/>
                  <w:tcBorders>
                    <w:tl2br w:val="nil"/>
                    <w:tr2bl w:val="nil"/>
                  </w:tcBorders>
                  <w:vAlign w:val="center"/>
                </w:tcPr>
                <w:p>
                  <w:pPr>
                    <w:pStyle w:val="16"/>
                    <w:jc w:val="both"/>
                    <w:rPr>
                      <w:rFonts w:ascii="Times New Roman" w:hAnsi="Times New Roman" w:eastAsia="宋体" w:cs="Times New Roman"/>
                      <w:color w:val="000000" w:themeColor="text1"/>
                      <w:sz w:val="21"/>
                      <w:szCs w:val="21"/>
                      <w:lang w:val="en-US" w:eastAsia="zh-CN" w:bidi="ar-SA"/>
                      <w14:textFill>
                        <w14:solidFill>
                          <w14:schemeClr w14:val="tx1"/>
                        </w14:solidFill>
                      </w14:textFill>
                    </w:rPr>
                  </w:pPr>
                  <w:r>
                    <w:rPr>
                      <w:rFonts w:hint="eastAsia" w:hAnsi="宋体"/>
                      <w:color w:val="000000" w:themeColor="text1"/>
                      <w:sz w:val="21"/>
                      <w:szCs w:val="21"/>
                      <w14:textFill>
                        <w14:solidFill>
                          <w14:schemeClr w14:val="tx1"/>
                        </w14:solidFill>
                      </w14:textFill>
                    </w:rPr>
                    <w:t>①</w:t>
                  </w:r>
                  <w:r>
                    <w:rPr>
                      <w:rFonts w:ascii="Times New Roman" w:hAnsi="Times New Roman" w:cs="Times New Roman"/>
                      <w:color w:val="000000" w:themeColor="text1"/>
                      <w:sz w:val="21"/>
                      <w:szCs w:val="21"/>
                      <w14:textFill>
                        <w14:solidFill>
                          <w14:schemeClr w14:val="tx1"/>
                        </w14:solidFill>
                      </w14:textFill>
                    </w:rPr>
                    <w:t>钻探施工作业前，剥离表土集中堆放拍实、采取必要的遮盖，作为钻探施工结束后复垦土源。</w:t>
                  </w:r>
                  <w:r>
                    <w:rPr>
                      <w:rFonts w:hint="eastAsia" w:hAnsi="宋体"/>
                      <w:color w:val="000000" w:themeColor="text1"/>
                      <w:sz w:val="21"/>
                      <w:szCs w:val="21"/>
                      <w14:textFill>
                        <w14:solidFill>
                          <w14:schemeClr w14:val="tx1"/>
                        </w14:solidFill>
                      </w14:textFill>
                    </w:rPr>
                    <w:t>②</w:t>
                  </w:r>
                  <w:r>
                    <w:rPr>
                      <w:rFonts w:ascii="Times New Roman" w:hAnsi="Times New Roman" w:cs="Times New Roman"/>
                      <w:color w:val="000000" w:themeColor="text1"/>
                      <w:sz w:val="21"/>
                      <w:szCs w:val="21"/>
                      <w14:textFill>
                        <w14:solidFill>
                          <w14:schemeClr w14:val="tx1"/>
                        </w14:solidFill>
                      </w14:textFill>
                    </w:rPr>
                    <w:t>钻探施工结束后，拆除钻井井架、平整钻井平台等迹地清理，覆土（利用施工前剥离土壤），再恢复植被；泥浆池覆土掩埋，再恢复植被。</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top"/>
                </w:tcPr>
                <w:p>
                  <w:pPr>
                    <w:jc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辐射</w:t>
                  </w:r>
                  <w:r>
                    <w:rPr>
                      <w:rFonts w:hint="default" w:ascii="Times New Roman" w:hAnsi="Times New Roman" w:cs="Times New Roman"/>
                      <w:color w:val="000000" w:themeColor="text1"/>
                      <w:sz w:val="21"/>
                      <w:szCs w:val="21"/>
                      <w:lang w:val="en-US" w:eastAsia="zh-CN"/>
                      <w14:textFill>
                        <w14:solidFill>
                          <w14:schemeClr w14:val="tx1"/>
                        </w14:solidFill>
                      </w14:textFill>
                    </w:rPr>
                    <w:t>环境保护措施</w:t>
                  </w:r>
                </w:p>
              </w:tc>
              <w:tc>
                <w:tcPr>
                  <w:tcW w:w="3559" w:type="pct"/>
                  <w:tcBorders>
                    <w:tl2br w:val="nil"/>
                    <w:tr2bl w:val="nil"/>
                  </w:tcBorders>
                  <w:vAlign w:val="top"/>
                </w:tcPr>
                <w:p>
                  <w:pP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配备γ辐射剂量率监测仪器，钻探施工前和施工结束后分别对钻探场地以及周边环境进行天然贯穿辐射剂量率监测。</w:t>
                  </w:r>
                </w:p>
              </w:tc>
            </w:tr>
          </w:tbl>
          <w:p>
            <w:pPr>
              <w:pStyle w:val="18"/>
              <w:keepNext w:val="0"/>
              <w:keepLines w:val="0"/>
              <w:pageBreakBefore w:val="0"/>
              <w:widowControl w:val="0"/>
              <w:kinsoku/>
              <w:wordWrap/>
              <w:overflowPunct/>
              <w:topLinePunct w:val="0"/>
              <w:autoSpaceDE w:val="0"/>
              <w:autoSpaceDN w:val="0"/>
              <w:bidi w:val="0"/>
              <w:adjustRightInd/>
              <w:snapToGrid/>
              <w:spacing w:before="0" w:line="360" w:lineRule="auto"/>
              <w:ind w:left="0" w:leftChars="0" w:firstLine="0" w:firstLineChars="0"/>
              <w:jc w:val="both"/>
              <w:textAlignment w:val="auto"/>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eastAsia" w:ascii="Times New Roman" w:hAnsi="Times New Roman" w:cs="Times New Roman"/>
                <w:color w:val="000000" w:themeColor="text1"/>
                <w:sz w:val="24"/>
                <w:szCs w:val="24"/>
                <w:lang w:val="en-US" w:eastAsia="zh-CN"/>
                <w14:textFill>
                  <w14:solidFill>
                    <w14:schemeClr w14:val="tx1"/>
                  </w14:solidFill>
                </w14:textFill>
              </w:rPr>
              <w:t>10、</w:t>
            </w:r>
            <w:r>
              <w:rPr>
                <w:rFonts w:hint="default" w:ascii="Times New Roman" w:hAnsi="Times New Roman" w:cs="Times New Roman"/>
                <w:b/>
                <w:bCs/>
                <w:color w:val="000000" w:themeColor="text1"/>
                <w:sz w:val="24"/>
                <w:szCs w:val="24"/>
                <w:lang w:val="en-US" w:eastAsia="zh-CN"/>
                <w14:textFill>
                  <w14:solidFill>
                    <w14:schemeClr w14:val="tx1"/>
                  </w14:solidFill>
                </w14:textFill>
              </w:rPr>
              <w:t>评价等级及范围</w:t>
            </w:r>
          </w:p>
          <w:p>
            <w:pPr>
              <w:pStyle w:val="2"/>
              <w:spacing w:line="360" w:lineRule="auto"/>
              <w:ind w:firstLine="480" w:firstLineChars="200"/>
              <w:rPr>
                <w:rFonts w:hint="eastAsia" w:hAnsi="宋体"/>
                <w:color w:val="000000" w:themeColor="text1"/>
                <w:sz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通过识别该项目施工过程中可能产生的污染因子</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六、建设项目工程分析</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，结合各环境要素的评价工作分级判据，进行了本项目的评价工作分级，并确定了相关的评价范围，详细判定过程见“</w:t>
            </w:r>
            <w:r>
              <w:rPr>
                <w:rFonts w:hint="eastAsia" w:ascii="Times New Roman" w:hAnsi="Times New Roman" w:cs="Times New Roman"/>
                <w:color w:val="000000" w:themeColor="text1"/>
                <w:sz w:val="24"/>
                <w:szCs w:val="24"/>
                <w:lang w:val="en-US" w:eastAsia="zh-CN"/>
                <w14:textFill>
                  <w14:solidFill>
                    <w14:schemeClr w14:val="tx1"/>
                  </w14:solidFill>
                </w14:textFill>
              </w:rPr>
              <w:t>八‘、</w:t>
            </w:r>
            <w:r>
              <w:rPr>
                <w:rFonts w:hint="default" w:ascii="Times New Roman" w:hAnsi="Times New Roman" w:cs="Times New Roman"/>
                <w:color w:val="000000" w:themeColor="text1"/>
                <w:sz w:val="24"/>
                <w:szCs w:val="24"/>
                <w14:textFill>
                  <w14:solidFill>
                    <w14:schemeClr w14:val="tx1"/>
                  </w14:solidFill>
                </w14:textFill>
              </w:rPr>
              <w:t>环境影响分析”，此处简述如下：</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1</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大气</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地面空气质量浓度占标率为</w:t>
            </w:r>
            <w:r>
              <w:rPr>
                <w:rFonts w:hint="eastAsia" w:ascii="Times New Roman" w:cs="Times New Roman"/>
                <w:color w:val="000000" w:themeColor="text1"/>
                <w:sz w:val="24"/>
                <w:szCs w:val="24"/>
                <w:lang w:val="en-US" w:eastAsia="zh-CN"/>
                <w14:textFill>
                  <w14:solidFill>
                    <w14:schemeClr w14:val="tx1"/>
                  </w14:solidFill>
                </w14:textFill>
              </w:rPr>
              <w:t>6.</w:t>
            </w:r>
            <w:r>
              <w:rPr>
                <w:rFonts w:hint="eastAsia" w:cs="Times New Roman"/>
                <w:color w:val="000000" w:themeColor="text1"/>
                <w:sz w:val="24"/>
                <w:szCs w:val="24"/>
                <w:lang w:val="en-US" w:eastAsia="zh-CN"/>
                <w14:textFill>
                  <w14:solidFill>
                    <w14:schemeClr w14:val="tx1"/>
                  </w14:solidFill>
                </w14:textFill>
              </w:rPr>
              <w:t>56</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1%≤Pmax&lt;10%</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按照《环境影响评价技术导则 大气环境》（HJ2.2-2018）</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szCs w:val="24"/>
                <w:lang w:eastAsia="zh-CN"/>
                <w14:textFill>
                  <w14:solidFill>
                    <w14:schemeClr w14:val="tx1"/>
                  </w14:solidFill>
                </w14:textFill>
              </w:rPr>
              <w:t>评价范围为以钻孔场地为中心，边长取5km的矩形区域。</w:t>
            </w:r>
          </w:p>
          <w:p>
            <w:pPr>
              <w:spacing w:line="360" w:lineRule="auto"/>
              <w:ind w:firstLine="480" w:firstLineChars="200"/>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地表水</w:t>
            </w:r>
          </w:p>
          <w:p>
            <w:pPr>
              <w:spacing w:line="360" w:lineRule="auto"/>
              <w:ind w:firstLine="480" w:firstLineChars="200"/>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HJ2.3-2018</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表1评价工作等级的划分，判定地表水评价等级为三级B。</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3</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地下水</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土壤</w:t>
            </w:r>
          </w:p>
          <w:p>
            <w:pPr>
              <w:pStyle w:val="16"/>
              <w:spacing w:line="360" w:lineRule="auto"/>
              <w:ind w:firstLine="480" w:firstLineChars="200"/>
              <w:jc w:val="both"/>
              <w:outlineLvl w:val="0"/>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w:t>
            </w:r>
            <w:r>
              <w:rPr>
                <w:rFonts w:hint="default" w:ascii="Times New Roman" w:hAnsi="Times New Roman" w:eastAsia="宋体" w:cs="Times New Roman"/>
                <w:color w:val="000000" w:themeColor="text1"/>
                <w14:textFill>
                  <w14:solidFill>
                    <w14:schemeClr w14:val="tx1"/>
                  </w14:solidFill>
                </w14:textFill>
              </w:rPr>
              <w:t>，土壤环境影响评价项目类别是IV类。所以，本次不开展土壤、地下水环境影响评价。</w:t>
            </w:r>
          </w:p>
          <w:p>
            <w:pPr>
              <w:pStyle w:val="16"/>
              <w:spacing w:line="360" w:lineRule="auto"/>
              <w:ind w:firstLine="480" w:firstLineChars="200"/>
              <w:jc w:val="both"/>
              <w:outlineLvl w:val="0"/>
              <w:rPr>
                <w:rFonts w:hint="default"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14:textFill>
                  <w14:solidFill>
                    <w14:schemeClr w14:val="tx1"/>
                  </w14:solidFill>
                </w14:textFill>
              </w:rPr>
              <w:t>4）噪声</w:t>
            </w:r>
          </w:p>
          <w:p>
            <w:pPr>
              <w:pStyle w:val="16"/>
              <w:spacing w:line="360" w:lineRule="auto"/>
              <w:ind w:firstLine="480" w:firstLineChars="200"/>
              <w:jc w:val="both"/>
              <w:outlineLvl w:val="0"/>
              <w:rPr>
                <w:rFonts w:hint="eastAsia"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本项目所在区域声环境质量执行《声环境质量标准》（GB3096-2008）中</w:t>
            </w:r>
            <w:r>
              <w:rPr>
                <w:rFonts w:hint="default" w:ascii="Times New Roman" w:hAnsi="Times New Roman" w:eastAsia="宋体" w:cs="Times New Roman"/>
                <w:color w:val="000000" w:themeColor="text1"/>
                <w:lang w:eastAsia="zh-CN"/>
                <w14:textFill>
                  <w14:solidFill>
                    <w14:schemeClr w14:val="tx1"/>
                  </w14:solidFill>
                </w14:textFill>
              </w:rPr>
              <w:t>1类</w:t>
            </w:r>
            <w:r>
              <w:rPr>
                <w:rFonts w:hint="default" w:ascii="Times New Roman" w:hAnsi="Times New Roman" w:eastAsia="宋体" w:cs="Times New Roman"/>
                <w:color w:val="000000" w:themeColor="text1"/>
                <w14:textFill>
                  <w14:solidFill>
                    <w14:schemeClr w14:val="tx1"/>
                  </w14:solidFill>
                </w14:textFill>
              </w:rPr>
              <w:t>区标准要求，根据《环境影响评价技术导则 声环境》（HJ 2.4-2009），项目声环境评价等级为二级，评价范围为</w:t>
            </w:r>
            <w:r>
              <w:rPr>
                <w:rFonts w:hint="eastAsia" w:ascii="Times New Roman" w:hAnsi="Times New Roman" w:eastAsia="宋体" w:cs="Times New Roman"/>
                <w:color w:val="000000" w:themeColor="text1"/>
                <w:lang w:val="en-US" w:eastAsia="zh-CN"/>
                <w14:textFill>
                  <w14:solidFill>
                    <w14:schemeClr w14:val="tx1"/>
                  </w14:solidFill>
                </w14:textFill>
              </w:rPr>
              <w:t>钻探场界外</w:t>
            </w:r>
            <w:r>
              <w:rPr>
                <w:rFonts w:hint="default" w:ascii="Times New Roman" w:hAnsi="Times New Roman" w:eastAsia="宋体" w:cs="Times New Roman"/>
                <w:color w:val="000000" w:themeColor="text1"/>
                <w:lang w:val="en-US" w:eastAsia="zh-CN"/>
                <w14:textFill>
                  <w14:solidFill>
                    <w14:schemeClr w14:val="tx1"/>
                  </w14:solidFill>
                </w14:textFill>
              </w:rPr>
              <w:t>250m</w:t>
            </w:r>
            <w:r>
              <w:rPr>
                <w:rFonts w:hint="eastAsia" w:ascii="Times New Roman" w:hAnsi="Times New Roman" w:eastAsia="宋体" w:cs="Times New Roman"/>
                <w:color w:val="000000" w:themeColor="text1"/>
                <w:lang w:val="en-US" w:eastAsia="zh-CN"/>
                <w14:textFill>
                  <w14:solidFill>
                    <w14:schemeClr w14:val="tx1"/>
                  </w14:solidFill>
                </w14:textFill>
              </w:rPr>
              <w:t>范围内。</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color w:val="000000" w:themeColor="text1"/>
                <w:sz w:val="24"/>
                <w:szCs w:val="24"/>
                <w14:textFill>
                  <w14:solidFill>
                    <w14:schemeClr w14:val="tx1"/>
                  </w14:solidFill>
                </w14:textFill>
              </w:rPr>
              <w:t>）生态</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项目总占地面积约</w:t>
            </w:r>
            <w:r>
              <w:rPr>
                <w:rFonts w:hint="eastAsia"/>
                <w:bCs/>
                <w:color w:val="000000" w:themeColor="text1"/>
                <w:sz w:val="24"/>
                <w14:textFill>
                  <w14:solidFill>
                    <w14:schemeClr w14:val="tx1"/>
                  </w14:solidFill>
                </w14:textFill>
              </w:rPr>
              <w:t>0</w:t>
            </w:r>
            <w:r>
              <w:rPr>
                <w:bCs/>
                <w:color w:val="000000" w:themeColor="text1"/>
                <w:sz w:val="24"/>
                <w14:textFill>
                  <w14:solidFill>
                    <w14:schemeClr w14:val="tx1"/>
                  </w14:solidFill>
                </w14:textFill>
              </w:rPr>
              <w:t>.0</w:t>
            </w:r>
            <w:r>
              <w:rPr>
                <w:rFonts w:hint="eastAsia"/>
                <w:bCs/>
                <w:color w:val="000000" w:themeColor="text1"/>
                <w:sz w:val="24"/>
                <w:lang w:val="en-US" w:eastAsia="zh-CN"/>
                <w14:textFill>
                  <w14:solidFill>
                    <w14:schemeClr w14:val="tx1"/>
                  </w14:solidFill>
                </w14:textFill>
              </w:rPr>
              <w:t>366</w:t>
            </w:r>
            <w:r>
              <w:rPr>
                <w:rFonts w:hint="eastAsia"/>
                <w:bCs/>
                <w:color w:val="000000" w:themeColor="text1"/>
                <w:sz w:val="24"/>
                <w14:textFill>
                  <w14:solidFill>
                    <w14:schemeClr w14:val="tx1"/>
                  </w14:solidFill>
                </w14:textFill>
              </w:rPr>
              <w:t>k</w:t>
            </w:r>
            <w:r>
              <w:rPr>
                <w:bCs/>
                <w:color w:val="000000" w:themeColor="text1"/>
                <w:sz w:val="24"/>
                <w14:textFill>
                  <w14:solidFill>
                    <w14:schemeClr w14:val="tx1"/>
                  </w14:solidFill>
                </w14:textFill>
              </w:rPr>
              <w:t>m</w:t>
            </w:r>
            <w:r>
              <w:rPr>
                <w:bCs/>
                <w:color w:val="000000" w:themeColor="text1"/>
                <w:sz w:val="24"/>
                <w:vertAlign w:val="superscript"/>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，均为施工临时占地，占地小于2km</w:t>
            </w:r>
            <w:r>
              <w:rPr>
                <w:rFonts w:hint="eastAsia" w:ascii="Times New Roman" w:hAnsi="Times New Roman" w:eastAsia="宋体" w:cs="Times New Roman"/>
                <w:color w:val="000000" w:themeColor="text1"/>
                <w:sz w:val="24"/>
                <w:szCs w:val="24"/>
                <w:vertAlign w:val="superscript"/>
                <w:lang w:eastAsia="zh-CN"/>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环境影响评价技术导则—生态影响》</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HJ19-2011</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分级规定，生态评价工作等级判定为三级。</w:t>
            </w:r>
            <w:r>
              <w:rPr>
                <w:rFonts w:hint="default" w:ascii="Times New Roman" w:hAnsi="Times New Roman" w:eastAsia="宋体" w:cs="Times New Roman"/>
                <w:color w:val="000000" w:themeColor="text1"/>
                <w:sz w:val="24"/>
                <w:szCs w:val="24"/>
                <w14:textFill>
                  <w14:solidFill>
                    <w14:schemeClr w14:val="tx1"/>
                  </w14:solidFill>
                </w14:textFill>
              </w:rPr>
              <w:t>评价范围为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以本项目占地区域的地理单元为边界</w:t>
            </w:r>
            <w:r>
              <w:rPr>
                <w:rFonts w:hint="default" w:ascii="Times New Roman" w:hAnsi="Times New Roman" w:eastAsia="宋体" w:cs="Times New Roman"/>
                <w:color w:val="000000" w:themeColor="text1"/>
                <w:sz w:val="24"/>
                <w:szCs w:val="24"/>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6</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环境风险</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根据《建设项目环境风险评价技术导则》（HJ169-2018），确定本项目环境风险评价为简单分析。仅对危险物质、环境影响途径、环境危害后果、风险防范措施等方面给出定性的说明进行简单分析，</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不设评价范围。</w:t>
            </w:r>
          </w:p>
          <w:p>
            <w:pPr>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（7）辐射环境</w:t>
            </w:r>
          </w:p>
          <w:p>
            <w:pPr>
              <w:ind w:firstLine="480" w:firstLineChars="200"/>
              <w:rPr>
                <w:rFonts w:hint="default"/>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本项目辐射评价范围为</w:t>
            </w:r>
            <w:r>
              <w:rPr>
                <w:rFonts w:hint="default" w:ascii="Times New Roman" w:hAnsi="Times New Roman" w:eastAsia="宋体" w:cs="Times New Roman"/>
                <w:color w:val="000000" w:themeColor="text1"/>
                <w:sz w:val="24"/>
                <w:szCs w:val="24"/>
                <w:lang w:val="en-US" w:eastAsia="zh-CN" w:bidi="en-US"/>
                <w14:textFill>
                  <w14:solidFill>
                    <w14:schemeClr w14:val="tx1"/>
                  </w14:solidFill>
                </w14:textFill>
              </w:rPr>
              <w:t>铀矿地质钻探场地</w:t>
            </w: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周边</w:t>
            </w:r>
            <w:r>
              <w:rPr>
                <w:rFonts w:hint="default" w:ascii="Times New Roman" w:hAnsi="Times New Roman" w:eastAsia="宋体" w:cs="Times New Roman"/>
                <w:color w:val="000000" w:themeColor="text1"/>
                <w:sz w:val="24"/>
                <w:szCs w:val="24"/>
                <w:lang w:val="en-US" w:eastAsia="zh-CN" w:bidi="en-US"/>
                <w14:textFill>
                  <w14:solidFill>
                    <w14:schemeClr w14:val="tx1"/>
                  </w14:solidFill>
                </w14:textFill>
              </w:rPr>
              <w:t>500m</w:t>
            </w: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w:t>
            </w:r>
          </w:p>
          <w:bookmarkEnd w:id="2"/>
          <w:p>
            <w:pPr>
              <w:spacing w:line="360" w:lineRule="auto"/>
              <w:rPr>
                <w:rFonts w:hint="default" w:eastAsia="宋体"/>
                <w:color w:val="000000" w:themeColor="text1"/>
                <w:sz w:val="24"/>
                <w:lang w:val="en-US" w:eastAsia="zh-CN"/>
                <w14:textFill>
                  <w14:solidFill>
                    <w14:schemeClr w14:val="tx1"/>
                  </w14:solidFill>
                </w14:textFill>
              </w:rPr>
            </w:pPr>
          </w:p>
        </w:tc>
      </w:tr>
    </w:tbl>
    <w:p>
      <w:pPr>
        <w:rPr>
          <w:rFonts w:eastAsia="黑体"/>
          <w:color w:val="000000" w:themeColor="text1"/>
          <w:w w:val="95"/>
          <w:sz w:val="28"/>
          <w14:textFill>
            <w14:solidFill>
              <w14:schemeClr w14:val="tx1"/>
            </w14:solidFill>
          </w14:textFill>
        </w:rPr>
        <w:sectPr>
          <w:headerReference r:id="rId3" w:type="default"/>
          <w:footerReference r:id="rId4" w:type="default"/>
          <w:pgSz w:w="11906" w:h="16838"/>
          <w:pgMar w:top="1440" w:right="1080" w:bottom="1440" w:left="1080" w:header="851" w:footer="992" w:gutter="0"/>
          <w:pgBorders>
            <w:top w:val="none" w:sz="0" w:space="0"/>
            <w:left w:val="none" w:sz="0" w:space="0"/>
            <w:bottom w:val="none" w:sz="0" w:space="0"/>
            <w:right w:val="none" w:sz="0" w:space="0"/>
          </w:pgBorders>
          <w:pgNumType w:start="1"/>
          <w:cols w:space="425" w:num="1"/>
          <w:docGrid w:type="lines" w:linePitch="312" w:charSpace="0"/>
        </w:sectPr>
      </w:pPr>
    </w:p>
    <w:tbl>
      <w:tblPr>
        <w:tblStyle w:val="11"/>
        <w:tblW w:w="493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82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tcPr>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14:textFill>
                  <w14:solidFill>
                    <w14:schemeClr w14:val="tx1"/>
                  </w14:solidFill>
                </w14:textFill>
              </w:rPr>
              <w:t>与本项目有关的原有污染情况及主要环境问题</w:t>
            </w:r>
          </w:p>
          <w:p>
            <w:pPr>
              <w:numPr>
                <w:ilvl w:val="0"/>
                <w:numId w:val="0"/>
              </w:num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1、</w:t>
            </w:r>
            <w:r>
              <w:rPr>
                <w:rFonts w:hint="eastAsia" w:eastAsia="黑体"/>
                <w:color w:val="000000" w:themeColor="text1"/>
                <w:sz w:val="24"/>
                <w14:textFill>
                  <w14:solidFill>
                    <w14:schemeClr w14:val="tx1"/>
                  </w14:solidFill>
                </w14:textFill>
              </w:rPr>
              <w:t>以往铀矿地质工作</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区域内铀矿地质工作程度较低，前人通过综合区调、遥感地质调查、区域评价等工作发现有多个岩浆—热液和泥岩—砂岩型地表铀矿点和异常点（带）。工作区中新生代盆地铀矿地质工作始于50年代末，距今已有60余年历史，归纳总结起来大致可划分为二个阶段：</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第一阶段（1958-1979年）：大面积铀矿调查和异常点揭露评价阶段</w:t>
            </w:r>
            <w:r>
              <w:rPr>
                <w:rFonts w:hint="eastAsia" w:cs="Times New Roman"/>
                <w:b w:val="0"/>
                <w:bCs w:val="0"/>
                <w:color w:val="000000" w:themeColor="text1"/>
                <w:kern w:val="2"/>
                <w:sz w:val="24"/>
                <w:szCs w:val="24"/>
                <w:lang w:val="en-US" w:eastAsia="zh-CN" w:bidi="ar-SA"/>
                <w14:textFill>
                  <w14:solidFill>
                    <w14:schemeClr w14:val="tx1"/>
                  </w14:solidFill>
                </w14:textFill>
              </w:rPr>
              <w:t>。</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50年代末至70年代，原519队、182大队2分队、7分队、15分队先后在走廊诸盆地开展1:5万铀矿找矿工作。</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第二阶段（1985-19至今年）：地浸砂岩型铀矿探索评价和砂岩型铀矿大规模勘查阶段。</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1985、1990、1993、1998年，核工业703航测队对盆地西部、东部、南部等地区进行了航空放射性测量，总面积68500km</w:t>
            </w:r>
            <w:r>
              <w:rPr>
                <w:rFonts w:hint="eastAsia" w:ascii="Times New Roman" w:hAnsi="Times New Roman" w:eastAsia="宋体" w:cs="Times New Roman"/>
                <w:b w:val="0"/>
                <w:bCs w:val="0"/>
                <w:color w:val="000000" w:themeColor="text1"/>
                <w:kern w:val="2"/>
                <w:sz w:val="24"/>
                <w:szCs w:val="24"/>
                <w:vertAlign w:val="superscript"/>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，占盆地94.7%。</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2000～2001年原核工业西北地质局217、208大队于工作区东部局部地区（东经102°15′～104°00′，北纬40°00′～41°15′，本次工作区东边缘）开展了1：25万铀矿区调工作，发现了较好的矿化线索。</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2003～2004年，核工业二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三研究所在“酒泉盆地—鄂尔多斯盆地南部地浸砂岩型铀矿综合预测选区”项目中，研究进一步确认了下白垩统目的层的找矿前景，优选出了三片远景靶区，确认了酒泉盆地和潮水盆地的找矿前景。</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2004～2005年，核工业二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三研究所主要针对潮水盆地北缘侏罗系初步开展了地浸砂岩型铀资源评价。</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2006～2010年，核工业二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三研究所开展“内蒙古雅布赖盆地西南缘—巴丹吉林盆地东南缘1∶25万铀资源评价”和“内蒙古自治区巴丹吉林盆地地浸砂岩型铀矿资源调查”项目（主要集中在沙枣泉和雅布赖盆地西部）。</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2011～2014年，核工业二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三研究所相继开展了“内蒙古阿拉善右旗沙枣泉地区铀矿普查”和“内蒙古阿拉善右旗沙枣泉铀矿床60-7线普查”项目，在沙枣泉凹陷取得找矿进展，落实了沙枣泉中型铀矿床1处。</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2012～2014年，核工业二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三研究所开展了“潮水盆地西部—酒泉盆地及其周缘铀矿远景调查”，深入研究了潮水盆地西部大红山地区构造及目的层地层层序特征，进一步扩大了找矿类型及找矿空间。</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2015～2016年，核工业二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三研究所在武腾盆地开展铀矿资源远景调查，查明了武腾盆地地层结构和展布特征，确定了中新统为主要找矿目的层。</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2017～2018年，核工业二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三研究所开展了“内蒙古巴丹吉林盆地南部铀矿资源调查评价”项目，在苏亥图坳陷划分出的两个Ⅲ级砂岩型铀成矿预测远景区。</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2018～2019年，核工业二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三研究所在邻区开展了“北山—走廊地区砂岩型铀矿资源调查评价”项目，在总口子盆地发现砂岩型铀工业孔1个。</w:t>
            </w:r>
          </w:p>
          <w:p>
            <w:pPr>
              <w:numPr>
                <w:ilvl w:val="0"/>
                <w:numId w:val="0"/>
              </w:numPr>
              <w:spacing w:line="360" w:lineRule="auto"/>
              <w:ind w:firstLine="480" w:firstLineChars="200"/>
              <w:rPr>
                <w:rFonts w:hint="default"/>
                <w:color w:val="000000" w:themeColor="text1"/>
                <w:lang w:val="en-US" w:eastAsia="zh-CN"/>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2020～2021年，核工业二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0</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开展了“巴彦浩特−雅布赖盆地及邻区砂岩型铀矿资源调查评价与选区”项目，对潮水盆地、雅不赖盆地、巴彦浩特盆地铀成矿环境进行了系统分析，对北部居延海坳陷西缘下白垩统巴音戈壁组沉积体系有了初步认识。</w:t>
            </w:r>
          </w:p>
          <w:p>
            <w:pPr>
              <w:numPr>
                <w:ilvl w:val="0"/>
                <w:numId w:val="0"/>
              </w:num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2、</w:t>
            </w:r>
            <w:r>
              <w:rPr>
                <w:rFonts w:hint="eastAsia" w:eastAsia="黑体"/>
                <w:color w:val="000000" w:themeColor="text1"/>
                <w:sz w:val="24"/>
                <w14:textFill>
                  <w14:solidFill>
                    <w14:schemeClr w14:val="tx1"/>
                  </w14:solidFill>
                </w14:textFill>
              </w:rPr>
              <w:t>以往地质工作遗留的主要环境问题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 w:val="0"/>
                <w:bCs w:val="0"/>
                <w:color w:val="000000" w:themeColor="text1"/>
                <w:sz w:val="24"/>
                <w:szCs w:val="24"/>
                <w:lang w:val="en-GB"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lang w:val="en-GB" w:eastAsia="zh-CN"/>
                <w14:textFill>
                  <w14:solidFill>
                    <w14:schemeClr w14:val="tx1"/>
                  </w14:solidFill>
                </w14:textFill>
              </w:rPr>
              <w:t>建设单位以往勘查过程中执行绿色勘查标准化施工，全员将环保意识放在首位，强化管理，过程控制，通过绿色勘查管理人员的共同努力</w:t>
            </w:r>
            <w:r>
              <w:rPr>
                <w:rFonts w:hint="eastAsia" w:ascii="Times New Roman" w:hAnsi="Times New Roman" w:eastAsia="宋体" w:cs="Times New Roman"/>
                <w:b w:val="0"/>
                <w:bCs w:val="0"/>
                <w:color w:val="000000" w:themeColor="text1"/>
                <w:sz w:val="24"/>
                <w:szCs w:val="24"/>
                <w:lang w:val="en-GB"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olor w:val="000000" w:themeColor="text1"/>
                <w:sz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根据调查</w:t>
            </w:r>
            <w:r>
              <w:rPr>
                <w:rFonts w:hint="eastAsia" w:cs="Times New Roman"/>
                <w:b w:val="0"/>
                <w:bCs w:val="0"/>
                <w:color w:val="000000" w:themeColor="text1"/>
                <w:sz w:val="24"/>
                <w:szCs w:val="24"/>
                <w:lang w:val="en-US" w:eastAsia="zh-CN"/>
                <w14:textFill>
                  <w14:solidFill>
                    <w14:schemeClr w14:val="tx1"/>
                  </w14:solidFill>
                </w14:textFill>
              </w:rPr>
              <w:t>和资料收集</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，2021年度在巴丹吉林盆地开展了钻孔作业，本项目其余</w:t>
            </w:r>
            <w:r>
              <w:rPr>
                <w:rFonts w:hint="eastAsia" w:cs="Times New Roman"/>
                <w:b w:val="0"/>
                <w:bCs w:val="0"/>
                <w:color w:val="000000" w:themeColor="text1"/>
                <w:sz w:val="24"/>
                <w:szCs w:val="24"/>
                <w:lang w:val="en-US" w:eastAsia="zh-CN"/>
                <w14:textFill>
                  <w14:solidFill>
                    <w14:schemeClr w14:val="tx1"/>
                  </w14:solidFill>
                </w14:textFill>
              </w:rPr>
              <w:t>勘查区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潮水盆地、走廊盆地、武腾盆地及北山地区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）均为新开</w:t>
            </w:r>
            <w:r>
              <w:rPr>
                <w:rFonts w:hint="eastAsia" w:cs="Times New Roman"/>
                <w:b w:val="0"/>
                <w:bCs w:val="0"/>
                <w:color w:val="000000" w:themeColor="text1"/>
                <w:sz w:val="24"/>
                <w:szCs w:val="24"/>
                <w:lang w:val="en-US" w:eastAsia="zh-CN"/>
                <w14:textFill>
                  <w14:solidFill>
                    <w14:schemeClr w14:val="tx1"/>
                  </w14:solidFill>
                </w14:textFill>
              </w:rPr>
              <w:t>勘查区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通过调查、询问、收集资料等工作：</w:t>
            </w:r>
            <w:r>
              <w:rPr>
                <w:rFonts w:hint="eastAsia"/>
                <w:color w:val="000000" w:themeColor="text1"/>
                <w:sz w:val="24"/>
                <w:lang w:eastAsia="zh-CN"/>
                <w14:textFill>
                  <w14:solidFill>
                    <w14:schemeClr w14:val="tx1"/>
                  </w14:solidFill>
                </w14:textFill>
              </w:rPr>
              <w:t>钻探施工结束后，拆除了钻井井架，钻孔均已全部封孔，钻井平台已填土覆盖；在每个钻井平台旁均设置了防渗泥浆沉淀池，泥浆含水自然风干后覆土掩埋；非矿段岩芯填埋，矿段岩芯放置在岩芯库内，后期带回分析、化验。钻孔过程中产生的泥浆进入泥浆池内，待钻孔结束泥浆干化处置，将泥浆池覆土绿化恢复。施工营地生活垃圾由垃圾袋收集带回项目部；车辆在勘查区内均在既有道路上行驶，无随意下道行驶，碾压植被的现象，</w:t>
            </w:r>
            <w:r>
              <w:rPr>
                <w:rFonts w:hint="eastAsia"/>
                <w:color w:val="000000" w:themeColor="text1"/>
                <w:sz w:val="24"/>
                <w:szCs w:val="24"/>
                <w:lang w:eastAsia="zh-CN"/>
                <w14:textFill>
                  <w14:solidFill>
                    <w14:schemeClr w14:val="tx1"/>
                  </w14:solidFill>
                </w14:textFill>
              </w:rPr>
              <w:t>不存在原有勘查工作遗留环境污染问题。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color w:val="000000" w:themeColor="text1"/>
                <w:sz w:val="24"/>
                <w:szCs w:val="24"/>
                <w:lang w:val="en-GB" w:eastAsia="zh-CN"/>
                <w14:textFill>
                  <w14:solidFill>
                    <w14:schemeClr w14:val="tx1"/>
                  </w14:solidFill>
                </w14:textFill>
              </w:rPr>
            </w:pPr>
            <w:r>
              <w:rPr>
                <w:color w:val="000000" w:themeColor="text1"/>
                <w:sz w:val="24"/>
                <w:lang w:val="en-GB" w:eastAsia="zh-CN"/>
                <w14:textFill>
                  <w14:solidFill>
                    <w14:schemeClr w14:val="tx1"/>
                  </w14:solidFill>
                </w14:textFill>
              </w:rPr>
              <w:t>经查阅原有地质勘查工程钻孔历史监测资料，</w:t>
            </w:r>
            <w:r>
              <w:rPr>
                <w:rFonts w:hint="eastAsia"/>
                <w:color w:val="000000" w:themeColor="text1"/>
                <w:sz w:val="24"/>
                <w:lang w:eastAsia="zh-CN"/>
                <w14:textFill>
                  <w14:solidFill>
                    <w14:schemeClr w14:val="tx1"/>
                  </w14:solidFill>
                </w14:textFill>
              </w:rPr>
              <w:t>钻孔场地开孔前</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7，封孔后</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w:t>
            </w:r>
            <w:r>
              <w:rPr>
                <w:rFonts w:ascii="Times New Roman" w:hAnsi="Times New Roman" w:cs="Times New Roman"/>
                <w:color w:val="000000" w:themeColor="text1"/>
                <w:sz w:val="24"/>
                <w:szCs w:val="24"/>
                <w:lang w:val="en-GB" w:eastAsia="zh-CN"/>
                <w14:textFill>
                  <w14:solidFill>
                    <w14:schemeClr w14:val="tx1"/>
                  </w14:solidFill>
                </w14:textFill>
              </w:rPr>
              <w:t>原有地质勘查工程施工前、后γ辐射</w:t>
            </w:r>
            <w:r>
              <w:rPr>
                <w:rFonts w:hint="eastAsia" w:ascii="Times New Roman" w:hAnsi="Times New Roman" w:cs="Times New Roman"/>
                <w:color w:val="000000" w:themeColor="text1"/>
                <w:sz w:val="24"/>
                <w:szCs w:val="24"/>
                <w:lang w:eastAsia="zh-CN"/>
                <w14:textFill>
                  <w14:solidFill>
                    <w14:schemeClr w14:val="tx1"/>
                  </w14:solidFill>
                </w14:textFill>
              </w:rPr>
              <w:t>监测值</w:t>
            </w:r>
            <w:r>
              <w:rPr>
                <w:rFonts w:ascii="Times New Roman" w:hAnsi="Times New Roman" w:cs="Times New Roman"/>
                <w:color w:val="000000" w:themeColor="text1"/>
                <w:sz w:val="24"/>
                <w:szCs w:val="24"/>
                <w:lang w:val="en-GB" w:eastAsia="zh-CN"/>
                <w14:textFill>
                  <w14:solidFill>
                    <w14:schemeClr w14:val="tx1"/>
                  </w14:solidFill>
                </w14:textFill>
              </w:rPr>
              <w:t>处于同一水平范围内，且处于</w:t>
            </w:r>
            <w:r>
              <w:rPr>
                <w:rFonts w:ascii="Times New Roman" w:hAnsi="Times New Roman" w:cs="Times New Roman"/>
                <w:color w:val="000000" w:themeColor="text1"/>
                <w:sz w:val="24"/>
                <w:szCs w:val="24"/>
                <w:lang w:eastAsia="zh-CN"/>
                <w14:textFill>
                  <w14:solidFill>
                    <w14:schemeClr w14:val="tx1"/>
                  </w14:solidFill>
                </w14:textFill>
              </w:rPr>
              <w:t>当地</w:t>
            </w:r>
            <w:r>
              <w:rPr>
                <w:rFonts w:ascii="Times New Roman" w:hAnsi="Times New Roman" w:cs="Times New Roman"/>
                <w:color w:val="000000" w:themeColor="text1"/>
                <w:sz w:val="24"/>
                <w:szCs w:val="24"/>
                <w:lang w:val="en-GB" w:eastAsia="zh-CN"/>
                <w14:textFill>
                  <w14:solidFill>
                    <w14:schemeClr w14:val="tx1"/>
                  </w14:solidFill>
                </w14:textFill>
              </w:rPr>
              <w:t>天然环境本底水平，施工结束的钻探场地未遗留有辐射环境问题。</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40"/>
              <w:gridCol w:w="47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noWrap w:val="0"/>
                  <w:vAlign w:val="top"/>
                </w:tcPr>
                <w:p>
                  <w:pPr>
                    <w:jc w:val="center"/>
                    <w:rPr>
                      <w:rFonts w:ascii="宋体" w:hAnsi="宋体" w:eastAsia="宋体" w:cs="宋体"/>
                      <w:b/>
                      <w:bCs/>
                      <w:color w:val="000000" w:themeColor="text1"/>
                      <w:kern w:val="0"/>
                      <w:sz w:val="32"/>
                      <w:szCs w:val="32"/>
                      <w14:textFill>
                        <w14:solidFill>
                          <w14:schemeClr w14:val="tx1"/>
                        </w14:solidFill>
                      </w14:textFill>
                    </w:rPr>
                  </w:pPr>
                  <w:r>
                    <w:rPr>
                      <w:rFonts w:hint="eastAsia" w:ascii="宋体" w:hAnsi="宋体" w:eastAsia="宋体" w:cs="宋体"/>
                      <w:b/>
                      <w:bCs/>
                      <w:color w:val="000000" w:themeColor="text1"/>
                      <w:kern w:val="0"/>
                      <w:sz w:val="24"/>
                      <w:szCs w:val="24"/>
                      <w:lang w:val="en-US" w:eastAsia="zh-CN"/>
                      <w14:textFill>
                        <w14:solidFill>
                          <w14:schemeClr w14:val="tx1"/>
                        </w14:solidFill>
                      </w14:textFill>
                    </w:rPr>
                    <w:t>巴丹吉林盆地</w:t>
                  </w:r>
                  <w:r>
                    <w:rPr>
                      <w:rFonts w:hint="eastAsia" w:ascii="宋体" w:hAnsi="宋体" w:eastAsia="宋体" w:cs="宋体"/>
                      <w:b/>
                      <w:bCs/>
                      <w:color w:val="000000" w:themeColor="text1"/>
                      <w:kern w:val="0"/>
                      <w:sz w:val="24"/>
                      <w:szCs w:val="24"/>
                      <w14:textFill>
                        <w14:solidFill>
                          <w14:schemeClr w14:val="tx1"/>
                        </w14:solidFill>
                      </w14:textFill>
                    </w:rPr>
                    <w:t>井场恢复前后照片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7" w:hRule="atLeast"/>
                <w:jc w:val="center"/>
              </w:trPr>
              <w:tc>
                <w:tcPr>
                  <w:tcW w:w="2521"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rFonts w:hint="eastAsia" w:ascii="宋体" w:hAnsi="宋体" w:eastAsia="宋体" w:cs="宋体"/>
                      <w:b/>
                      <w:bCs/>
                      <w:color w:val="000000" w:themeColor="text1"/>
                      <w:kern w:val="0"/>
                      <w:sz w:val="32"/>
                      <w:szCs w:val="32"/>
                      <w:lang w:eastAsia="zh-CN"/>
                      <w14:textFill>
                        <w14:solidFill>
                          <w14:schemeClr w14:val="tx1"/>
                        </w14:solidFill>
                      </w14:textFill>
                    </w:rPr>
                    <w:drawing>
                      <wp:inline distT="0" distB="0" distL="114300" distR="114300">
                        <wp:extent cx="2613025" cy="1764030"/>
                        <wp:effectExtent l="0" t="0" r="3175" b="1270"/>
                        <wp:docPr id="15" name="图片 15" descr="IMG_20210425_10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20210425_104357"/>
                                <pic:cNvPicPr>
                                  <a:picLocks noChangeAspect="1"/>
                                </pic:cNvPicPr>
                              </pic:nvPicPr>
                              <pic:blipFill>
                                <a:blip r:embed="rId7"/>
                                <a:stretch>
                                  <a:fillRect/>
                                </a:stretch>
                              </pic:blipFill>
                              <pic:spPr>
                                <a:xfrm>
                                  <a:off x="0" y="0"/>
                                  <a:ext cx="2613025" cy="1764030"/>
                                </a:xfrm>
                                <a:prstGeom prst="rect">
                                  <a:avLst/>
                                </a:prstGeom>
                              </pic:spPr>
                            </pic:pic>
                          </a:graphicData>
                        </a:graphic>
                      </wp:inline>
                    </w:drawing>
                  </w:r>
                </w:p>
              </w:tc>
              <w:tc>
                <w:tcPr>
                  <w:tcW w:w="2478"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rFonts w:hint="eastAsia" w:ascii="宋体" w:hAnsi="宋体" w:eastAsia="宋体" w:cs="宋体"/>
                      <w:b/>
                      <w:bCs/>
                      <w:color w:val="000000" w:themeColor="text1"/>
                      <w:kern w:val="0"/>
                      <w:sz w:val="32"/>
                      <w:szCs w:val="32"/>
                      <w:lang w:eastAsia="zh-CN"/>
                      <w14:textFill>
                        <w14:solidFill>
                          <w14:schemeClr w14:val="tx1"/>
                        </w14:solidFill>
                      </w14:textFill>
                    </w:rPr>
                    <w:drawing>
                      <wp:inline distT="0" distB="0" distL="114300" distR="114300">
                        <wp:extent cx="2400300" cy="1800225"/>
                        <wp:effectExtent l="0" t="0" r="0" b="3175"/>
                        <wp:docPr id="16" name="图片 16" descr="微信图片_20210715174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微信图片_20210715174917"/>
                                <pic:cNvPicPr>
                                  <a:picLocks noChangeAspect="1"/>
                                </pic:cNvPicPr>
                              </pic:nvPicPr>
                              <pic:blipFill>
                                <a:blip r:embed="rId8"/>
                                <a:stretch>
                                  <a:fillRect/>
                                </a:stretch>
                              </pic:blipFill>
                              <pic:spPr>
                                <a:xfrm>
                                  <a:off x="0" y="0"/>
                                  <a:ext cx="2400300" cy="180022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巴丹吉林盆地（施工前）</w:t>
                  </w:r>
                </w:p>
              </w:tc>
              <w:tc>
                <w:tcPr>
                  <w:tcW w:w="2478" w:type="pct"/>
                  <w:noWrap w:val="0"/>
                  <w:vAlign w:val="center"/>
                </w:tcPr>
                <w:p>
                  <w:pPr>
                    <w:jc w:val="center"/>
                    <w:rPr>
                      <w:rFonts w:hint="eastAsia"/>
                      <w:color w:val="000000" w:themeColor="text1"/>
                      <w:szCs w:val="21"/>
                      <w:lang w:val="en-GB"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巴丹吉林盆地（恢复后）</w:t>
                  </w:r>
                </w:p>
              </w:tc>
            </w:tr>
          </w:tbl>
          <w:p>
            <w:pPr>
              <w:spacing w:line="360" w:lineRule="auto"/>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color w:val="000000" w:themeColor="text1"/>
                <w14:textFill>
                  <w14:solidFill>
                    <w14:schemeClr w14:val="tx1"/>
                  </w14:solidFill>
                </w14:textFill>
              </w:rPr>
            </w:pPr>
          </w:p>
          <w:p>
            <w:pPr>
              <w:spacing w:line="360" w:lineRule="auto"/>
              <w:rPr>
                <w:rFonts w:eastAsia="黑体"/>
                <w:color w:val="000000" w:themeColor="text1"/>
                <w:w w:val="95"/>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hint="default" w:ascii="Times New Roman" w:hAnsi="Times New Roman" w:eastAsia="黑体" w:cs="Times New Roman"/>
          <w:color w:val="000000" w:themeColor="text1"/>
          <w:w w:val="95"/>
          <w:sz w:val="32"/>
          <w14:textFill>
            <w14:solidFill>
              <w14:schemeClr w14:val="tx1"/>
            </w14:solidFill>
          </w14:textFill>
        </w:rPr>
      </w:pPr>
      <w:r>
        <w:rPr>
          <w:rFonts w:hint="default" w:ascii="Times New Roman" w:hAnsi="Times New Roman" w:eastAsia="黑体" w:cs="Times New Roman"/>
          <w:color w:val="000000" w:themeColor="text1"/>
          <w:w w:val="95"/>
          <w:sz w:val="32"/>
          <w:lang w:val="en-US" w:eastAsia="zh-CN"/>
          <w14:textFill>
            <w14:solidFill>
              <w14:schemeClr w14:val="tx1"/>
            </w14:solidFill>
          </w14:textFill>
        </w:rPr>
        <w:t>二、</w:t>
      </w:r>
      <w:r>
        <w:rPr>
          <w:rFonts w:hint="default" w:ascii="Times New Roman" w:hAnsi="Times New Roman" w:eastAsia="黑体" w:cs="Times New Roman"/>
          <w:color w:val="000000" w:themeColor="text1"/>
          <w:w w:val="95"/>
          <w:sz w:val="32"/>
          <w14:textFill>
            <w14:solidFill>
              <w14:schemeClr w14:val="tx1"/>
            </w14:solidFill>
          </w14:textFill>
        </w:rPr>
        <w:t>编制依据</w:t>
      </w:r>
    </w:p>
    <w:tbl>
      <w:tblPr>
        <w:tblStyle w:val="11"/>
        <w:tblW w:w="491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644"/>
        <w:gridCol w:w="914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49" w:hRule="atLeast"/>
          <w:jc w:val="center"/>
        </w:trPr>
        <w:tc>
          <w:tcPr>
            <w:tcW w:w="329" w:type="pct"/>
            <w:tcBorders>
              <w:right w:val="single" w:color="auto" w:sz="4" w:space="0"/>
            </w:tcBorders>
            <w:vAlign w:val="center"/>
          </w:tcPr>
          <w:p>
            <w:pPr>
              <w:spacing w:line="360" w:lineRule="auto"/>
              <w:jc w:val="center"/>
              <w:rPr>
                <w:rFonts w:eastAsia="黑体"/>
                <w:color w:val="000000" w:themeColor="text1"/>
                <w:w w:val="95"/>
                <w:sz w:val="24"/>
                <w14:textFill>
                  <w14:solidFill>
                    <w14:schemeClr w14:val="tx1"/>
                  </w14:solidFill>
                </w14:textFill>
              </w:rPr>
            </w:pPr>
            <w:r>
              <w:rPr>
                <w:color w:val="000000" w:themeColor="text1"/>
                <w:sz w:val="24"/>
                <w14:textFill>
                  <w14:solidFill>
                    <w14:schemeClr w14:val="tx1"/>
                  </w14:solidFill>
                </w14:textFill>
              </w:rPr>
              <w:t>法规标准</w:t>
            </w:r>
          </w:p>
        </w:tc>
        <w:tc>
          <w:tcPr>
            <w:tcW w:w="4670" w:type="pct"/>
            <w:tcBorders>
              <w:left w:val="single" w:color="auto" w:sz="4" w:space="0"/>
            </w:tcBorders>
          </w:tcPr>
          <w:p>
            <w:pPr>
              <w:autoSpaceDE w:val="0"/>
              <w:autoSpaceDN w:val="0"/>
              <w:adjustRightInd w:val="0"/>
              <w:spacing w:line="360" w:lineRule="auto"/>
              <w:rPr>
                <w:b/>
                <w:bCs/>
                <w:color w:val="000000" w:themeColor="text1"/>
                <w:sz w:val="24"/>
                <w:lang w:val="zh-CN"/>
                <w14:textFill>
                  <w14:solidFill>
                    <w14:schemeClr w14:val="tx1"/>
                  </w14:solidFill>
                </w14:textFill>
              </w:rPr>
            </w:pPr>
            <w:r>
              <w:rPr>
                <w:b/>
                <w:bCs/>
                <w:color w:val="000000" w:themeColor="text1"/>
                <w:sz w:val="24"/>
                <w:lang w:val="zh-CN"/>
                <w14:textFill>
                  <w14:solidFill>
                    <w14:schemeClr w14:val="tx1"/>
                  </w14:solidFill>
                </w14:textFill>
              </w:rPr>
              <w:t>1</w:t>
            </w:r>
            <w:r>
              <w:rPr>
                <w:rFonts w:hint="eastAsia"/>
                <w:b/>
                <w:bCs/>
                <w:color w:val="000000" w:themeColor="text1"/>
                <w:sz w:val="24"/>
                <w:lang w:val="zh-CN"/>
                <w14:textFill>
                  <w14:solidFill>
                    <w14:schemeClr w14:val="tx1"/>
                  </w14:solidFill>
                </w14:textFill>
              </w:rPr>
              <w:t>、国家法律、法规</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（1）《中华人民共和国环境保护法》（修订），2015年1月1日；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（2）《中华人民共和国环境影响评价法》（修订），2018年12月29日；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（3）《中华人民共和国放射性污染防治法》，2003年10月1日施行；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（4）《中华人民共和国大气污染防治法》（修订），2018年10月26日修订实施。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（5）《中华人民共和国水污染防治法》（修订），2017年6月27日；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（6）《中华人民共和国固体废物污染环境防治法》（修订），20</w:t>
            </w:r>
            <w:r>
              <w:rPr>
                <w:color w:val="000000" w:themeColor="text1"/>
                <w:sz w:val="24"/>
                <w:lang w:val="zh-CN"/>
                <w14:textFill>
                  <w14:solidFill>
                    <w14:schemeClr w14:val="tx1"/>
                  </w14:solidFill>
                </w14:textFill>
              </w:rPr>
              <w:t>20</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4</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29</w:t>
            </w:r>
            <w:r>
              <w:rPr>
                <w:rFonts w:hint="eastAsia"/>
                <w:color w:val="000000" w:themeColor="text1"/>
                <w:sz w:val="24"/>
                <w:lang w:val="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（7）《中华人民共和国噪声污染防治法》（修订），2018年12月29日；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（8）《中华人民共和国自然保护区条例》（修订），2017年10月07日；</w:t>
            </w:r>
          </w:p>
          <w:p>
            <w:pPr>
              <w:adjustRightInd w:val="0"/>
              <w:spacing w:line="360" w:lineRule="auto"/>
              <w:ind w:firstLine="480"/>
              <w:rPr>
                <w:rFonts w:ascii="Times New Roman" w:cs="Times New Roman"/>
                <w:color w:val="000000" w:themeColor="text1"/>
                <w:sz w:val="24"/>
                <w:szCs w:val="24"/>
                <w:lang w:eastAsia="zh-CN"/>
                <w14:textFill>
                  <w14:solidFill>
                    <w14:schemeClr w14:val="tx1"/>
                  </w14:solidFill>
                </w14:textFill>
              </w:rPr>
            </w:pPr>
            <w:r>
              <w:rPr>
                <w:rFonts w:hint="eastAsia"/>
                <w:color w:val="000000" w:themeColor="text1"/>
                <w:sz w:val="24"/>
                <w:lang w:val="zh-CN"/>
                <w14:textFill>
                  <w14:solidFill>
                    <w14:schemeClr w14:val="tx1"/>
                  </w14:solidFill>
                </w14:textFill>
              </w:rPr>
              <w:t>（9）</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中华人民共和国放射性污染防治法</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2003年6月28日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rFonts w:hint="eastAsia"/>
                <w:color w:val="000000" w:themeColor="text1"/>
                <w:sz w:val="24"/>
                <w:lang w:val="zh-CN"/>
                <w14:textFill>
                  <w14:solidFill>
                    <w14:schemeClr w14:val="tx1"/>
                  </w14:solidFill>
                </w14:textFill>
              </w:rPr>
              <w:t>）《中华人民共和国水土保持法》，2011年3月1日；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val="zh-CN"/>
                <w14:textFill>
                  <w14:solidFill>
                    <w14:schemeClr w14:val="tx1"/>
                  </w14:solidFill>
                </w14:textFill>
              </w:rPr>
              <w:t>）《中华人民共和国草原法》，2013年6月29日；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12</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《中华人民共和国水土保持法》，</w:t>
            </w:r>
            <w:r>
              <w:rPr>
                <w:rFonts w:ascii="Times New Roman" w:hAnsi="Times New Roman" w:cs="Times New Roman"/>
                <w:color w:val="000000" w:themeColor="text1"/>
                <w:sz w:val="24"/>
                <w:szCs w:val="24"/>
                <w:lang w:val="en-GB" w:eastAsia="zh-CN"/>
                <w14:textFill>
                  <w14:solidFill>
                    <w14:schemeClr w14:val="tx1"/>
                  </w14:solidFill>
                </w14:textFill>
              </w:rPr>
              <w:t>2011</w:t>
            </w:r>
            <w:r>
              <w:rPr>
                <w:rFonts w:ascii="Times New Roman" w:cs="Times New Roman"/>
                <w:color w:val="000000" w:themeColor="text1"/>
                <w:sz w:val="24"/>
                <w:szCs w:val="24"/>
                <w:lang w:val="zh-CN" w:eastAsia="zh-CN"/>
                <w14:textFill>
                  <w14:solidFill>
                    <w14:schemeClr w14:val="tx1"/>
                  </w14:solidFill>
                </w14:textFill>
              </w:rPr>
              <w:t>年</w:t>
            </w:r>
            <w:r>
              <w:rPr>
                <w:rFonts w:ascii="Times New Roman" w:hAnsi="Times New Roman" w:cs="Times New Roman"/>
                <w:color w:val="000000" w:themeColor="text1"/>
                <w:sz w:val="24"/>
                <w:szCs w:val="24"/>
                <w:lang w:val="en-GB" w:eastAsia="zh-CN"/>
                <w14:textFill>
                  <w14:solidFill>
                    <w14:schemeClr w14:val="tx1"/>
                  </w14:solidFill>
                </w14:textFill>
              </w:rPr>
              <w:t>3</w:t>
            </w:r>
            <w:r>
              <w:rPr>
                <w:rFonts w:ascii="Times New Roman" w:cs="Times New Roman"/>
                <w:color w:val="000000" w:themeColor="text1"/>
                <w:sz w:val="24"/>
                <w:szCs w:val="24"/>
                <w:lang w:val="zh-CN" w:eastAsia="zh-CN"/>
                <w14:textFill>
                  <w14:solidFill>
                    <w14:schemeClr w14:val="tx1"/>
                  </w14:solidFill>
                </w14:textFill>
              </w:rPr>
              <w:t>月</w:t>
            </w:r>
            <w:r>
              <w:rPr>
                <w:rFonts w:ascii="Times New Roman" w:hAnsi="Times New Roman" w:cs="Times New Roman"/>
                <w:color w:val="000000" w:themeColor="text1"/>
                <w:sz w:val="24"/>
                <w:szCs w:val="24"/>
                <w:lang w:val="en-GB" w:eastAsia="zh-CN"/>
                <w14:textFill>
                  <w14:solidFill>
                    <w14:schemeClr w14:val="tx1"/>
                  </w14:solidFill>
                </w14:textFill>
              </w:rPr>
              <w:t>1</w:t>
            </w:r>
            <w:r>
              <w:rPr>
                <w:rFonts w:ascii="Times New Roman" w:cs="Times New Roman"/>
                <w:color w:val="000000" w:themeColor="text1"/>
                <w:sz w:val="24"/>
                <w:szCs w:val="24"/>
                <w:lang w:val="zh-CN"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）《中华人民共和国森林法》(修订)，2018年3月19日；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14</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中华人民共和国自然保护区条例》（</w:t>
            </w:r>
            <w:r>
              <w:rPr>
                <w:rFonts w:ascii="Times New Roman" w:cs="Times New Roman"/>
                <w:color w:val="000000" w:themeColor="text1"/>
                <w:sz w:val="24"/>
                <w:szCs w:val="24"/>
                <w:lang w:eastAsia="zh-CN"/>
                <w14:textFill>
                  <w14:solidFill>
                    <w14:schemeClr w14:val="tx1"/>
                  </w14:solidFill>
                </w14:textFill>
              </w:rPr>
              <w:t>修订</w:t>
            </w:r>
            <w:r>
              <w:rPr>
                <w:rFonts w:ascii="Times New Roman" w:cs="Times New Roman"/>
                <w:color w:val="000000" w:themeColor="text1"/>
                <w:sz w:val="24"/>
                <w:szCs w:val="24"/>
                <w:lang w:val="zh-CN"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2017</w:t>
            </w:r>
            <w:r>
              <w:rPr>
                <w:rFonts w:ascii="Times New Roman" w:cs="Times New Roman"/>
                <w:color w:val="000000" w:themeColor="text1"/>
                <w:sz w:val="24"/>
                <w:szCs w:val="24"/>
                <w:lang w:eastAsia="zh-CN"/>
                <w14:textFill>
                  <w14:solidFill>
                    <w14:schemeClr w14:val="tx1"/>
                  </w14:solidFill>
                </w14:textFill>
              </w:rPr>
              <w:t>年</w:t>
            </w:r>
            <w:r>
              <w:rPr>
                <w:rFonts w:ascii="Times New Roman" w:hAnsi="Times New Roman" w:cs="Times New Roman"/>
                <w:color w:val="000000" w:themeColor="text1"/>
                <w:sz w:val="24"/>
                <w:szCs w:val="24"/>
                <w:lang w:eastAsia="zh-CN"/>
                <w14:textFill>
                  <w14:solidFill>
                    <w14:schemeClr w14:val="tx1"/>
                  </w14:solidFill>
                </w14:textFill>
              </w:rPr>
              <w:t>10</w:t>
            </w:r>
            <w:r>
              <w:rPr>
                <w:rFonts w:ascii="Times New Roman" w:cs="Times New Roman"/>
                <w:color w:val="000000" w:themeColor="text1"/>
                <w:sz w:val="24"/>
                <w:szCs w:val="24"/>
                <w:lang w:eastAsia="zh-CN"/>
                <w14:textFill>
                  <w14:solidFill>
                    <w14:schemeClr w14:val="tx1"/>
                  </w14:solidFill>
                </w14:textFill>
              </w:rPr>
              <w:t>月</w:t>
            </w:r>
            <w:r>
              <w:rPr>
                <w:rFonts w:ascii="Times New Roman" w:hAnsi="Times New Roman" w:cs="Times New Roman"/>
                <w:color w:val="000000" w:themeColor="text1"/>
                <w:sz w:val="24"/>
                <w:szCs w:val="24"/>
                <w:lang w:eastAsia="zh-CN"/>
                <w14:textFill>
                  <w14:solidFill>
                    <w14:schemeClr w14:val="tx1"/>
                  </w14:solidFill>
                </w14:textFill>
              </w:rPr>
              <w:t>07</w:t>
            </w:r>
            <w:r>
              <w:rPr>
                <w:rFonts w:ascii="Times New Roman" w:cs="Times New Roman"/>
                <w:color w:val="000000" w:themeColor="text1"/>
                <w:sz w:val="24"/>
                <w:szCs w:val="24"/>
                <w:lang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5</w:t>
            </w:r>
            <w:r>
              <w:rPr>
                <w:rFonts w:hint="eastAsia"/>
                <w:color w:val="000000" w:themeColor="text1"/>
                <w:sz w:val="24"/>
                <w:lang w:val="zh-CN"/>
                <w14:textFill>
                  <w14:solidFill>
                    <w14:schemeClr w14:val="tx1"/>
                  </w14:solidFill>
                </w14:textFill>
              </w:rPr>
              <w:t>）《风景名胜区条例》（修订），2016年2月6日；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6</w:t>
            </w:r>
            <w:r>
              <w:rPr>
                <w:rFonts w:hint="eastAsia"/>
                <w:color w:val="000000" w:themeColor="text1"/>
                <w:sz w:val="24"/>
                <w:lang w:val="zh-CN"/>
                <w14:textFill>
                  <w14:solidFill>
                    <w14:schemeClr w14:val="tx1"/>
                  </w14:solidFill>
                </w14:textFill>
              </w:rPr>
              <w:t>）《森林公园管理办法》（修订），2016年9月22日；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zh-CN"/>
                <w14:textFill>
                  <w14:solidFill>
                    <w14:schemeClr w14:val="tx1"/>
                  </w14:solidFill>
                </w14:textFill>
              </w:rPr>
              <w:t>）《中华人民共和国土地管理法》，2004年8月28日；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val="zh-CN"/>
                <w14:textFill>
                  <w14:solidFill>
                    <w14:schemeClr w14:val="tx1"/>
                  </w14:solidFill>
                </w14:textFill>
              </w:rPr>
              <w:t>）《中华人民共和国节约能源法》（修正），2018年10月26日；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zh-CN"/>
                <w14:textFill>
                  <w14:solidFill>
                    <w14:schemeClr w14:val="tx1"/>
                  </w14:solidFill>
                </w14:textFill>
              </w:rPr>
              <w:t>）《中华人民共和国野生动物保护法》（修正），2018年10月26日；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rFonts w:hint="eastAsia"/>
                <w:color w:val="000000" w:themeColor="text1"/>
                <w:sz w:val="24"/>
                <w:lang w:val="zh-CN"/>
                <w14:textFill>
                  <w14:solidFill>
                    <w14:schemeClr w14:val="tx1"/>
                  </w14:solidFill>
                </w14:textFill>
              </w:rPr>
              <w:t>）《建设项目环境保护管理条例》（修订），2017年10月1日施行；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21</w:t>
            </w:r>
            <w:r>
              <w:rPr>
                <w:rFonts w:hint="eastAsia"/>
                <w:color w:val="000000" w:themeColor="text1"/>
                <w:sz w:val="24"/>
                <w:lang w:val="zh-CN"/>
                <w14:textFill>
                  <w14:solidFill>
                    <w14:schemeClr w14:val="tx1"/>
                  </w14:solidFill>
                </w14:textFill>
              </w:rPr>
              <w:t>）《建设项目环境影响评价分类管理名录（</w:t>
            </w:r>
            <w:r>
              <w:rPr>
                <w:rFonts w:hint="eastAsia"/>
                <w:color w:val="000000" w:themeColor="text1"/>
                <w:sz w:val="24"/>
                <w:lang w:val="en-US" w:eastAsia="zh-CN"/>
                <w14:textFill>
                  <w14:solidFill>
                    <w14:schemeClr w14:val="tx1"/>
                  </w14:solidFill>
                </w14:textFill>
              </w:rPr>
              <w:t>2021年版</w:t>
            </w:r>
            <w:r>
              <w:rPr>
                <w:rFonts w:hint="eastAsia"/>
                <w:color w:val="000000" w:themeColor="text1"/>
                <w:sz w:val="24"/>
                <w:lang w:val="zh-CN"/>
                <w14:textFill>
                  <w14:solidFill>
                    <w14:schemeClr w14:val="tx1"/>
                  </w14:solidFill>
                </w14:textFill>
              </w:rPr>
              <w:t>）》，生态环境部令第1</w:t>
            </w:r>
            <w:r>
              <w:rPr>
                <w:color w:val="000000" w:themeColor="text1"/>
                <w:sz w:val="24"/>
                <w:lang w:val="zh-CN"/>
                <w14:textFill>
                  <w14:solidFill>
                    <w14:schemeClr w14:val="tx1"/>
                  </w14:solidFill>
                </w14:textFill>
              </w:rPr>
              <w:t>6</w:t>
            </w:r>
            <w:r>
              <w:rPr>
                <w:rFonts w:hint="eastAsia"/>
                <w:color w:val="000000" w:themeColor="text1"/>
                <w:sz w:val="24"/>
                <w:lang w:val="zh-CN"/>
                <w14:textFill>
                  <w14:solidFill>
                    <w14:schemeClr w14:val="tx1"/>
                  </w14:solidFill>
                </w14:textFill>
              </w:rPr>
              <w:t>号，20</w:t>
            </w:r>
            <w:r>
              <w:rPr>
                <w:color w:val="000000" w:themeColor="text1"/>
                <w:sz w:val="24"/>
                <w:lang w:val="zh-CN"/>
                <w14:textFill>
                  <w14:solidFill>
                    <w14:schemeClr w14:val="tx1"/>
                  </w14:solidFill>
                </w14:textFill>
              </w:rPr>
              <w:t>21</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日实施；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22</w:t>
            </w:r>
            <w:r>
              <w:rPr>
                <w:rFonts w:hint="eastAsia"/>
                <w:color w:val="000000" w:themeColor="text1"/>
                <w:sz w:val="24"/>
                <w:lang w:val="zh-CN"/>
                <w14:textFill>
                  <w14:solidFill>
                    <w14:schemeClr w14:val="tx1"/>
                  </w14:solidFill>
                </w14:textFill>
              </w:rPr>
              <w:t>）《产业结构调整指导目录（2019年本）》，中华人民共和国发展和改革委员会第29号，2020年1月1日实施；</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）《关于发布&lt;放射性废物分类&gt;的公告》（环境保护部、工业和信息化部、国防科工局2017年第65号公告，2018年1月1日起施行。</w:t>
            </w:r>
          </w:p>
          <w:p>
            <w:pPr>
              <w:autoSpaceDE w:val="0"/>
              <w:autoSpaceDN w:val="0"/>
              <w:adjustRightInd w:val="0"/>
              <w:spacing w:line="360" w:lineRule="auto"/>
              <w:ind w:firstLine="480" w:firstLineChars="200"/>
              <w:rPr>
                <w:rFonts w:hint="eastAsia"/>
                <w:b/>
                <w:bCs/>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（24）《国家危险废物名录（2021年版）》，生态环境部令第15号，2021年1月1日起施行。</w:t>
            </w:r>
          </w:p>
          <w:p>
            <w:pPr>
              <w:autoSpaceDE w:val="0"/>
              <w:autoSpaceDN w:val="0"/>
              <w:adjustRightInd w:val="0"/>
              <w:spacing w:line="360" w:lineRule="auto"/>
              <w:ind w:firstLine="482" w:firstLineChars="200"/>
              <w:rPr>
                <w:b/>
                <w:bCs/>
                <w:color w:val="000000" w:themeColor="text1"/>
                <w:sz w:val="24"/>
                <w:lang w:val="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lang w:val="zh-CN"/>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地方</w:t>
            </w:r>
            <w:r>
              <w:rPr>
                <w:rFonts w:hint="eastAsia"/>
                <w:b/>
                <w:bCs/>
                <w:color w:val="000000" w:themeColor="text1"/>
                <w:sz w:val="24"/>
                <w:lang w:val="zh-CN"/>
                <w14:textFill>
                  <w14:solidFill>
                    <w14:schemeClr w14:val="tx1"/>
                  </w14:solidFill>
                </w14:textFill>
              </w:rPr>
              <w:t>法律、法规</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1）《甘肃省环境保护条例》，</w:t>
            </w:r>
            <w:r>
              <w:rPr>
                <w:rFonts w:hint="default"/>
                <w:color w:val="000000" w:themeColor="text1"/>
                <w:sz w:val="24"/>
                <w:lang w:val="en-US" w:eastAsia="zh-CN"/>
                <w14:textFill>
                  <w14:solidFill>
                    <w14:schemeClr w14:val="tx1"/>
                  </w14:solidFill>
                </w14:textFill>
              </w:rPr>
              <w:t>2004</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6</w:t>
            </w:r>
            <w:r>
              <w:rPr>
                <w:rFonts w:hint="eastAsia"/>
                <w:color w:val="000000" w:themeColor="text1"/>
                <w:sz w:val="24"/>
                <w:lang w:val="en-US" w:eastAsia="zh-CN"/>
                <w14:textFill>
                  <w14:solidFill>
                    <w14:schemeClr w14:val="tx1"/>
                  </w14:solidFill>
                </w14:textFill>
              </w:rPr>
              <w:t>月</w:t>
            </w:r>
            <w:r>
              <w:rPr>
                <w:rFonts w:hint="default"/>
                <w:color w:val="000000" w:themeColor="text1"/>
                <w:sz w:val="24"/>
                <w:lang w:val="en-US" w:eastAsia="zh-CN"/>
                <w14:textFill>
                  <w14:solidFill>
                    <w14:schemeClr w14:val="tx1"/>
                  </w14:solidFill>
                </w14:textFill>
              </w:rPr>
              <w:t>4</w:t>
            </w:r>
            <w:r>
              <w:rPr>
                <w:rFonts w:hint="eastAsia"/>
                <w:color w:val="000000" w:themeColor="text1"/>
                <w:sz w:val="24"/>
                <w:lang w:val="en-US" w:eastAsia="zh-CN"/>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val="en-GB"/>
                <w14:textFill>
                  <w14:solidFill>
                    <w14:schemeClr w14:val="tx1"/>
                  </w14:solidFill>
                </w14:textFill>
              </w:rPr>
              <w:t>《内蒙古自治区环境保护条例》（20</w:t>
            </w:r>
            <w:r>
              <w:rPr>
                <w:color w:val="000000" w:themeColor="text1"/>
                <w:sz w:val="24"/>
                <w:lang w:val="en-GB"/>
                <w14:textFill>
                  <w14:solidFill>
                    <w14:schemeClr w14:val="tx1"/>
                  </w14:solidFill>
                </w14:textFill>
              </w:rPr>
              <w:t>18</w:t>
            </w:r>
            <w:r>
              <w:rPr>
                <w:rFonts w:hint="eastAsia"/>
                <w:color w:val="000000" w:themeColor="text1"/>
                <w:sz w:val="24"/>
                <w:lang w:val="en-GB"/>
                <w14:textFill>
                  <w14:solidFill>
                    <w14:schemeClr w14:val="tx1"/>
                  </w14:solidFill>
                </w14:textFill>
              </w:rPr>
              <w:t>修正），2</w:t>
            </w:r>
            <w:r>
              <w:rPr>
                <w:color w:val="000000" w:themeColor="text1"/>
                <w:sz w:val="24"/>
                <w:lang w:val="en-GB"/>
                <w14:textFill>
                  <w14:solidFill>
                    <w14:schemeClr w14:val="tx1"/>
                  </w14:solidFill>
                </w14:textFill>
              </w:rPr>
              <w:t>018</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12</w:t>
            </w:r>
            <w:r>
              <w:rPr>
                <w:rFonts w:hint="eastAsia"/>
                <w:color w:val="000000" w:themeColor="text1"/>
                <w:sz w:val="24"/>
                <w:lang w:val="en-GB"/>
                <w14:textFill>
                  <w14:solidFill>
                    <w14:schemeClr w14:val="tx1"/>
                  </w14:solidFill>
                </w14:textFill>
              </w:rPr>
              <w:t>月</w:t>
            </w:r>
            <w:r>
              <w:rPr>
                <w:color w:val="000000" w:themeColor="text1"/>
                <w:sz w:val="24"/>
                <w:lang w:val="en-GB"/>
                <w14:textFill>
                  <w14:solidFill>
                    <w14:schemeClr w14:val="tx1"/>
                  </w14:solidFill>
                </w14:textFill>
              </w:rPr>
              <w:t>6</w:t>
            </w:r>
            <w:r>
              <w:rPr>
                <w:rFonts w:hint="eastAsia"/>
                <w:color w:val="000000" w:themeColor="text1"/>
                <w:sz w:val="24"/>
                <w:lang w:val="en-GB"/>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3）《甘肃省主体功能区规划》，</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7</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《内蒙古自治区主体功能区规划》</w:t>
            </w:r>
            <w:r>
              <w:rPr>
                <w:rFonts w:hint="eastAsia"/>
                <w:color w:val="000000" w:themeColor="text1"/>
                <w:sz w:val="24"/>
                <w:lang w:val="en-GB"/>
                <w14:textFill>
                  <w14:solidFill>
                    <w14:schemeClr w14:val="tx1"/>
                  </w14:solidFill>
                </w14:textFill>
              </w:rPr>
              <w:t>，201</w:t>
            </w:r>
            <w:r>
              <w:rPr>
                <w:color w:val="000000" w:themeColor="text1"/>
                <w:sz w:val="24"/>
                <w:lang w:val="en-GB"/>
                <w14:textFill>
                  <w14:solidFill>
                    <w14:schemeClr w14:val="tx1"/>
                  </w14:solidFill>
                </w14:textFill>
              </w:rPr>
              <w:t>2</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7</w:t>
            </w:r>
            <w:r>
              <w:rPr>
                <w:rFonts w:hint="eastAsia"/>
                <w:color w:val="000000" w:themeColor="text1"/>
                <w:sz w:val="24"/>
                <w:lang w:val="en-GB"/>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w:t>
            </w:r>
            <w:r>
              <w:rPr>
                <w:rFonts w:hint="eastAsia"/>
                <w:color w:val="000000" w:themeColor="text1"/>
                <w:sz w:val="24"/>
                <w:lang w:val="en-US" w:eastAsia="zh-CN"/>
                <w14:textFill>
                  <w14:solidFill>
                    <w14:schemeClr w14:val="tx1"/>
                  </w14:solidFill>
                </w14:textFill>
              </w:rPr>
              <w:t>5</w:t>
            </w:r>
            <w:r>
              <w:rPr>
                <w:rFonts w:hint="eastAsia"/>
                <w:color w:val="000000" w:themeColor="text1"/>
                <w:sz w:val="24"/>
                <w:lang w:val="en-GB"/>
                <w14:textFill>
                  <w14:solidFill>
                    <w14:schemeClr w14:val="tx1"/>
                  </w14:solidFill>
                </w14:textFill>
              </w:rPr>
              <w:t>）《内蒙古自治区自然保护区实施办法》，1998年11月25日；</w:t>
            </w:r>
          </w:p>
          <w:p>
            <w:pPr>
              <w:autoSpaceDE w:val="0"/>
              <w:autoSpaceDN w:val="0"/>
              <w:adjustRightInd w:val="0"/>
              <w:spacing w:line="360" w:lineRule="auto"/>
              <w:ind w:firstLine="480" w:firstLineChars="200"/>
              <w:rPr>
                <w:rFonts w:hint="eastAsia" w:eastAsia="宋体"/>
                <w:color w:val="000000" w:themeColor="text1"/>
                <w:sz w:val="24"/>
                <w:lang w:val="en-GB"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6）</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甘肃省自然保护区条例</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，2018年9月21日；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en-GB"/>
                <w14:textFill>
                  <w14:solidFill>
                    <w14:schemeClr w14:val="tx1"/>
                  </w14:solidFill>
                </w14:textFill>
              </w:rPr>
              <w:t>《内蒙古自治区辐射污染防治条例》；</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8）《甘肃省辐射污染防治条例》，2015年1月21日；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en-GB"/>
                <w14:textFill>
                  <w14:solidFill>
                    <w14:schemeClr w14:val="tx1"/>
                  </w14:solidFill>
                </w14:textFill>
              </w:rPr>
              <w:t>《内蒙古自治区草原管理条例》，2004年11月26日；</w:t>
            </w:r>
          </w:p>
          <w:p>
            <w:pPr>
              <w:autoSpaceDE w:val="0"/>
              <w:autoSpaceDN w:val="0"/>
              <w:adjustRightInd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甘肃省草原条例</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2007年3月1日；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（11）《甘肃省生态功能区划》，</w:t>
            </w:r>
            <w:r>
              <w:rPr>
                <w:rFonts w:hint="default"/>
                <w:color w:val="000000" w:themeColor="text1"/>
                <w:sz w:val="24"/>
                <w:lang w:val="en-US" w:eastAsia="zh-CN"/>
                <w14:textFill>
                  <w14:solidFill>
                    <w14:schemeClr w14:val="tx1"/>
                  </w14:solidFill>
                </w14:textFill>
              </w:rPr>
              <w:t>2004</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10</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12）《内蒙古自治区生态功能区划》，2001年3月16日；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（13）《甘肃省地表水功能区划（</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2030</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8</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（14）《内蒙古自治区水功能区管理办法》，2015年4月；</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（15）《甘肃省辐射污染防治条例》，</w:t>
            </w:r>
            <w:r>
              <w:rPr>
                <w:rFonts w:hint="default"/>
                <w:color w:val="000000" w:themeColor="text1"/>
                <w:sz w:val="24"/>
                <w:lang w:val="en-US" w:eastAsia="zh-CN"/>
                <w14:textFill>
                  <w14:solidFill>
                    <w14:schemeClr w14:val="tx1"/>
                  </w14:solidFill>
                </w14:textFill>
              </w:rPr>
              <w:t>2015</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月</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（16）《甘肃省国家重点生态功能区产业准入负面清单（试行）》，</w:t>
            </w:r>
            <w:r>
              <w:rPr>
                <w:rFonts w:hint="default"/>
                <w:color w:val="000000" w:themeColor="text1"/>
                <w:sz w:val="24"/>
                <w:lang w:val="en-US" w:eastAsia="zh-CN"/>
                <w14:textFill>
                  <w14:solidFill>
                    <w14:schemeClr w14:val="tx1"/>
                  </w14:solidFill>
                </w14:textFill>
              </w:rPr>
              <w:t>2017</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8</w:t>
            </w:r>
            <w:r>
              <w:rPr>
                <w:rFonts w:hint="eastAsia"/>
                <w:color w:val="000000" w:themeColor="text1"/>
                <w:sz w:val="24"/>
                <w:lang w:val="en-US" w:eastAsia="zh-CN"/>
                <w14:textFill>
                  <w14:solidFill>
                    <w14:schemeClr w14:val="tx1"/>
                  </w14:solidFill>
                </w14:textFill>
              </w:rPr>
              <w:t>月</w:t>
            </w:r>
            <w:r>
              <w:rPr>
                <w:rFonts w:hint="default"/>
                <w:color w:val="000000" w:themeColor="text1"/>
                <w:sz w:val="24"/>
                <w:lang w:val="en-US" w:eastAsia="zh-CN"/>
                <w14:textFill>
                  <w14:solidFill>
                    <w14:schemeClr w14:val="tx1"/>
                  </w14:solidFill>
                </w14:textFill>
              </w:rPr>
              <w:t>22</w:t>
            </w:r>
            <w:r>
              <w:rPr>
                <w:rFonts w:hint="eastAsia"/>
                <w:color w:val="000000" w:themeColor="text1"/>
                <w:sz w:val="24"/>
                <w:lang w:val="en-US"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17）</w:t>
            </w:r>
            <w:r>
              <w:rPr>
                <w:rFonts w:hint="eastAsia"/>
                <w:color w:val="000000" w:themeColor="text1"/>
                <w:sz w:val="24"/>
                <w14:textFill>
                  <w14:solidFill>
                    <w14:schemeClr w14:val="tx1"/>
                  </w14:solidFill>
                </w14:textFill>
              </w:rPr>
              <w:t>《内蒙古自治区国家重点生态功能区产业准入负面清单（试行）》</w:t>
            </w:r>
            <w:r>
              <w:rPr>
                <w:rFonts w:hint="eastAsia"/>
                <w:color w:val="000000" w:themeColor="text1"/>
                <w:sz w:val="24"/>
                <w:lang w:val="en-GB"/>
                <w14:textFill>
                  <w14:solidFill>
                    <w14:schemeClr w14:val="tx1"/>
                  </w14:solidFill>
                </w14:textFill>
              </w:rPr>
              <w:t>，2</w:t>
            </w:r>
            <w:r>
              <w:rPr>
                <w:color w:val="000000" w:themeColor="text1"/>
                <w:sz w:val="24"/>
                <w:lang w:val="en-GB"/>
                <w14:textFill>
                  <w14:solidFill>
                    <w14:schemeClr w14:val="tx1"/>
                  </w14:solidFill>
                </w14:textFill>
              </w:rPr>
              <w:t>018</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3</w:t>
            </w:r>
            <w:r>
              <w:rPr>
                <w:rFonts w:hint="eastAsia"/>
                <w:color w:val="000000" w:themeColor="text1"/>
                <w:sz w:val="24"/>
                <w:lang w:val="en-GB"/>
                <w14:textFill>
                  <w14:solidFill>
                    <w14:schemeClr w14:val="tx1"/>
                  </w14:solidFill>
                </w14:textFill>
              </w:rPr>
              <w:t>月</w:t>
            </w:r>
            <w:r>
              <w:rPr>
                <w:color w:val="000000" w:themeColor="text1"/>
                <w:sz w:val="24"/>
                <w:lang w:val="en-GB"/>
                <w14:textFill>
                  <w14:solidFill>
                    <w14:schemeClr w14:val="tx1"/>
                  </w14:solidFill>
                </w14:textFill>
              </w:rPr>
              <w:t>12</w:t>
            </w:r>
            <w:r>
              <w:rPr>
                <w:rFonts w:hint="eastAsia"/>
                <w:color w:val="000000" w:themeColor="text1"/>
                <w:sz w:val="24"/>
                <w:lang w:val="en-GB"/>
                <w14:textFill>
                  <w14:solidFill>
                    <w14:schemeClr w14:val="tx1"/>
                  </w14:solidFill>
                </w14:textFill>
              </w:rPr>
              <w:t>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w:t>
            </w:r>
            <w:r>
              <w:rPr>
                <w:rFonts w:hint="eastAsia" w:cs="Times New Roman"/>
                <w:color w:val="000000" w:themeColor="text1"/>
                <w:sz w:val="24"/>
                <w:lang w:val="en-US" w:eastAsia="zh-CN"/>
                <w14:textFill>
                  <w14:solidFill>
                    <w14:schemeClr w14:val="tx1"/>
                  </w14:solidFill>
                </w14:textFill>
              </w:rPr>
              <w:t>18</w:t>
            </w:r>
            <w:r>
              <w:rPr>
                <w:rFonts w:hint="eastAsia" w:ascii="Times New Roman" w:hAnsi="Times New Roman" w:cs="Times New Roman"/>
                <w:color w:val="000000" w:themeColor="text1"/>
                <w:sz w:val="24"/>
                <w:lang w:val="en-US" w:eastAsia="zh-CN"/>
                <w14:textFill>
                  <w14:solidFill>
                    <w14:schemeClr w14:val="tx1"/>
                  </w14:solidFill>
                </w14:textFill>
              </w:rPr>
              <w:t>）《甘肃省矿产资源总体规划（2016～2020年）》，2017年9月13日；</w:t>
            </w:r>
          </w:p>
          <w:p>
            <w:pPr>
              <w:autoSpaceDE w:val="0"/>
              <w:autoSpaceDN w:val="0"/>
              <w:adjustRightInd w:val="0"/>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19</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《内蒙古自治区矿产资源总体规划（2016-2020年）》，2017年</w:t>
            </w:r>
            <w:r>
              <w:rPr>
                <w:color w:val="000000" w:themeColor="text1"/>
                <w:sz w:val="24"/>
                <w14:textFill>
                  <w14:solidFill>
                    <w14:schemeClr w14:val="tx1"/>
                  </w14:solidFill>
                </w14:textFill>
              </w:rPr>
              <w:t>11</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30</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rFonts w:hint="eastAsia"/>
                <w:color w:val="000000" w:themeColor="text1"/>
                <w:sz w:val="24"/>
                <w14:textFill>
                  <w14:solidFill>
                    <w14:schemeClr w14:val="tx1"/>
                  </w14:solidFill>
                </w14:textFill>
              </w:rPr>
              <w:t>）《甘肃省人民政府关于实施“三线一单”生态环境分区管控的意见》（甘政发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68号），</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12</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29</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21）</w:t>
            </w:r>
            <w:r>
              <w:rPr>
                <w:rFonts w:hint="eastAsia"/>
                <w:color w:val="000000" w:themeColor="text1"/>
                <w:sz w:val="24"/>
                <w14:textFill>
                  <w14:solidFill>
                    <w14:schemeClr w14:val="tx1"/>
                  </w14:solidFill>
                </w14:textFill>
              </w:rPr>
              <w:t>《内蒙古自治区人民政府关于实施“三线一单”生态环境分区管控的意见》（内政发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24号），</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12</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29</w:t>
            </w:r>
            <w:r>
              <w:rPr>
                <w:rFonts w:hint="eastAsia"/>
                <w:color w:val="000000" w:themeColor="text1"/>
                <w:sz w:val="24"/>
                <w14:textFill>
                  <w14:solidFill>
                    <w14:schemeClr w14:val="tx1"/>
                  </w14:solidFill>
                </w14:textFill>
              </w:rPr>
              <w:t>日</w:t>
            </w:r>
            <w:r>
              <w:rPr>
                <w:rFonts w:hint="eastAsia"/>
                <w:color w:val="000000" w:themeColor="text1"/>
                <w:sz w:val="24"/>
                <w:lang w:val="en-GB"/>
                <w14:textFill>
                  <w14:solidFill>
                    <w14:schemeClr w14:val="tx1"/>
                  </w14:solidFill>
                </w14:textFill>
              </w:rPr>
              <w:t>；</w:t>
            </w:r>
          </w:p>
          <w:p>
            <w:pPr>
              <w:autoSpaceDE w:val="0"/>
              <w:autoSpaceDN w:val="0"/>
              <w:adjustRightInd w:val="0"/>
              <w:spacing w:line="360" w:lineRule="auto"/>
              <w:rPr>
                <w:b/>
                <w:bCs/>
                <w:color w:val="000000" w:themeColor="text1"/>
                <w:sz w:val="24"/>
                <w:lang w:val="zh-CN"/>
                <w14:textFill>
                  <w14:solidFill>
                    <w14:schemeClr w14:val="tx1"/>
                  </w14:solidFill>
                </w14:textFill>
              </w:rPr>
            </w:pPr>
            <w:r>
              <w:rPr>
                <w:rFonts w:hint="eastAsia"/>
                <w:b/>
                <w:bCs/>
                <w:color w:val="000000" w:themeColor="text1"/>
                <w:sz w:val="24"/>
                <w:lang w:val="zh-CN"/>
                <w14:textFill>
                  <w14:solidFill>
                    <w14:schemeClr w14:val="tx1"/>
                  </w14:solidFill>
                </w14:textFill>
              </w:rPr>
              <w:t>3、</w:t>
            </w:r>
            <w:r>
              <w:rPr>
                <w:b/>
                <w:bCs/>
                <w:color w:val="000000" w:themeColor="text1"/>
                <w:sz w:val="24"/>
                <w:lang w:val="zh-CN"/>
                <w14:textFill>
                  <w14:solidFill>
                    <w14:schemeClr w14:val="tx1"/>
                  </w14:solidFill>
                </w14:textFill>
              </w:rPr>
              <w:t>技术导则及规范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（1）《建设项目环境影响评价技术导则—总纲》（HJ2.1-2016）；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（2）《环境影响评价技术导则—大气环境》（HJ2.2-2018）；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（3）《环境影响评价技术导则—地表水环境》（HJ2.3-2018）；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（4）《环境影响评价技术导则—地下水环境》（HJ610-2016）；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（5）《环境影响评价技术导则—声环境》（HJ2.4-2009）；</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（6）《环境影响评价技术导则—生态影响》（HJ19-2011）；</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（7）《建设项目环境风险评价技术导则》（HJ169-2018）；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（8）《环境影响评价技术导则 土壤环境（试行）》（HJ964-2018）；</w:t>
            </w:r>
          </w:p>
          <w:p>
            <w:pPr>
              <w:spacing w:line="360" w:lineRule="auto"/>
              <w:ind w:firstLine="480" w:firstLineChars="200"/>
              <w:rPr>
                <w:rFonts w:eastAsia="黑体"/>
                <w:color w:val="000000" w:themeColor="text1"/>
                <w:w w:val="95"/>
                <w:sz w:val="24"/>
                <w14:textFill>
                  <w14:solidFill>
                    <w14:schemeClr w14:val="tx1"/>
                  </w14:solidFill>
                </w14:textFill>
              </w:rPr>
            </w:pPr>
            <w:r>
              <w:rPr>
                <w:rFonts w:hint="eastAsia"/>
                <w:color w:val="000000" w:themeColor="text1"/>
                <w:sz w:val="24"/>
                <w14:textFill>
                  <w14:solidFill>
                    <w14:schemeClr w14:val="tx1"/>
                  </w14:solidFill>
                </w14:textFill>
              </w:rPr>
              <w:t>（9）《环境影响评价技术导则 铀矿冶》（HJ1015.1-2019）。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785" w:hRule="atLeast"/>
          <w:jc w:val="center"/>
        </w:trPr>
        <w:tc>
          <w:tcPr>
            <w:tcW w:w="329" w:type="pct"/>
            <w:tcBorders>
              <w:right w:val="single" w:color="auto" w:sz="4" w:space="0"/>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相关文件</w:t>
            </w:r>
          </w:p>
        </w:tc>
        <w:tc>
          <w:tcPr>
            <w:tcW w:w="4670" w:type="pct"/>
            <w:tcBorders>
              <w:left w:val="single" w:color="auto" w:sz="4" w:space="0"/>
            </w:tcBorders>
            <w:vAlign w:val="center"/>
          </w:tcPr>
          <w:p>
            <w:pPr>
              <w:spacing w:line="360" w:lineRule="auto"/>
              <w:ind w:firstLine="480" w:firstLineChars="200"/>
              <w:jc w:val="left"/>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（1）中国核工业地质局下达的铀矿地质项目任务书</w:t>
            </w:r>
            <w:r>
              <w:rPr>
                <w:rFonts w:hint="eastAsia"/>
                <w:color w:val="000000" w:themeColor="text1"/>
                <w:sz w:val="24"/>
                <w:lang w:eastAsia="zh-CN"/>
                <w14:textFill>
                  <w14:solidFill>
                    <w14:schemeClr w14:val="tx1"/>
                  </w14:solidFill>
                </w14:textFill>
              </w:rPr>
              <w:t>；</w:t>
            </w:r>
          </w:p>
          <w:p>
            <w:pPr>
              <w:spacing w:line="360" w:lineRule="auto"/>
              <w:ind w:firstLine="480" w:firstLineChars="200"/>
              <w:jc w:val="lef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（2）建设单位提供的</w:t>
            </w:r>
            <w:r>
              <w:rPr>
                <w:rFonts w:hint="eastAsia"/>
                <w:color w:val="000000" w:themeColor="text1"/>
                <w:sz w:val="24"/>
                <w:lang w:val="en-US" w:eastAsia="zh-CN"/>
                <w14:textFill>
                  <w14:solidFill>
                    <w14:schemeClr w14:val="tx1"/>
                  </w14:solidFill>
                </w14:textFill>
              </w:rPr>
              <w:t>项目工作方案</w:t>
            </w:r>
            <w:r>
              <w:rPr>
                <w:rFonts w:hint="eastAsia"/>
                <w:color w:val="000000" w:themeColor="text1"/>
                <w:sz w:val="24"/>
                <w14:textFill>
                  <w14:solidFill>
                    <w14:schemeClr w14:val="tx1"/>
                  </w14:solidFill>
                </w14:textFill>
              </w:rPr>
              <w:t>；</w:t>
            </w:r>
          </w:p>
          <w:p>
            <w:pPr>
              <w:spacing w:line="360" w:lineRule="auto"/>
              <w:ind w:firstLine="480" w:firstLineChars="200"/>
              <w:jc w:val="lef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）环评阶段收集、调查的自然保护区、风景名胜区等相关资料、图件等。</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hint="default" w:ascii="Times New Roman" w:hAnsi="Times New Roman" w:eastAsia="黑体" w:cs="Times New Roman"/>
          <w:color w:val="000000" w:themeColor="text1"/>
          <w:w w:val="95"/>
          <w:sz w:val="32"/>
          <w:lang w:val="en-US" w:eastAsia="zh-CN"/>
          <w14:textFill>
            <w14:solidFill>
              <w14:schemeClr w14:val="tx1"/>
            </w14:solidFill>
          </w14:textFill>
        </w:rPr>
      </w:pPr>
      <w:bookmarkStart w:id="3" w:name="_Toc3795898"/>
      <w:r>
        <w:rPr>
          <w:rFonts w:hint="eastAsia" w:ascii="Times New Roman" w:hAnsi="Times New Roman" w:eastAsia="黑体" w:cs="Times New Roman"/>
          <w:color w:val="000000" w:themeColor="text1"/>
          <w:w w:val="95"/>
          <w:sz w:val="32"/>
          <w:lang w:val="en-US" w:eastAsia="zh-CN"/>
          <w14:textFill>
            <w14:solidFill>
              <w14:schemeClr w14:val="tx1"/>
            </w14:solidFill>
          </w14:textFill>
        </w:rPr>
        <w:t>三、</w:t>
      </w:r>
      <w:r>
        <w:rPr>
          <w:rFonts w:hint="default" w:ascii="Times New Roman" w:hAnsi="Times New Roman" w:eastAsia="黑体" w:cs="Times New Roman"/>
          <w:color w:val="000000" w:themeColor="text1"/>
          <w:w w:val="95"/>
          <w:sz w:val="32"/>
          <w:lang w:val="en-US" w:eastAsia="zh-CN"/>
          <w14:textFill>
            <w14:solidFill>
              <w14:schemeClr w14:val="tx1"/>
            </w14:solidFill>
          </w14:textFill>
        </w:rPr>
        <w:t>建设项目所在地自然环境简况</w:t>
      </w:r>
      <w:bookmarkEnd w:id="3"/>
    </w:p>
    <w:tbl>
      <w:tblPr>
        <w:tblStyle w:val="11"/>
        <w:tblW w:w="491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37"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自然环境简况(地形、地貌、地质、气候、气象、水文、植被、生物多样性等)：</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1、</w:t>
            </w:r>
            <w:r>
              <w:rPr>
                <w:rFonts w:hint="default" w:ascii="Times New Roman" w:hAnsi="Times New Roman" w:eastAsia="黑体" w:cs="Times New Roman"/>
                <w:color w:val="000000" w:themeColor="text1"/>
                <w:sz w:val="24"/>
                <w:lang w:val="en-US" w:eastAsia="zh-CN"/>
                <w14:textFill>
                  <w14:solidFill>
                    <w14:schemeClr w14:val="tx1"/>
                  </w14:solidFill>
                </w14:textFill>
              </w:rPr>
              <w:t>地理位置</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本项目</w:t>
            </w:r>
            <w:r>
              <w:rPr>
                <w:rFonts w:hint="eastAsia" w:ascii="Times New Roman" w:hAnsi="Times New Roman" w:cs="Times New Roman"/>
                <w:bCs/>
                <w:color w:val="000000" w:themeColor="text1"/>
                <w:sz w:val="24"/>
                <w:szCs w:val="20"/>
                <w:lang w:val="en-US" w:eastAsia="zh-CN"/>
                <w14:textFill>
                  <w14:solidFill>
                    <w14:schemeClr w14:val="tx1"/>
                  </w14:solidFill>
                </w14:textFill>
              </w:rPr>
              <w:t>包括</w:t>
            </w:r>
            <w:r>
              <w:rPr>
                <w:rFonts w:hint="eastAsia" w:cs="Times New Roman"/>
                <w:bCs/>
                <w:color w:val="000000" w:themeColor="text1"/>
                <w:sz w:val="24"/>
                <w:szCs w:val="20"/>
                <w:lang w:val="en-US" w:eastAsia="zh-CN"/>
                <w14:textFill>
                  <w14:solidFill>
                    <w14:schemeClr w14:val="tx1"/>
                  </w14:solidFill>
                </w14:textFill>
              </w:rPr>
              <w:t>巴丹吉林</w:t>
            </w:r>
            <w:r>
              <w:rPr>
                <w:rFonts w:hint="default" w:ascii="Times New Roman" w:hAnsi="Times New Roman" w:eastAsia="宋体" w:cs="Times New Roman"/>
                <w:bCs/>
                <w:color w:val="000000" w:themeColor="text1"/>
                <w:sz w:val="24"/>
                <w:szCs w:val="20"/>
                <w14:textFill>
                  <w14:solidFill>
                    <w14:schemeClr w14:val="tx1"/>
                  </w14:solidFill>
                </w14:textFill>
              </w:rPr>
              <w:t>盆地</w:t>
            </w: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bCs/>
                <w:color w:val="000000" w:themeColor="text1"/>
                <w:sz w:val="24"/>
                <w:szCs w:val="20"/>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潮水盆地</w:t>
            </w: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、走廊盆地</w:t>
            </w: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、武腾盆地</w:t>
            </w: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及北山地区</w:t>
            </w: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，涉及</w:t>
            </w:r>
            <w:r>
              <w:rPr>
                <w:rFonts w:hint="eastAsia" w:cs="Times New Roman"/>
                <w:color w:val="000000" w:themeColor="text1"/>
                <w:sz w:val="24"/>
                <w:lang w:val="en-US" w:eastAsia="zh-CN"/>
                <w14:textFill>
                  <w14:solidFill>
                    <w14:schemeClr w14:val="tx1"/>
                  </w14:solidFill>
                </w14:textFill>
              </w:rPr>
              <w:t>内蒙古自治区阿拉善盟</w:t>
            </w:r>
            <w:r>
              <w:rPr>
                <w:rFonts w:hint="default" w:ascii="Times New Roman" w:hAnsi="Times New Roman" w:cs="Times New Roman"/>
                <w:color w:val="000000" w:themeColor="text1"/>
                <w:sz w:val="24"/>
                <w:lang w:val="en-US" w:eastAsia="zh-CN"/>
                <w14:textFill>
                  <w14:solidFill>
                    <w14:schemeClr w14:val="tx1"/>
                  </w14:solidFill>
                </w14:textFill>
              </w:rPr>
              <w:t>及甘肃省张掖市、</w:t>
            </w:r>
            <w:r>
              <w:rPr>
                <w:rFonts w:hint="eastAsia" w:ascii="Times New Roman" w:hAnsi="Times New Roman" w:cs="Times New Roman"/>
                <w:color w:val="000000" w:themeColor="text1"/>
                <w:sz w:val="24"/>
                <w:lang w:val="en-US" w:eastAsia="zh-CN"/>
                <w14:textFill>
                  <w14:solidFill>
                    <w14:schemeClr w14:val="tx1"/>
                  </w14:solidFill>
                </w14:textFill>
              </w:rPr>
              <w:t>武威</w:t>
            </w:r>
            <w:r>
              <w:rPr>
                <w:rFonts w:hint="default" w:ascii="Times New Roman" w:hAnsi="Times New Roman" w:cs="Times New Roman"/>
                <w:color w:val="000000" w:themeColor="text1"/>
                <w:sz w:val="24"/>
                <w:lang w:val="en-US" w:eastAsia="zh-CN"/>
                <w14:textFill>
                  <w14:solidFill>
                    <w14:schemeClr w14:val="tx1"/>
                  </w14:solidFill>
                </w14:textFill>
              </w:rPr>
              <w:t>市、酒泉市</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嘉峪关市</w:t>
            </w:r>
            <w:r>
              <w:rPr>
                <w:rFonts w:hint="eastAsia" w:ascii="Times New Roman" w:hAnsi="Times New Roman" w:cs="Times New Roman"/>
                <w:color w:val="000000" w:themeColor="text1"/>
                <w:sz w:val="24"/>
                <w:lang w:val="en-US" w:eastAsia="zh-CN"/>
                <w14:textFill>
                  <w14:solidFill>
                    <w14:schemeClr w14:val="tx1"/>
                  </w14:solidFill>
                </w14:textFill>
              </w:rPr>
              <w:t>和金昌市</w:t>
            </w:r>
            <w:r>
              <w:rPr>
                <w:rFonts w:hint="default" w:ascii="Times New Roman" w:hAnsi="Times New Roman" w:cs="Times New Roman"/>
                <w:color w:val="000000" w:themeColor="text1"/>
                <w:sz w:val="24"/>
                <w:lang w:val="en-US" w:eastAsia="zh-CN"/>
                <w14:textFill>
                  <w14:solidFill>
                    <w14:schemeClr w14:val="tx1"/>
                  </w14:solidFill>
                </w14:textFill>
              </w:rPr>
              <w:t>等管辖。</w:t>
            </w:r>
            <w:r>
              <w:rPr>
                <w:rFonts w:hint="eastAsia" w:cs="Times New Roman"/>
                <w:color w:val="000000" w:themeColor="text1"/>
                <w:sz w:val="24"/>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北起中蒙边界洪格尔吉山，南至阿尔金山—祁连山—乌鞘岭一带，西起敦煌盆地西缘、北山盆地群西缘，东到拐子湖、贺兰山</w:t>
            </w:r>
            <w:r>
              <w:rPr>
                <w:rFonts w:hint="eastAsia" w:ascii="Times New Roman" w:hAnsi="Times New Roman" w:cs="Times New Roman"/>
                <w:color w:val="000000" w:themeColor="text1"/>
                <w:sz w:val="24"/>
                <w:lang w:val="en-US" w:eastAsia="zh-CN"/>
                <w14:textFill>
                  <w14:solidFill>
                    <w14:schemeClr w14:val="tx1"/>
                  </w14:solidFill>
                </w14:textFill>
              </w:rPr>
              <w:t>。</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2、地形、地貌</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color w:val="000000" w:themeColor="text1"/>
                <w:sz w:val="24"/>
                <w:lang w:val="en-US" w:eastAsia="zh-CN"/>
                <w14:textFill>
                  <w14:solidFill>
                    <w14:schemeClr w14:val="tx1"/>
                  </w14:solidFill>
                </w14:textFill>
              </w:rPr>
              <w:t>位于甘肃省河西走廊和内蒙古西部阿拉善高原上，盆地周围群山环绕（图3-1），</w:t>
            </w:r>
            <w:r>
              <w:rPr>
                <w:rFonts w:hint="eastAsia" w:cs="Times New Roman"/>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color w:val="000000" w:themeColor="text1"/>
                <w:sz w:val="24"/>
                <w:lang w:val="en-US" w:eastAsia="zh-CN"/>
                <w14:textFill>
                  <w14:solidFill>
                    <w14:schemeClr w14:val="tx1"/>
                  </w14:solidFill>
                </w14:textFill>
              </w:rPr>
              <w:t>地形以盆山相间的地貌为特征，其中北山地区为高（中）山与小型山间盆地相间分布，山地海拔一般1300~1700m左右；巴丹吉林盆地南部以沙漠为主，北部以戈壁为主（照片3-1），海拔一般900~1300m左右，巴丹吉林沙漠分布于盆地中部，是世界四大沙漠之一，总面积4.7×10</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4</w:t>
            </w:r>
            <w:r>
              <w:rPr>
                <w:rFonts w:hint="eastAsia" w:ascii="Times New Roman" w:hAnsi="Times New Roman" w:eastAsia="宋体" w:cs="Times New Roman"/>
                <w:color w:val="000000" w:themeColor="text1"/>
                <w:sz w:val="24"/>
                <w:lang w:val="en-US" w:eastAsia="zh-CN"/>
                <w14:textFill>
                  <w14:solidFill>
                    <w14:schemeClr w14:val="tx1"/>
                  </w14:solidFill>
                </w14:textFill>
              </w:rPr>
              <w:t>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其中的巴彦诺尔、吉诃德沙山是世界上最高的沙丘；走廊地区夹持于祁连山和北山—北大山—雅布赖山之间，是东西向展布的狭长地带，总体地势平坦，由东向西表现为：东部巴彦浩特、武腾雅布赖等盆地以戈壁、沙漠为主，潮水盆地以戈壁为主（照片3-2），中部民乐、酒泉、金塔—花海盆地是植被发育，以耕地或戈壁为主，西部敦煌盆地植被减少，以沙漠、戈壁为主。河西走廊一带地势差异较大，海拔1000~1500m。</w:t>
            </w:r>
          </w:p>
          <w:p>
            <w:pPr>
              <w:numPr>
                <w:ilvl w:val="0"/>
                <w:numId w:val="0"/>
              </w:numPr>
              <w:autoSpaceDE w:val="0"/>
              <w:autoSpaceDN w:val="0"/>
              <w:spacing w:line="360" w:lineRule="auto"/>
              <w:jc w:val="center"/>
              <w:rPr>
                <w:rFonts w:hint="eastAsia"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drawing>
                <wp:inline distT="0" distB="0" distL="114300" distR="114300">
                  <wp:extent cx="5447030" cy="2879725"/>
                  <wp:effectExtent l="0" t="0" r="1270" b="3175"/>
                  <wp:docPr id="2" name="图片 2" descr="565835603547319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565835603547319562"/>
                          <pic:cNvPicPr>
                            <a:picLocks noChangeAspect="1"/>
                          </pic:cNvPicPr>
                        </pic:nvPicPr>
                        <pic:blipFill>
                          <a:blip r:embed="rId9"/>
                          <a:stretch>
                            <a:fillRect/>
                          </a:stretch>
                        </pic:blipFill>
                        <pic:spPr>
                          <a:xfrm>
                            <a:off x="0" y="0"/>
                            <a:ext cx="5447030" cy="2879725"/>
                          </a:xfrm>
                          <a:prstGeom prst="rect">
                            <a:avLst/>
                          </a:prstGeom>
                        </pic:spPr>
                      </pic:pic>
                    </a:graphicData>
                  </a:graphic>
                </wp:inline>
              </w:drawing>
            </w:r>
          </w:p>
          <w:p>
            <w:pPr>
              <w:spacing w:after="72" w:afterLines="30"/>
              <w:jc w:val="center"/>
              <w:rPr>
                <w:rFonts w:hint="eastAsia" w:ascii="Times New Roman" w:hAnsi="Times New Roman" w:eastAsia="仿宋_GB2312" w:cs="Times New Roman"/>
                <w:color w:val="000000" w:themeColor="text1"/>
                <w:sz w:val="21"/>
                <w:szCs w:val="21"/>
                <w:lang w:eastAsia="zh-CN"/>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fldChar w:fldCharType="begin"/>
            </w:r>
            <w:r>
              <w:rPr>
                <w:rFonts w:hint="default" w:ascii="Times New Roman" w:hAnsi="Times New Roman" w:eastAsia="仿宋_GB2312" w:cs="Times New Roman"/>
                <w:color w:val="000000" w:themeColor="text1"/>
                <w:sz w:val="21"/>
                <w:szCs w:val="21"/>
                <w14:textFill>
                  <w14:solidFill>
                    <w14:schemeClr w14:val="tx1"/>
                  </w14:solidFill>
                </w14:textFill>
              </w:rPr>
              <w:instrText xml:space="preserve"> = 1 \* GB3 </w:instrText>
            </w:r>
            <w:r>
              <w:rPr>
                <w:rFonts w:hint="default" w:ascii="Times New Roman" w:hAnsi="Times New Roman" w:eastAsia="仿宋_GB2312" w:cs="Times New Roman"/>
                <w:color w:val="000000" w:themeColor="text1"/>
                <w:sz w:val="21"/>
                <w:szCs w:val="21"/>
                <w14:textFill>
                  <w14:solidFill>
                    <w14:schemeClr w14:val="tx1"/>
                  </w14:solidFill>
                </w14:textFill>
              </w:rPr>
              <w:fldChar w:fldCharType="separate"/>
            </w:r>
            <w:r>
              <w:rPr>
                <w:rFonts w:hint="default" w:ascii="Times New Roman" w:hAnsi="Times New Roman" w:eastAsia="仿宋_GB2312" w:cs="Times New Roman"/>
                <w:color w:val="000000" w:themeColor="text1"/>
                <w:sz w:val="21"/>
                <w:szCs w:val="21"/>
                <w14:textFill>
                  <w14:solidFill>
                    <w14:schemeClr w14:val="tx1"/>
                  </w14:solidFill>
                </w14:textFill>
              </w:rPr>
              <w:t>①</w:t>
            </w:r>
            <w:r>
              <w:rPr>
                <w:rFonts w:hint="default" w:ascii="Times New Roman" w:hAnsi="Times New Roman" w:eastAsia="仿宋_GB2312" w:cs="Times New Roman"/>
                <w:color w:val="000000" w:themeColor="text1"/>
                <w:sz w:val="21"/>
                <w:szCs w:val="21"/>
                <w14:textFill>
                  <w14:solidFill>
                    <w14:schemeClr w14:val="tx1"/>
                  </w14:solidFill>
                </w14:textFill>
              </w:rPr>
              <w:fldChar w:fldCharType="end"/>
            </w:r>
            <w:r>
              <w:rPr>
                <w:rFonts w:hint="default" w:ascii="Times New Roman" w:hAnsi="Times New Roman" w:eastAsia="仿宋_GB2312" w:cs="Times New Roman"/>
                <w:color w:val="000000" w:themeColor="text1"/>
                <w:sz w:val="21"/>
                <w:szCs w:val="21"/>
                <w14:textFill>
                  <w14:solidFill>
                    <w14:schemeClr w14:val="tx1"/>
                  </w14:solidFill>
                </w14:textFill>
              </w:rPr>
              <w:t>巴丹吉林盆地；</w:t>
            </w:r>
            <w:r>
              <w:rPr>
                <w:rFonts w:hint="default" w:ascii="Times New Roman" w:hAnsi="Times New Roman" w:eastAsia="仿宋_GB2312" w:cs="Times New Roman"/>
                <w:color w:val="000000" w:themeColor="text1"/>
                <w:sz w:val="21"/>
                <w:szCs w:val="21"/>
                <w14:textFill>
                  <w14:solidFill>
                    <w14:schemeClr w14:val="tx1"/>
                  </w14:solidFill>
                </w14:textFill>
              </w:rPr>
              <w:fldChar w:fldCharType="begin"/>
            </w:r>
            <w:r>
              <w:rPr>
                <w:rFonts w:hint="default" w:ascii="Times New Roman" w:hAnsi="Times New Roman" w:eastAsia="仿宋_GB2312" w:cs="Times New Roman"/>
                <w:color w:val="000000" w:themeColor="text1"/>
                <w:sz w:val="21"/>
                <w:szCs w:val="21"/>
                <w14:textFill>
                  <w14:solidFill>
                    <w14:schemeClr w14:val="tx1"/>
                  </w14:solidFill>
                </w14:textFill>
              </w:rPr>
              <w:instrText xml:space="preserve"> = 2 \* GB3 </w:instrText>
            </w:r>
            <w:r>
              <w:rPr>
                <w:rFonts w:hint="default" w:ascii="Times New Roman" w:hAnsi="Times New Roman" w:eastAsia="仿宋_GB2312" w:cs="Times New Roman"/>
                <w:color w:val="000000" w:themeColor="text1"/>
                <w:sz w:val="21"/>
                <w:szCs w:val="21"/>
                <w14:textFill>
                  <w14:solidFill>
                    <w14:schemeClr w14:val="tx1"/>
                  </w14:solidFill>
                </w14:textFill>
              </w:rPr>
              <w:fldChar w:fldCharType="separate"/>
            </w:r>
            <w:r>
              <w:rPr>
                <w:rFonts w:hint="default" w:ascii="Times New Roman" w:hAnsi="Times New Roman" w:eastAsia="仿宋_GB2312" w:cs="Times New Roman"/>
                <w:color w:val="000000" w:themeColor="text1"/>
                <w:sz w:val="21"/>
                <w:szCs w:val="21"/>
                <w14:textFill>
                  <w14:solidFill>
                    <w14:schemeClr w14:val="tx1"/>
                  </w14:solidFill>
                </w14:textFill>
              </w:rPr>
              <w:t>②</w:t>
            </w:r>
            <w:r>
              <w:rPr>
                <w:rFonts w:hint="default" w:ascii="Times New Roman" w:hAnsi="Times New Roman" w:eastAsia="仿宋_GB2312" w:cs="Times New Roman"/>
                <w:color w:val="000000" w:themeColor="text1"/>
                <w:sz w:val="21"/>
                <w:szCs w:val="21"/>
                <w14:textFill>
                  <w14:solidFill>
                    <w14:schemeClr w14:val="tx1"/>
                  </w14:solidFill>
                </w14:textFill>
              </w:rPr>
              <w:fldChar w:fldCharType="end"/>
            </w:r>
            <w:r>
              <w:rPr>
                <w:rFonts w:hint="default" w:ascii="Times New Roman" w:hAnsi="Times New Roman" w:eastAsia="仿宋_GB2312" w:cs="Times New Roman"/>
                <w:color w:val="000000" w:themeColor="text1"/>
                <w:sz w:val="21"/>
                <w:szCs w:val="21"/>
                <w14:textFill>
                  <w14:solidFill>
                    <w14:schemeClr w14:val="tx1"/>
                  </w14:solidFill>
                </w14:textFill>
              </w:rPr>
              <w:t>潮水盆地；③</w:t>
            </w:r>
            <w:r>
              <w:rPr>
                <w:rFonts w:hint="eastAsia" w:eastAsia="仿宋_GB2312" w:cs="Times New Roman"/>
                <w:color w:val="000000" w:themeColor="text1"/>
                <w:sz w:val="21"/>
                <w:szCs w:val="21"/>
                <w:lang w:val="en-US" w:eastAsia="zh-CN"/>
                <w14:textFill>
                  <w14:solidFill>
                    <w14:schemeClr w14:val="tx1"/>
                  </w14:solidFill>
                </w14:textFill>
              </w:rPr>
              <w:t>武腾盆地；④北山地区；⑤</w:t>
            </w:r>
            <w:r>
              <w:rPr>
                <w:rFonts w:hint="default" w:ascii="Times New Roman" w:hAnsi="Times New Roman" w:eastAsia="仿宋_GB2312" w:cs="Times New Roman"/>
                <w:color w:val="000000" w:themeColor="text1"/>
                <w:sz w:val="21"/>
                <w:szCs w:val="21"/>
                <w14:textFill>
                  <w14:solidFill>
                    <w14:schemeClr w14:val="tx1"/>
                  </w14:solidFill>
                </w14:textFill>
              </w:rPr>
              <w:t>走廊</w:t>
            </w:r>
            <w:r>
              <w:rPr>
                <w:rFonts w:hint="eastAsia" w:eastAsia="仿宋_GB2312" w:cs="Times New Roman"/>
                <w:color w:val="000000" w:themeColor="text1"/>
                <w:sz w:val="21"/>
                <w:szCs w:val="21"/>
                <w:lang w:val="en-US" w:eastAsia="zh-CN"/>
                <w14:textFill>
                  <w14:solidFill>
                    <w14:schemeClr w14:val="tx1"/>
                  </w14:solidFill>
                </w14:textFill>
              </w:rPr>
              <w:t>盆地</w:t>
            </w:r>
          </w:p>
          <w:p>
            <w:pPr>
              <w:spacing w:line="240" w:lineRule="auto"/>
              <w:jc w:val="center"/>
              <w:rPr>
                <w:rFonts w:hint="default" w:ascii="Times New Roman" w:hAnsi="Times New Roman" w:eastAsia="宋体" w:cs="Times New Roman"/>
                <w:b w:val="0"/>
                <w:bCs/>
                <w:color w:val="000000" w:themeColor="text1"/>
                <w:sz w:val="24"/>
                <w:szCs w:val="24"/>
                <w14:textFill>
                  <w14:solidFill>
                    <w14:schemeClr w14:val="tx1"/>
                  </w14:solidFill>
                </w14:textFill>
              </w:rPr>
            </w:pPr>
            <w:r>
              <w:rPr>
                <w:rFonts w:hint="default" w:ascii="Times New Roman" w:hAnsi="Times New Roman" w:eastAsia="宋体" w:cs="Times New Roman"/>
                <w:b w:val="0"/>
                <w:bCs/>
                <w:color w:val="000000" w:themeColor="text1"/>
                <w:sz w:val="24"/>
                <w:szCs w:val="24"/>
                <w14:textFill>
                  <w14:solidFill>
                    <w14:schemeClr w14:val="tx1"/>
                  </w14:solidFill>
                </w14:textFill>
              </w:rPr>
              <w:t>图</w:t>
            </w:r>
            <w:r>
              <w:rPr>
                <w:rFonts w:hint="default" w:ascii="Times New Roman" w:hAnsi="Times New Roman" w:eastAsia="宋体" w:cs="Times New Roman"/>
                <w:b w:val="0"/>
                <w:bCs/>
                <w:color w:val="000000" w:themeColor="text1"/>
                <w:sz w:val="24"/>
                <w:szCs w:val="24"/>
                <w:lang w:val="en-US" w:eastAsia="zh-CN"/>
                <w14:textFill>
                  <w14:solidFill>
                    <w14:schemeClr w14:val="tx1"/>
                  </w14:solidFill>
                </w14:textFill>
              </w:rPr>
              <w:t>3</w:t>
            </w:r>
            <w:r>
              <w:rPr>
                <w:rFonts w:hint="default" w:ascii="Times New Roman" w:hAnsi="Times New Roman" w:eastAsia="宋体" w:cs="Times New Roman"/>
                <w:b w:val="0"/>
                <w:bCs/>
                <w:color w:val="000000" w:themeColor="text1"/>
                <w:sz w:val="24"/>
                <w:szCs w:val="24"/>
                <w14:textFill>
                  <w14:solidFill>
                    <w14:schemeClr w14:val="tx1"/>
                  </w14:solidFill>
                </w14:textFill>
              </w:rPr>
              <w:t>-</w:t>
            </w:r>
            <w:r>
              <w:rPr>
                <w:rFonts w:hint="default" w:ascii="Times New Roman" w:hAnsi="Times New Roman" w:eastAsia="宋体" w:cs="Times New Roman"/>
                <w:b w:val="0"/>
                <w:bCs/>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b w:val="0"/>
                <w:bCs/>
                <w:color w:val="000000" w:themeColor="text1"/>
                <w:sz w:val="24"/>
                <w:szCs w:val="24"/>
                <w14:textFill>
                  <w14:solidFill>
                    <w14:schemeClr w14:val="tx1"/>
                  </w14:solidFill>
                </w14:textFill>
              </w:rPr>
              <w:t xml:space="preserve">  </w:t>
            </w:r>
            <w:r>
              <w:rPr>
                <w:rFonts w:hint="eastAsia" w:cs="Times New Roman"/>
                <w:b w:val="0"/>
                <w:bCs/>
                <w:color w:val="000000" w:themeColor="text1"/>
                <w:sz w:val="24"/>
                <w:szCs w:val="24"/>
                <w:lang w:eastAsia="zh-CN"/>
                <w14:textFill>
                  <w14:solidFill>
                    <w14:schemeClr w14:val="tx1"/>
                  </w14:solidFill>
                </w14:textFill>
              </w:rPr>
              <w:t>勘查区</w:t>
            </w:r>
            <w:r>
              <w:rPr>
                <w:rFonts w:hint="default" w:ascii="Times New Roman" w:hAnsi="Times New Roman" w:eastAsia="宋体" w:cs="Times New Roman"/>
                <w:b w:val="0"/>
                <w:bCs/>
                <w:color w:val="000000" w:themeColor="text1"/>
                <w:sz w:val="24"/>
                <w:szCs w:val="24"/>
                <w14:textFill>
                  <w14:solidFill>
                    <w14:schemeClr w14:val="tx1"/>
                  </w14:solidFill>
                </w14:textFill>
              </w:rPr>
              <w:t>地形地貌遥感影像图</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1"/>
              <w:gridCol w:w="47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6" w:type="dxa"/>
                </w:tcPr>
                <w:p>
                  <w:pPr>
                    <w:numPr>
                      <w:ilvl w:val="0"/>
                      <w:numId w:val="0"/>
                    </w:numPr>
                    <w:autoSpaceDE w:val="0"/>
                    <w:autoSpaceDN w:val="0"/>
                    <w:spacing w:line="360" w:lineRule="auto"/>
                    <w:jc w:val="center"/>
                    <w:rPr>
                      <w:rFonts w:hint="eastAsia" w:eastAsia="黑体" w:cs="Times New Roman"/>
                      <w:color w:val="000000" w:themeColor="text1"/>
                      <w:sz w:val="24"/>
                      <w:vertAlign w:val="baseline"/>
                      <w:lang w:val="en-US" w:eastAsia="zh-CN"/>
                      <w14:textFill>
                        <w14:solidFill>
                          <w14:schemeClr w14:val="tx1"/>
                        </w14:solidFill>
                      </w14:textFill>
                    </w:rPr>
                  </w:pPr>
                  <w:r>
                    <w:rPr>
                      <w:rFonts w:eastAsia="仿宋_GB2312"/>
                      <w:color w:val="000000" w:themeColor="text1"/>
                      <w:sz w:val="24"/>
                      <w14:textFill>
                        <w14:solidFill>
                          <w14:schemeClr w14:val="tx1"/>
                        </w14:solidFill>
                      </w14:textFill>
                    </w:rPr>
                    <w:drawing>
                      <wp:inline distT="0" distB="0" distL="0" distR="0">
                        <wp:extent cx="2519680" cy="1799590"/>
                        <wp:effectExtent l="0" t="0" r="7620" b="3810"/>
                        <wp:docPr id="4" name="图片 4" descr="E:\工作\巴丹吉林\照片\微信图片_202009091112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E:\工作\巴丹吉林\照片\微信图片_20200909111235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520000" cy="1800000"/>
                                </a:xfrm>
                                <a:prstGeom prst="rect">
                                  <a:avLst/>
                                </a:prstGeom>
                                <a:noFill/>
                                <a:ln>
                                  <a:noFill/>
                                </a:ln>
                              </pic:spPr>
                            </pic:pic>
                          </a:graphicData>
                        </a:graphic>
                      </wp:inline>
                    </w:drawing>
                  </w:r>
                </w:p>
              </w:tc>
              <w:tc>
                <w:tcPr>
                  <w:tcW w:w="4787" w:type="dxa"/>
                </w:tcPr>
                <w:p>
                  <w:pPr>
                    <w:numPr>
                      <w:ilvl w:val="0"/>
                      <w:numId w:val="0"/>
                    </w:numPr>
                    <w:autoSpaceDE w:val="0"/>
                    <w:autoSpaceDN w:val="0"/>
                    <w:spacing w:line="360" w:lineRule="auto"/>
                    <w:jc w:val="center"/>
                    <w:rPr>
                      <w:rFonts w:hint="eastAsia" w:eastAsia="黑体" w:cs="Times New Roman"/>
                      <w:color w:val="000000" w:themeColor="text1"/>
                      <w:sz w:val="24"/>
                      <w:vertAlign w:val="baseline"/>
                      <w:lang w:val="en-US" w:eastAsia="zh-CN"/>
                      <w14:textFill>
                        <w14:solidFill>
                          <w14:schemeClr w14:val="tx1"/>
                        </w14:solidFill>
                      </w14:textFill>
                    </w:rPr>
                  </w:pPr>
                  <w:r>
                    <w:rPr>
                      <w:rFonts w:eastAsia="仿宋_GB2312"/>
                      <w:color w:val="000000" w:themeColor="text1"/>
                      <w:sz w:val="24"/>
                      <w14:textFill>
                        <w14:solidFill>
                          <w14:schemeClr w14:val="tx1"/>
                        </w14:solidFill>
                      </w14:textFill>
                    </w:rPr>
                    <w:drawing>
                      <wp:inline distT="0" distB="0" distL="0" distR="0">
                        <wp:extent cx="2519680" cy="1799590"/>
                        <wp:effectExtent l="0" t="0" r="7620" b="3810"/>
                        <wp:docPr id="89142" name="图片 89142" descr="F:\潮水盆地地貌\IMG_24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42" name="图片 89142" descr="F:\潮水盆地地貌\IMG_249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520000" cy="18000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4786" w:type="dxa"/>
                </w:tcPr>
                <w:p>
                  <w:pPr>
                    <w:numPr>
                      <w:ilvl w:val="0"/>
                      <w:numId w:val="0"/>
                    </w:numPr>
                    <w:autoSpaceDE w:val="0"/>
                    <w:autoSpaceDN w:val="0"/>
                    <w:spacing w:line="240" w:lineRule="auto"/>
                    <w:jc w:val="center"/>
                    <w:rPr>
                      <w:rFonts w:hint="eastAsia" w:eastAsia="黑体" w:cs="Times New Roman"/>
                      <w:color w:val="000000" w:themeColor="text1"/>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1"/>
                      <w:szCs w:val="21"/>
                      <w14:textFill>
                        <w14:solidFill>
                          <w14:schemeClr w14:val="tx1"/>
                        </w14:solidFill>
                      </w14:textFill>
                    </w:rPr>
                    <w:t>照片</w:t>
                  </w:r>
                  <w:r>
                    <w:rPr>
                      <w:rFonts w:hint="eastAsia" w:ascii="Times New Roman" w:hAnsi="Times New Roman" w:eastAsia="宋体" w:cs="Times New Roman"/>
                      <w:b w:val="0"/>
                      <w:bCs/>
                      <w:color w:val="000000" w:themeColor="text1"/>
                      <w:sz w:val="21"/>
                      <w:szCs w:val="21"/>
                      <w:lang w:val="en-US" w:eastAsia="zh-CN"/>
                      <w14:textFill>
                        <w14:solidFill>
                          <w14:schemeClr w14:val="tx1"/>
                        </w14:solidFill>
                      </w14:textFill>
                    </w:rPr>
                    <w:t>3</w:t>
                  </w:r>
                  <w:r>
                    <w:rPr>
                      <w:rFonts w:hint="eastAsia" w:ascii="Times New Roman" w:hAnsi="Times New Roman" w:eastAsia="宋体" w:cs="Times New Roman"/>
                      <w:b w:val="0"/>
                      <w:bCs/>
                      <w:color w:val="000000" w:themeColor="text1"/>
                      <w:sz w:val="21"/>
                      <w:szCs w:val="21"/>
                      <w14:textFill>
                        <w14:solidFill>
                          <w14:schemeClr w14:val="tx1"/>
                        </w14:solidFill>
                      </w14:textFill>
                    </w:rPr>
                    <w:t>-1  巴丹吉林盆地北部地形地貌</w:t>
                  </w:r>
                </w:p>
              </w:tc>
              <w:tc>
                <w:tcPr>
                  <w:tcW w:w="4787" w:type="dxa"/>
                </w:tcPr>
                <w:p>
                  <w:pPr>
                    <w:numPr>
                      <w:ilvl w:val="0"/>
                      <w:numId w:val="0"/>
                    </w:numPr>
                    <w:autoSpaceDE w:val="0"/>
                    <w:autoSpaceDN w:val="0"/>
                    <w:spacing w:line="240" w:lineRule="auto"/>
                    <w:jc w:val="center"/>
                    <w:rPr>
                      <w:rFonts w:hint="eastAsia" w:eastAsia="黑体" w:cs="Times New Roman"/>
                      <w:color w:val="000000" w:themeColor="text1"/>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1"/>
                      <w:szCs w:val="21"/>
                      <w14:textFill>
                        <w14:solidFill>
                          <w14:schemeClr w14:val="tx1"/>
                        </w14:solidFill>
                      </w14:textFill>
                    </w:rPr>
                    <w:t>照片</w:t>
                  </w:r>
                  <w:r>
                    <w:rPr>
                      <w:rFonts w:hint="eastAsia" w:ascii="Times New Roman" w:hAnsi="Times New Roman" w:eastAsia="宋体" w:cs="Times New Roman"/>
                      <w:b w:val="0"/>
                      <w:bCs/>
                      <w:color w:val="000000" w:themeColor="text1"/>
                      <w:sz w:val="21"/>
                      <w:szCs w:val="21"/>
                      <w:lang w:val="en-US" w:eastAsia="zh-CN"/>
                      <w14:textFill>
                        <w14:solidFill>
                          <w14:schemeClr w14:val="tx1"/>
                        </w14:solidFill>
                      </w14:textFill>
                    </w:rPr>
                    <w:t>3</w:t>
                  </w:r>
                  <w:r>
                    <w:rPr>
                      <w:rFonts w:hint="eastAsia" w:ascii="Times New Roman" w:hAnsi="Times New Roman" w:eastAsia="宋体" w:cs="Times New Roman"/>
                      <w:b w:val="0"/>
                      <w:bCs/>
                      <w:color w:val="000000" w:themeColor="text1"/>
                      <w:sz w:val="21"/>
                      <w:szCs w:val="21"/>
                      <w14:textFill>
                        <w14:solidFill>
                          <w14:schemeClr w14:val="tx1"/>
                        </w14:solidFill>
                      </w14:textFill>
                    </w:rPr>
                    <w:t>-2  潮水盆地地形地貌</w:t>
                  </w:r>
                </w:p>
              </w:tc>
            </w:tr>
          </w:tbl>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3、地质</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color w:val="000000" w:themeColor="text1"/>
                <w:sz w:val="24"/>
                <w:lang w:val="en-US" w:eastAsia="zh-CN"/>
                <w14:textFill>
                  <w14:solidFill>
                    <w14:schemeClr w14:val="tx1"/>
                  </w14:solidFill>
                </w14:textFill>
              </w:rPr>
              <w:t>位于古亚洲洋与特提斯洋构造的交汇部位，处于中朝克拉通与塔里木克拉通、天山—兴安造山系与秦岭—祁连山−昆仑造山系的交切、复合地带。按板块构造观点，整体上位于哈萨克斯坦板块、华北板块和塔里木—卡拉库姆板块的交汇处</w:t>
            </w:r>
            <w:r>
              <w:rPr>
                <w:rFonts w:hint="eastAsia" w:cs="Times New Roman"/>
                <w:color w:val="000000" w:themeColor="text1"/>
                <w:sz w:val="24"/>
                <w:lang w:val="en-US" w:eastAsia="zh-CN"/>
                <w14:textFill>
                  <w14:solidFill>
                    <w14:schemeClr w14:val="tx1"/>
                  </w14:solidFill>
                </w14:textFill>
              </w:rPr>
              <w:t>，见</w:t>
            </w:r>
            <w:r>
              <w:rPr>
                <w:rFonts w:hint="eastAsia" w:ascii="Times New Roman" w:hAnsi="Times New Roman" w:eastAsia="宋体" w:cs="Times New Roman"/>
                <w:color w:val="000000" w:themeColor="text1"/>
                <w:sz w:val="24"/>
                <w:lang w:val="en-US" w:eastAsia="zh-CN"/>
                <w14:textFill>
                  <w14:solidFill>
                    <w14:schemeClr w14:val="tx1"/>
                  </w14:solidFill>
                </w14:textFill>
              </w:rPr>
              <w:t>图3-2。</w:t>
            </w:r>
          </w:p>
          <w:p>
            <w:pPr>
              <w:numPr>
                <w:ilvl w:val="0"/>
                <w:numId w:val="0"/>
              </w:numPr>
              <w:autoSpaceDE w:val="0"/>
              <w:autoSpaceDN w:val="0"/>
              <w:spacing w:line="360" w:lineRule="auto"/>
              <w:jc w:val="center"/>
              <w:rPr>
                <w:rFonts w:hint="eastAsia"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drawing>
                <wp:inline distT="0" distB="0" distL="114300" distR="114300">
                  <wp:extent cx="4934585" cy="3383915"/>
                  <wp:effectExtent l="0" t="0" r="5715" b="6985"/>
                  <wp:docPr id="3" name="图片 3" descr="655111352330414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655111352330414679"/>
                          <pic:cNvPicPr>
                            <a:picLocks noChangeAspect="1"/>
                          </pic:cNvPicPr>
                        </pic:nvPicPr>
                        <pic:blipFill>
                          <a:blip r:embed="rId12"/>
                          <a:stretch>
                            <a:fillRect/>
                          </a:stretch>
                        </pic:blipFill>
                        <pic:spPr>
                          <a:xfrm>
                            <a:off x="0" y="0"/>
                            <a:ext cx="4934585" cy="3383915"/>
                          </a:xfrm>
                          <a:prstGeom prst="rect">
                            <a:avLst/>
                          </a:prstGeom>
                        </pic:spPr>
                      </pic:pic>
                    </a:graphicData>
                  </a:graphic>
                </wp:inline>
              </w:drawing>
            </w:r>
          </w:p>
          <w:p>
            <w:pPr>
              <w:spacing w:line="240" w:lineRule="auto"/>
              <w:jc w:val="center"/>
              <w:rPr>
                <w:rFonts w:hint="eastAsia" w:ascii="Times New Roman" w:hAnsi="Times New Roman" w:eastAsia="宋体" w:cs="Times New Roman"/>
                <w:b w:val="0"/>
                <w:bCs/>
                <w:color w:val="000000" w:themeColor="text1"/>
                <w:sz w:val="24"/>
                <w:szCs w:val="24"/>
                <w14:textFill>
                  <w14:solidFill>
                    <w14:schemeClr w14:val="tx1"/>
                  </w14:solidFill>
                </w14:textFill>
              </w:rPr>
            </w:pPr>
            <w:r>
              <w:rPr>
                <w:rFonts w:hint="eastAsia" w:ascii="Times New Roman" w:hAnsi="Times New Roman" w:eastAsia="宋体" w:cs="Times New Roman"/>
                <w:b w:val="0"/>
                <w:bCs/>
                <w:color w:val="000000" w:themeColor="text1"/>
                <w:sz w:val="24"/>
                <w:szCs w:val="24"/>
                <w14:textFill>
                  <w14:solidFill>
                    <w14:schemeClr w14:val="tx1"/>
                  </w14:solidFill>
                </w14:textFill>
              </w:rPr>
              <w:t>图</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3</w:t>
            </w:r>
            <w:r>
              <w:rPr>
                <w:rFonts w:hint="eastAsia" w:ascii="Times New Roman" w:hAnsi="Times New Roman" w:eastAsia="宋体" w:cs="Times New Roman"/>
                <w:b w:val="0"/>
                <w:bCs/>
                <w:color w:val="000000" w:themeColor="text1"/>
                <w:sz w:val="24"/>
                <w:szCs w:val="24"/>
                <w14:textFill>
                  <w14:solidFill>
                    <w14:schemeClr w14:val="tx1"/>
                  </w14:solidFill>
                </w14:textFill>
              </w:rPr>
              <w:t>-</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b w:val="0"/>
                <w:bCs/>
                <w:color w:val="000000" w:themeColor="text1"/>
                <w:sz w:val="24"/>
                <w:szCs w:val="24"/>
                <w14:textFill>
                  <w14:solidFill>
                    <w14:schemeClr w14:val="tx1"/>
                  </w14:solidFill>
                </w14:textFill>
              </w:rPr>
              <w:t xml:space="preserve">  </w:t>
            </w:r>
            <w:r>
              <w:rPr>
                <w:rFonts w:hint="eastAsia" w:cs="Times New Roman"/>
                <w:b w:val="0"/>
                <w:bCs/>
                <w:color w:val="000000" w:themeColor="text1"/>
                <w:sz w:val="24"/>
                <w:szCs w:val="24"/>
                <w:lang w:eastAsia="zh-CN"/>
                <w14:textFill>
                  <w14:solidFill>
                    <w14:schemeClr w14:val="tx1"/>
                  </w14:solidFill>
                </w14:textFill>
              </w:rPr>
              <w:t>勘查区</w:t>
            </w:r>
            <w:r>
              <w:rPr>
                <w:rFonts w:hint="eastAsia" w:ascii="Times New Roman" w:hAnsi="Times New Roman" w:eastAsia="宋体" w:cs="Times New Roman"/>
                <w:b w:val="0"/>
                <w:bCs/>
                <w:color w:val="000000" w:themeColor="text1"/>
                <w:sz w:val="24"/>
                <w:szCs w:val="24"/>
                <w14:textFill>
                  <w14:solidFill>
                    <w14:schemeClr w14:val="tx1"/>
                  </w14:solidFill>
                </w14:textFill>
              </w:rPr>
              <w:t>大地构造位置图（据中国石油地质志1989，改编）</w:t>
            </w:r>
          </w:p>
          <w:p>
            <w:pPr>
              <w:spacing w:line="240" w:lineRule="auto"/>
              <w:jc w:val="center"/>
              <w:rPr>
                <w:rFonts w:hint="eastAsia" w:ascii="Times New Roman" w:hAnsi="Times New Roman" w:eastAsia="仿宋_GB2312" w:cs="Times New Roman"/>
                <w:b w:val="0"/>
                <w:bCs/>
                <w:color w:val="000000" w:themeColor="text1"/>
                <w:sz w:val="21"/>
                <w:szCs w:val="21"/>
                <w14:textFill>
                  <w14:solidFill>
                    <w14:schemeClr w14:val="tx1"/>
                  </w14:solidFill>
                </w14:textFill>
              </w:rPr>
            </w:pPr>
            <w:r>
              <w:rPr>
                <w:rFonts w:hint="eastAsia" w:ascii="Times New Roman" w:hAnsi="Times New Roman" w:eastAsia="仿宋_GB2312" w:cs="Times New Roman"/>
                <w:b w:val="0"/>
                <w:bCs/>
                <w:color w:val="000000" w:themeColor="text1"/>
                <w:sz w:val="21"/>
                <w:szCs w:val="21"/>
                <w14:textFill>
                  <w14:solidFill>
                    <w14:schemeClr w14:val="tx1"/>
                  </w14:solidFill>
                </w14:textFill>
              </w:rPr>
              <w:t>1-沉积盆地；2-加里东期缝合线；3-海西期缝合线；4-印支期缝合线；5-燕山期缝合线；</w:t>
            </w:r>
          </w:p>
          <w:p>
            <w:pPr>
              <w:spacing w:line="240" w:lineRule="auto"/>
              <w:jc w:val="center"/>
              <w:rPr>
                <w:rFonts w:hint="eastAsia" w:ascii="Times New Roman" w:hAnsi="Times New Roman" w:eastAsia="仿宋_GB2312" w:cs="Times New Roman"/>
                <w:b w:val="0"/>
                <w:bCs/>
                <w:color w:val="000000" w:themeColor="text1"/>
                <w:sz w:val="24"/>
                <w:szCs w:val="24"/>
                <w14:textFill>
                  <w14:solidFill>
                    <w14:schemeClr w14:val="tx1"/>
                  </w14:solidFill>
                </w14:textFill>
              </w:rPr>
            </w:pPr>
            <w:r>
              <w:rPr>
                <w:rFonts w:hint="eastAsia" w:ascii="Times New Roman" w:hAnsi="Times New Roman" w:eastAsia="仿宋_GB2312" w:cs="Times New Roman"/>
                <w:b w:val="0"/>
                <w:bCs/>
                <w:color w:val="000000" w:themeColor="text1"/>
                <w:sz w:val="21"/>
                <w:szCs w:val="21"/>
                <w14:textFill>
                  <w14:solidFill>
                    <w14:schemeClr w14:val="tx1"/>
                  </w14:solidFill>
                </w14:textFill>
              </w:rPr>
              <w:t>6-喜山期缝合线；7-正断层；8-逆冲断层；9-蛇绿岩；10-</w:t>
            </w:r>
            <w:r>
              <w:rPr>
                <w:rFonts w:hint="eastAsia" w:eastAsia="仿宋_GB2312" w:cs="Times New Roman"/>
                <w:b w:val="0"/>
                <w:bCs/>
                <w:color w:val="000000" w:themeColor="text1"/>
                <w:sz w:val="21"/>
                <w:szCs w:val="21"/>
                <w:lang w:eastAsia="zh-CN"/>
                <w14:textFill>
                  <w14:solidFill>
                    <w14:schemeClr w14:val="tx1"/>
                  </w14:solidFill>
                </w14:textFill>
              </w:rPr>
              <w:t>勘查区</w:t>
            </w:r>
            <w:r>
              <w:rPr>
                <w:rFonts w:hint="eastAsia" w:ascii="Times New Roman" w:hAnsi="Times New Roman" w:eastAsia="仿宋_GB2312" w:cs="Times New Roman"/>
                <w:b w:val="0"/>
                <w:bCs/>
                <w:color w:val="000000" w:themeColor="text1"/>
                <w:sz w:val="21"/>
                <w:szCs w:val="21"/>
                <w14:textFill>
                  <w14:solidFill>
                    <w14:schemeClr w14:val="tx1"/>
                  </w14:solidFill>
                </w14:textFill>
              </w:rPr>
              <w:t>范围</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color w:val="000000" w:themeColor="text1"/>
                <w:sz w:val="24"/>
                <w:lang w:val="en-US" w:eastAsia="zh-CN"/>
                <w14:textFill>
                  <w14:solidFill>
                    <w14:schemeClr w14:val="tx1"/>
                  </w14:solidFill>
                </w14:textFill>
              </w:rPr>
              <w:t>北部巴丹吉林盆地和北山地区属于天山－兴蒙褶皱带的一部分，二者以阿尔金断裂为界又分别归属天山褶皱系和内蒙－大兴安岭褶皱系构造带；</w:t>
            </w:r>
            <w:r>
              <w:rPr>
                <w:rFonts w:hint="eastAsia" w:cs="Times New Roman"/>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color w:val="000000" w:themeColor="text1"/>
                <w:sz w:val="24"/>
                <w:lang w:val="en-US" w:eastAsia="zh-CN"/>
                <w14:textFill>
                  <w14:solidFill>
                    <w14:schemeClr w14:val="tx1"/>
                  </w14:solidFill>
                </w14:textFill>
              </w:rPr>
              <w:t>南部的走廊诸盆地则位于祁连褶皱系北部次级构造单元走廊过渡带之上；夹于其间的敦煌、潮水等盆地则分别位于塔里木－卡拉库姆板块和华北板块之上。</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4、气候气象</w:t>
            </w:r>
          </w:p>
          <w:p>
            <w:pPr>
              <w:numPr>
                <w:ilvl w:val="0"/>
                <w:numId w:val="0"/>
              </w:numPr>
              <w:autoSpaceDE w:val="0"/>
              <w:autoSpaceDN w:val="0"/>
              <w:spacing w:line="360" w:lineRule="auto"/>
              <w:ind w:firstLine="480" w:firstLineChars="200"/>
              <w:rPr>
                <w:rFonts w:hint="eastAsia" w:eastAsia="黑体" w:cs="Times New Roman"/>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涉及</w:t>
            </w:r>
            <w:r>
              <w:rPr>
                <w:rFonts w:hint="eastAsia" w:cs="Times New Roman"/>
                <w:color w:val="000000" w:themeColor="text1"/>
                <w:sz w:val="24"/>
                <w:lang w:val="en-US" w:eastAsia="zh-CN"/>
                <w14:textFill>
                  <w14:solidFill>
                    <w14:schemeClr w14:val="tx1"/>
                  </w14:solidFill>
                </w14:textFill>
              </w:rPr>
              <w:t>内蒙古自治区阿拉善盟，</w:t>
            </w:r>
            <w:r>
              <w:rPr>
                <w:rFonts w:hint="default" w:ascii="Times New Roman" w:hAnsi="Times New Roman" w:cs="Times New Roman"/>
                <w:color w:val="000000" w:themeColor="text1"/>
                <w:sz w:val="24"/>
                <w:lang w:val="en-US" w:eastAsia="zh-CN"/>
                <w14:textFill>
                  <w14:solidFill>
                    <w14:schemeClr w14:val="tx1"/>
                  </w14:solidFill>
                </w14:textFill>
              </w:rPr>
              <w:t>甘肃省张掖市、</w:t>
            </w:r>
            <w:r>
              <w:rPr>
                <w:rFonts w:hint="eastAsia" w:ascii="Times New Roman" w:hAnsi="Times New Roman" w:cs="Times New Roman"/>
                <w:color w:val="000000" w:themeColor="text1"/>
                <w:sz w:val="24"/>
                <w:lang w:val="en-US" w:eastAsia="zh-CN"/>
                <w14:textFill>
                  <w14:solidFill>
                    <w14:schemeClr w14:val="tx1"/>
                  </w14:solidFill>
                </w14:textFill>
              </w:rPr>
              <w:t>武威市</w:t>
            </w:r>
            <w:r>
              <w:rPr>
                <w:rFonts w:hint="default" w:ascii="Times New Roman" w:hAnsi="Times New Roman" w:cs="Times New Roman"/>
                <w:color w:val="000000" w:themeColor="text1"/>
                <w:sz w:val="24"/>
                <w:lang w:val="en-US" w:eastAsia="zh-CN"/>
                <w14:textFill>
                  <w14:solidFill>
                    <w14:schemeClr w14:val="tx1"/>
                  </w14:solidFill>
                </w14:textFill>
              </w:rPr>
              <w:t>、酒泉市</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嘉峪关市</w:t>
            </w:r>
            <w:r>
              <w:rPr>
                <w:rFonts w:hint="eastAsia" w:ascii="Times New Roman" w:hAnsi="Times New Roman" w:cs="Times New Roman"/>
                <w:color w:val="000000" w:themeColor="text1"/>
                <w:sz w:val="24"/>
                <w:lang w:val="en-US" w:eastAsia="zh-CN"/>
                <w14:textFill>
                  <w14:solidFill>
                    <w14:schemeClr w14:val="tx1"/>
                  </w14:solidFill>
                </w14:textFill>
              </w:rPr>
              <w:t>和金昌市</w:t>
            </w:r>
            <w:r>
              <w:rPr>
                <w:rFonts w:hint="default" w:ascii="Times New Roman" w:hAnsi="Times New Roman" w:cs="Times New Roman"/>
                <w:color w:val="000000" w:themeColor="text1"/>
                <w:sz w:val="24"/>
                <w:lang w:val="en-US" w:eastAsia="zh-CN"/>
                <w14:textFill>
                  <w14:solidFill>
                    <w14:schemeClr w14:val="tx1"/>
                  </w14:solidFill>
                </w14:textFill>
              </w:rPr>
              <w:t>。</w:t>
            </w:r>
          </w:p>
          <w:p>
            <w:pPr>
              <w:numPr>
                <w:ilvl w:val="0"/>
                <w:numId w:val="0"/>
              </w:numPr>
              <w:autoSpaceDE w:val="0"/>
              <w:autoSpaceDN w:val="0"/>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（1）</w:t>
            </w:r>
            <w:r>
              <w:rPr>
                <w:rFonts w:hint="eastAsia" w:cs="Times New Roman"/>
                <w:color w:val="000000" w:themeColor="text1"/>
                <w:sz w:val="24"/>
                <w:lang w:val="en-US" w:eastAsia="zh-CN"/>
                <w14:textFill>
                  <w14:solidFill>
                    <w14:schemeClr w14:val="tx1"/>
                  </w14:solidFill>
                </w14:textFill>
              </w:rPr>
              <w:t>内蒙古自治区阿拉善盟</w:t>
            </w:r>
            <w:r>
              <w:rPr>
                <w:rFonts w:hint="eastAsia" w:ascii="Times New Roman" w:hAnsi="Times New Roman" w:eastAsia="宋体" w:cs="Times New Roman"/>
                <w:color w:val="000000" w:themeColor="text1"/>
                <w:sz w:val="24"/>
                <w:lang w:val="en-US" w:eastAsia="zh-CN"/>
                <w14:textFill>
                  <w14:solidFill>
                    <w14:schemeClr w14:val="tx1"/>
                  </w14:solidFill>
                </w14:textFill>
              </w:rPr>
              <w:t>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阿拉善盟地处亚洲大陆腹地，为内陆高原，远离海洋，属于典型的大陆性季风气候。四季气候特征明显，昼夜温差大，降水量由东南部向西北部递减，蒸发量由东南部向西北部递增。年平均气温7.9—10℃，极端最低气温-35.3℃（达来呼布，1964年2月9日），极端最高气温44.8℃（拐子湖，1988年7月24日）。1月平均气温-10.9—-7.5℃，7月平均气温23.5—28.4℃。年降水量39.3—224.2mm。蒸发量（4-10月）1212.5—2315.8mm。年无霜期142—174天。年日照时数2993—3345小时。年平均风速2.4—4.6米/秒。阿拉善盟北部盛行偏西风，南部多东南风。</w:t>
            </w:r>
          </w:p>
          <w:p>
            <w:pPr>
              <w:numPr>
                <w:ilvl w:val="0"/>
                <w:numId w:val="0"/>
              </w:numPr>
              <w:autoSpaceDE w:val="0"/>
              <w:autoSpaceDN w:val="0"/>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（2）甘肃省张掖市气候气象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张掖属于典型的温带大陆性干旱气候，日照时间长，光热资源充足，冬寒夏暖，四季分明，这里的年平均降水量仅130mm左右，平均气温为7℃左右，每年降雨比较集中的6到9月份是到张掖旅游的最佳时间，此时湿润的空气和凉爽的天气会让人们的旅程倍感舒适。</w:t>
            </w:r>
          </w:p>
          <w:p>
            <w:pPr>
              <w:numPr>
                <w:ilvl w:val="0"/>
                <w:numId w:val="0"/>
              </w:numPr>
              <w:autoSpaceDE w:val="0"/>
              <w:autoSpaceDN w:val="0"/>
              <w:spacing w:line="360" w:lineRule="auto"/>
              <w:ind w:firstLine="480" w:firstLineChars="200"/>
              <w:rPr>
                <w:rFonts w:hint="eastAsia" w:eastAsia="黑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（3）甘肃省酒泉市气候气象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酒泉属中温带半沙漠干旱性气候，其特点为气候干旱降水少，蒸发强烈日照长，冬冷夏热温差大，秋凉春旱多风沙。常年最高温度36.6℃,最低为零下29.8℃，年均温7.5℃，昼夜温差大。全年主导风向是西南风，最大风速26米/秒，年平均降雨量87mm，年平均降雨日数62天。年平均蒸发量2140mm，超过降雨量27倍。年平均日照时数为3000小时左右，日照百分率平均69%，10月份多达78%。无霜期127-158天。</w:t>
            </w:r>
          </w:p>
          <w:p>
            <w:pPr>
              <w:numPr>
                <w:ilvl w:val="0"/>
                <w:numId w:val="0"/>
              </w:numPr>
              <w:autoSpaceDE w:val="0"/>
              <w:autoSpaceDN w:val="0"/>
              <w:spacing w:line="360" w:lineRule="auto"/>
              <w:ind w:firstLine="480" w:firstLineChars="200"/>
              <w:rPr>
                <w:rFonts w:hint="eastAsia" w:eastAsia="黑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（4）甘肃省武威市气候气象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武威市位于甘肃省中部的河西走廊上，这里北邻内蒙，南接青海，气候总体呈现温带大陆性特点。日照充足，温差大，年平均气温8℃左右，年平均降水量170mm左右，日照时数2200-3000小时。武威市可分为三部分，北部荒漠区干旱少雨、风沙较大，中部平原区地势平坦、气候良好，是著名的粮食和水果产区，南部祁连山区凉爽多雨、林木茂盛，是休闲避暑的旅游胜地。每年的夏秋季节是到武威旅游的最佳时间，此时湿润的气候能够让人们的旅途更加舒适。</w:t>
            </w:r>
          </w:p>
          <w:p>
            <w:pPr>
              <w:numPr>
                <w:ilvl w:val="0"/>
                <w:numId w:val="0"/>
              </w:numPr>
              <w:autoSpaceDE w:val="0"/>
              <w:autoSpaceDN w:val="0"/>
              <w:spacing w:line="360" w:lineRule="auto"/>
              <w:ind w:firstLine="480" w:firstLineChars="200"/>
              <w:rPr>
                <w:rFonts w:hint="eastAsia" w:eastAsia="黑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（5）甘肃省嘉峪关市气候气象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嘉峪关市属温带大陆性</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"https://baike.baidu.com/item/%E8%8D%92%E6%BC%A0%E6%B0%94%E5%80%99" \t "https://baike.baidu.com/item/%E5%98%89%E5%B3%AA%E5%85%B3/_blank"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荒漠气候</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，日照长而强烈，降水少，蒸发快，多大风，温差大。年均气温在6.7℃—7.7℃之间，年日照3000.2h。自然降水量年平均85.3mm，蒸发量2149mm，全年无霜期130天左右。</w:t>
            </w:r>
          </w:p>
          <w:p>
            <w:pPr>
              <w:numPr>
                <w:ilvl w:val="0"/>
                <w:numId w:val="0"/>
              </w:numPr>
              <w:autoSpaceDE w:val="0"/>
              <w:autoSpaceDN w:val="0"/>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（6）甘肃省金昌市气候气象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金昌地区属大陆性温带干旱气候，光照充足，降水量少，干燥多风，蒸发量大。年平均气温4.8Ｃ－9.2Ｃ，年日照率51-66%，年降水量140-350mm，多集中在5-9月。无霜期96-186天。</w:t>
            </w:r>
          </w:p>
          <w:p>
            <w:pPr>
              <w:numPr>
                <w:ilvl w:val="0"/>
                <w:numId w:val="0"/>
              </w:numPr>
              <w:autoSpaceDE w:val="0"/>
              <w:autoSpaceDN w:val="0"/>
              <w:spacing w:line="360" w:lineRule="auto"/>
              <w:ind w:firstLine="480" w:firstLineChars="200"/>
              <w:rPr>
                <w:rFonts w:hint="eastAsia"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5、水文</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水文</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勘查区内</w:t>
            </w:r>
            <w:r>
              <w:rPr>
                <w:rFonts w:hint="eastAsia"/>
                <w:color w:val="000000" w:themeColor="text1"/>
                <w:sz w:val="24"/>
                <w14:textFill>
                  <w14:solidFill>
                    <w14:schemeClr w14:val="tx1"/>
                  </w14:solidFill>
                </w14:textFill>
              </w:rPr>
              <w:t>地表水及地下水均不发育，</w:t>
            </w:r>
            <w:r>
              <w:rPr>
                <w:rFonts w:hint="eastAsia"/>
                <w:color w:val="000000" w:themeColor="text1"/>
                <w:sz w:val="24"/>
                <w:lang w:val="en-US" w:eastAsia="zh-CN"/>
                <w14:textFill>
                  <w14:solidFill>
                    <w14:schemeClr w14:val="tx1"/>
                  </w14:solidFill>
                </w14:textFill>
              </w:rPr>
              <w:t>主要河流为黑河、北大河、疏勒河、党河、石羊河和洪水河。</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黑河：</w:t>
            </w:r>
            <w:r>
              <w:rPr>
                <w:rFonts w:hint="eastAsia"/>
                <w:color w:val="000000" w:themeColor="text1"/>
                <w:sz w:val="24"/>
                <w14:textFill>
                  <w14:solidFill>
                    <w14:schemeClr w14:val="tx1"/>
                  </w14:solidFill>
                </w14:textFill>
              </w:rPr>
              <w:t>发源于祁连山北麓，流至巴彦宝格德水闸后分两支，西为木仁高勒（西河），注入嘎顺淖尔（亦称西居延海）；东为鄂木讷高勒（东河），分数支注入苏泊淖尔（亦称东居延海）、京斯田淖尔（又称古居延海、天鹅湖）和沙日淖尔。在其浇灌下形成著名的额济纳旗沙漠绿洲与著名的胡杨林。</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北大河：源于青海省祁连山区纳嘎尔当沼泽地，西北流入甘肃省境，经陶赖山（托勒山）与陶赖南山间宽广的谷地，汇南北两山30多条支流，北流过镜铁山，出祁连山进入河西走廊，称北大河，东北流经嘉峪关市南入酒泉市境，汇南来的洪水坝河、丰乐河；再东北流切穿走廊北山（夹山），过鸳鸯池和解放村水库，经金塔绿洲，至鼎新入黑河。因水流被水库拦蓄，灌溉金塔绿洲，下游河床终年干涸。全长360km（实算358.2km），青海省长108.2km</w:t>
            </w:r>
            <w:bookmarkStart w:id="4" w:name="ref_8"/>
            <w:bookmarkEnd w:id="4"/>
            <w:r>
              <w:rPr>
                <w:rFonts w:hint="eastAsia" w:ascii="Times New Roman" w:hAnsi="Times New Roman" w:eastAsia="宋体" w:cs="Times New Roman"/>
                <w:color w:val="000000" w:themeColor="text1"/>
                <w:sz w:val="24"/>
                <w:lang w:val="en-US" w:eastAsia="zh-CN"/>
                <w14:textFill>
                  <w14:solidFill>
                    <w14:schemeClr w14:val="tx1"/>
                  </w14:solidFill>
                </w14:textFill>
              </w:rPr>
              <w:t>，甘肃省内长250km。冰沟水文站以上流域面积6880km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，总流域面积1.9万多</w:t>
            </w:r>
            <w:bookmarkStart w:id="5" w:name="ref_5"/>
            <w:bookmarkEnd w:id="5"/>
            <w:r>
              <w:rPr>
                <w:rFonts w:hint="eastAsia" w:ascii="Times New Roman" w:hAnsi="Times New Roman" w:eastAsia="宋体" w:cs="Times New Roman"/>
                <w:color w:val="000000" w:themeColor="text1"/>
                <w:sz w:val="24"/>
                <w:lang w:val="en-US" w:eastAsia="zh-CN"/>
                <w14:textFill>
                  <w14:solidFill>
                    <w14:schemeClr w14:val="tx1"/>
                  </w14:solidFill>
                </w14:textFill>
              </w:rPr>
              <w:t>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。年径流总量6.53亿立方米，靠山区降水和冰雪融补给。是嘉峪关市、酒泉市和金塔县城乡和工农业用水的主要水源。</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疏勒河：源于祁连山区疏勒南山与陶赖南山之间的疏勒脑,西北流经沼泽地，汇高山积雪和冰川融水及山区降水，至花儿地折向北流入昌马盆地，称昌马河。出昌马盆地，过昌马峡人河西走廊冲积洪积平原。河道呈放射状，水流大量渗漏，成为潜流；至冲积扇前缘出露形成10道沟泉水河；诸河北流至布隆吉汇合为布隆吉河，亦称疏勒河。再西流经双塔水库，过安西，至敦煌市北，党河由南注人，再西流注人哈拉湖。全长580km。流域面积3.95万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。疏勒河在史前曾注入新疆罗布泊，由于气候变化和人类活动的影响，今尾间已退缩到安西西湖一带。</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党河：源出</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"https://baike.baidu.com/item/%E8%82%83%E5%8C%97%E8%92%99%E5%8F%A4%E6%97%8F%E8%87%AA%E6%B2%BB%E5%8E%BF/10539228" \t "https://baike.baidu.com/item/%E5%85%9A%E6%B2%B3/_blank"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肃北蒙古族自治县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巴音泽尔肯乌拉和崩坤达坂，西北流至</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"https://baike.baidu.com/item/%E9%B8%A3%E6%B2%99%E5%B1%B1/522366" \t "https://baike.baidu.com/item/%E5%85%9A%E6%B2%B3/_blank"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鸣沙山</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，经</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"https://baike.baidu.com/item/%E5%85%9A%E6%B2%B3%E6%B0%B4%E5%BA%93/8167334" \t "https://baike.baidu.com/item/%E5%85%9A%E6%B2%B3/_blank"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党河水库</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，拐向东北，入敦煌绿洲，至</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"https://baike.baidu.com/item/%E6%95%A6%E7%85%8C%E5%B8%82/3725231" \t "https://baike.baidu.com/item/%E5%85%9A%E6%B2%B3/_blank"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敦煌市</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，原在北土窑墩注入疏勒河，并最终消耗于敦煌西湖。全长390km，流域面积1.7万km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。年径流量2.89亿m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z w:val="24"/>
                <w:lang w:val="en-US" w:eastAsia="zh-CN"/>
                <w14:textFill>
                  <w14:solidFill>
                    <w14:schemeClr w14:val="tx1"/>
                  </w14:solidFill>
                </w14:textFill>
              </w:rPr>
              <w:t>(沙枣园水文站)。党河主要依靠冰川冰雪融水、泉水和大气降水补给，冰川融水补给量约占党河全年径流的39.8%。是肃北、敦煌人民的母亲河，肃北、敦煌的生活、工业用水，农业灌溉离不开党河，著名的</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"https://baike.baidu.com/item/%E8%8E%AB%E9%AB%98%E7%AA%9F/303038" \t "https://baike.baidu.com/item/%E5%85%9A%E6%B2%B3/_blank"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莫高窟</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"https://baike.baidu.com/item/%E9%B8%A3%E6%B2%99%E5%B1%B1/522366" \t "https://baike.baidu.com/item/%E5%85%9A%E6%B2%B3/_blank"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鸣沙山</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"https://baike.baidu.com/item/%E6%9C%88%E7%89%99%E6%B3%89/4562" \t "https://baike.baidu.com/item/%E5%85%9A%E6%B2%B3/_blank"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月牙泉</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，都与党河和有不可分割的联系。</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石羊河：古</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"https://baike.baidu.com/item/%E4%BC%91%E5%B1%A0%E6%B3%BD" \t "https://baike.baidu.com/item/%E7%9F%B3%E7%BE%8A%E6%B2%B3/_blank"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休屠泽</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水系支流。是甘肃省河西走廊内流水系的第三大河，古名谷水。发源于祁连山脉东段冷龙岭北侧的大雪山，河全长250公里，全水系自东而西，主要支流有大景河、古浪河、黄羊河、金塔河、西营河、东大河及西大河等。河系以雨水补给为主，兼有冰雪融水成分，年径流量15.91亿立方米。上游祁连山区降水丰富，有64.8平方公里冰川和残留林木，是河水源补给地。中游流经走廊平地，形成武威和永昌等绿洲，灌溉农业发达。下游是民勤绿洲，终端湖如白亭海及青土湖等近期均已消失。</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洪水河：洪水河位于酒泉市肃州区向南20km，基本位置在酒泉市老火车站南5km处，洪水河大峡谷，上游地处祁连山的深处，高寒阴湿，有冰川多条。</w:t>
            </w:r>
            <w:r>
              <w:rPr>
                <w:rFonts w:hint="eastAsia" w:cs="Times New Roman"/>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主要河流分布</w:t>
            </w:r>
            <w:r>
              <w:rPr>
                <w:rFonts w:hint="eastAsia" w:cs="Times New Roman"/>
                <w:b w:val="0"/>
                <w:bCs/>
                <w:color w:val="000000" w:themeColor="text1"/>
                <w:sz w:val="24"/>
                <w:szCs w:val="24"/>
                <w:lang w:val="en-US" w:eastAsia="zh-CN"/>
                <w14:textFill>
                  <w14:solidFill>
                    <w14:schemeClr w14:val="tx1"/>
                  </w14:solidFill>
                </w14:textFill>
              </w:rPr>
              <w:t>见图3-3。</w:t>
            </w:r>
          </w:p>
          <w:p>
            <w:pPr>
              <w:pStyle w:val="4"/>
              <w:keepNext/>
              <w:keepLines/>
              <w:pageBreakBefore w:val="0"/>
              <w:widowControl w:val="0"/>
              <w:kinsoku/>
              <w:wordWrap/>
              <w:overflowPunct/>
              <w:topLinePunct w:val="0"/>
              <w:autoSpaceDE/>
              <w:autoSpaceDN/>
              <w:bidi w:val="0"/>
              <w:adjustRightInd/>
              <w:snapToGrid/>
              <w:spacing w:before="0" w:after="0" w:line="360" w:lineRule="auto"/>
              <w:jc w:val="center"/>
              <w:textAlignment w:val="auto"/>
              <w:rPr>
                <w:rFonts w:hint="default" w:cs="Times New Roman"/>
                <w:color w:val="000000" w:themeColor="text1"/>
                <w:sz w:val="24"/>
                <w:szCs w:val="24"/>
                <w:vertAlign w:val="baseline"/>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824220" cy="3312160"/>
                  <wp:effectExtent l="0" t="0" r="5080" b="2540"/>
                  <wp:docPr id="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pic:cNvPicPr>
                            <a:picLocks noChangeAspect="1"/>
                          </pic:cNvPicPr>
                        </pic:nvPicPr>
                        <pic:blipFill>
                          <a:blip r:embed="rId13"/>
                          <a:stretch>
                            <a:fillRect/>
                          </a:stretch>
                        </pic:blipFill>
                        <pic:spPr>
                          <a:xfrm>
                            <a:off x="0" y="0"/>
                            <a:ext cx="5824220" cy="3312160"/>
                          </a:xfrm>
                          <a:prstGeom prst="rect">
                            <a:avLst/>
                          </a:prstGeom>
                          <a:noFill/>
                          <a:ln>
                            <a:noFill/>
                          </a:ln>
                        </pic:spPr>
                      </pic:pic>
                    </a:graphicData>
                  </a:graphic>
                </wp:inline>
              </w:drawing>
            </w:r>
          </w:p>
          <w:p>
            <w:pPr>
              <w:spacing w:line="240" w:lineRule="auto"/>
              <w:jc w:val="cente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图3-3  主要河流分布示意图</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（2）湖泊</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苏泊淖尔：</w:t>
            </w:r>
            <w:r>
              <w:rPr>
                <w:rFonts w:hint="eastAsia" w:cs="Times New Roman"/>
                <w:color w:val="000000" w:themeColor="text1"/>
                <w:sz w:val="24"/>
                <w:lang w:val="en-US" w:eastAsia="zh-CN"/>
                <w14:textFill>
                  <w14:solidFill>
                    <w14:schemeClr w14:val="tx1"/>
                  </w14:solidFill>
                </w14:textFill>
              </w:rPr>
              <w:t>位于</w:t>
            </w:r>
            <w:r>
              <w:rPr>
                <w:rFonts w:hint="eastAsia" w:ascii="Times New Roman" w:hAnsi="Times New Roman" w:eastAsia="宋体" w:cs="Times New Roman"/>
                <w:color w:val="000000" w:themeColor="text1"/>
                <w:sz w:val="24"/>
                <w:lang w:val="en-US" w:eastAsia="zh-CN"/>
                <w14:textFill>
                  <w14:solidFill>
                    <w14:schemeClr w14:val="tx1"/>
                  </w14:solidFill>
                </w14:textFill>
              </w:rPr>
              <w:t>额济纳北部辽阔的草原上（汉族称“东居延海”），有一个圆如盈月的大湖泊</w:t>
            </w:r>
            <w:r>
              <w:rPr>
                <w:rFonts w:hint="eastAsia"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被当地牧人叫“苏泊淖尔”。</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嘎顺淖尔：</w:t>
            </w:r>
            <w:r>
              <w:rPr>
                <w:rFonts w:hint="eastAsia" w:cs="Times New Roman"/>
                <w:color w:val="000000" w:themeColor="text1"/>
                <w:sz w:val="24"/>
                <w:lang w:val="en-US" w:eastAsia="zh-CN"/>
                <w14:textFill>
                  <w14:solidFill>
                    <w14:schemeClr w14:val="tx1"/>
                  </w14:solidFill>
                </w14:textFill>
              </w:rPr>
              <w:t>位于</w:t>
            </w:r>
            <w:r>
              <w:rPr>
                <w:rFonts w:hint="eastAsia" w:ascii="Times New Roman" w:hAnsi="Times New Roman" w:eastAsia="宋体" w:cs="Times New Roman"/>
                <w:color w:val="000000" w:themeColor="text1"/>
                <w:sz w:val="24"/>
                <w:lang w:val="en-US" w:eastAsia="zh-CN"/>
                <w14:textFill>
                  <w14:solidFill>
                    <w14:schemeClr w14:val="tx1"/>
                  </w14:solidFill>
                </w14:textFill>
              </w:rPr>
              <w:t>额济纳</w:t>
            </w:r>
            <w:r>
              <w:rPr>
                <w:rFonts w:hint="eastAsia" w:cs="Times New Roman"/>
                <w:color w:val="000000" w:themeColor="text1"/>
                <w:sz w:val="24"/>
                <w:lang w:val="en-US" w:eastAsia="zh-CN"/>
                <w14:textFill>
                  <w14:solidFill>
                    <w14:schemeClr w14:val="tx1"/>
                  </w14:solidFill>
                </w14:textFill>
              </w:rPr>
              <w:t>西</w:t>
            </w:r>
            <w:r>
              <w:rPr>
                <w:rFonts w:hint="eastAsia" w:ascii="Times New Roman" w:hAnsi="Times New Roman" w:eastAsia="宋体" w:cs="Times New Roman"/>
                <w:color w:val="000000" w:themeColor="text1"/>
                <w:sz w:val="24"/>
                <w:lang w:val="en-US" w:eastAsia="zh-CN"/>
                <w14:textFill>
                  <w14:solidFill>
                    <w14:schemeClr w14:val="tx1"/>
                  </w14:solidFill>
                </w14:textFill>
              </w:rPr>
              <w:t>部辽阔的草原上（汉族称“</w:t>
            </w:r>
            <w:r>
              <w:rPr>
                <w:rFonts w:hint="eastAsia" w:cs="Times New Roman"/>
                <w:color w:val="000000" w:themeColor="text1"/>
                <w:sz w:val="24"/>
                <w:lang w:val="en-US" w:eastAsia="zh-CN"/>
                <w14:textFill>
                  <w14:solidFill>
                    <w14:schemeClr w14:val="tx1"/>
                  </w14:solidFill>
                </w14:textFill>
              </w:rPr>
              <w:t>西</w:t>
            </w:r>
            <w:r>
              <w:rPr>
                <w:rFonts w:hint="eastAsia" w:ascii="Times New Roman" w:hAnsi="Times New Roman" w:eastAsia="宋体" w:cs="Times New Roman"/>
                <w:color w:val="000000" w:themeColor="text1"/>
                <w:sz w:val="24"/>
                <w:lang w:val="en-US" w:eastAsia="zh-CN"/>
                <w14:textFill>
                  <w14:solidFill>
                    <w14:schemeClr w14:val="tx1"/>
                  </w14:solidFill>
                </w14:textFill>
              </w:rPr>
              <w:t>居延海”）</w:t>
            </w:r>
            <w:r>
              <w:rPr>
                <w:rFonts w:hint="eastAsia" w:cs="Times New Roman"/>
                <w:color w:val="000000" w:themeColor="text1"/>
                <w:sz w:val="24"/>
                <w:lang w:val="en-US" w:eastAsia="zh-CN"/>
                <w14:textFill>
                  <w14:solidFill>
                    <w14:schemeClr w14:val="tx1"/>
                  </w14:solidFill>
                </w14:textFill>
              </w:rPr>
              <w:t>。</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额日央川吉音淖尔：位于额济纳东部辽阔的草原上，俗称“天鹅湖”。</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河西新湖：位于内蒙古自治区阿拉善盟的湖泊，面积约为9.3</w:t>
            </w:r>
            <w:r>
              <w:rPr>
                <w:rFonts w:hint="eastAsia" w:cs="Times New Roman"/>
                <w:color w:val="000000" w:themeColor="text1"/>
                <w:sz w:val="24"/>
                <w:lang w:val="en-US" w:eastAsia="zh-CN"/>
                <w14:textFill>
                  <w14:solidFill>
                    <w14:schemeClr w14:val="tx1"/>
                  </w14:solidFill>
                </w14:textFill>
              </w:rPr>
              <w:t>km</w:t>
            </w:r>
            <w:r>
              <w:rPr>
                <w:rFonts w:hint="eastAsia"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，属于蒙新高原区。它的一级流域为内流区诸河，二级流域为河西走廊－阿拉善河内流区</w:t>
            </w:r>
            <w:r>
              <w:rPr>
                <w:rFonts w:hint="eastAsia" w:cs="Times New Roman"/>
                <w:color w:val="000000" w:themeColor="text1"/>
                <w:sz w:val="24"/>
                <w:lang w:val="en-US" w:eastAsia="zh-CN"/>
                <w14:textFill>
                  <w14:solidFill>
                    <w14:schemeClr w14:val="tx1"/>
                  </w14:solidFill>
                </w14:textFill>
              </w:rPr>
              <w:t>。</w:t>
            </w:r>
          </w:p>
          <w:p>
            <w:pPr>
              <w:numPr>
                <w:ilvl w:val="0"/>
                <w:numId w:val="0"/>
              </w:numPr>
              <w:autoSpaceDE w:val="0"/>
              <w:autoSpaceDN w:val="0"/>
              <w:spacing w:line="360" w:lineRule="auto"/>
              <w:ind w:firstLine="480" w:firstLineChars="200"/>
              <w:rPr>
                <w:rFonts w:hint="default"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6、动物、植物资源</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详见环境质量状况中生态环境现状调查小节。</w:t>
            </w: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lang w:eastAsia="zh-CN"/>
                <w14:textFill>
                  <w14:solidFill>
                    <w14:schemeClr w14:val="tx1"/>
                  </w14:solidFill>
                </w14:textFill>
              </w:rPr>
            </w:pPr>
          </w:p>
          <w:p>
            <w:pPr>
              <w:rPr>
                <w:rFonts w:hint="eastAsia"/>
                <w:color w:val="000000" w:themeColor="text1"/>
                <w:sz w:val="24"/>
                <w:szCs w:val="24"/>
                <w:lang w:eastAsia="zh-CN"/>
                <w14:textFill>
                  <w14:solidFill>
                    <w14:schemeClr w14:val="tx1"/>
                  </w14:solidFill>
                </w14:textFill>
              </w:rPr>
            </w:pPr>
          </w:p>
          <w:p>
            <w:pPr>
              <w:pStyle w:val="2"/>
              <w:rPr>
                <w:rFonts w:hint="eastAsia"/>
                <w:color w:val="000000" w:themeColor="text1"/>
                <w:sz w:val="24"/>
                <w:szCs w:val="24"/>
                <w:lang w:eastAsia="zh-CN"/>
                <w14:textFill>
                  <w14:solidFill>
                    <w14:schemeClr w14:val="tx1"/>
                  </w14:solidFill>
                </w14:textFill>
              </w:rPr>
            </w:pPr>
          </w:p>
          <w:p>
            <w:pPr>
              <w:rPr>
                <w:rFonts w:hint="eastAsia"/>
                <w:color w:val="000000" w:themeColor="text1"/>
                <w:lang w:eastAsia="zh-CN"/>
                <w14:textFill>
                  <w14:solidFill>
                    <w14:schemeClr w14:val="tx1"/>
                  </w14:solidFill>
                </w14:textFill>
              </w:rPr>
            </w:pPr>
          </w:p>
          <w:p>
            <w:pPr>
              <w:numPr>
                <w:ilvl w:val="0"/>
                <w:numId w:val="0"/>
              </w:numPr>
              <w:autoSpaceDE w:val="0"/>
              <w:autoSpaceDN w:val="0"/>
              <w:spacing w:line="360" w:lineRule="auto"/>
              <w:jc w:val="center"/>
              <w:rPr>
                <w:rFonts w:hint="default" w:cs="Times New Roman"/>
                <w:color w:val="000000" w:themeColor="text1"/>
                <w:sz w:val="24"/>
                <w:szCs w:val="24"/>
                <w:vertAlign w:val="baseline"/>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社会环境简况（人口、生活习性等）</w:t>
            </w:r>
          </w:p>
          <w:p>
            <w:pPr>
              <w:autoSpaceDE w:val="0"/>
              <w:autoSpaceDN w:val="0"/>
              <w:spacing w:line="360" w:lineRule="auto"/>
              <w:ind w:left="479" w:leftChars="228" w:firstLine="0" w:firstLineChars="0"/>
              <w:jc w:val="left"/>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涉及</w:t>
            </w:r>
            <w:r>
              <w:rPr>
                <w:rFonts w:hint="eastAsia" w:ascii="Times New Roman" w:hAnsi="Times New Roman" w:cs="Times New Roman"/>
                <w:color w:val="000000" w:themeColor="text1"/>
                <w:sz w:val="24"/>
                <w:lang w:val="en-US" w:eastAsia="zh-CN"/>
                <w14:textFill>
                  <w14:solidFill>
                    <w14:schemeClr w14:val="tx1"/>
                  </w14:solidFill>
                </w14:textFill>
              </w:rPr>
              <w:t>内蒙古自治区阿拉善盟</w:t>
            </w:r>
            <w:r>
              <w:rPr>
                <w:rFonts w:hint="eastAsia"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甘肃省张掖市、</w:t>
            </w:r>
            <w:r>
              <w:rPr>
                <w:rFonts w:hint="eastAsia" w:ascii="Times New Roman" w:hAnsi="Times New Roman" w:cs="Times New Roman"/>
                <w:color w:val="000000" w:themeColor="text1"/>
                <w:sz w:val="24"/>
                <w:lang w:val="en-US" w:eastAsia="zh-CN"/>
                <w14:textFill>
                  <w14:solidFill>
                    <w14:schemeClr w14:val="tx1"/>
                  </w14:solidFill>
                </w14:textFill>
              </w:rPr>
              <w:t>武威市</w:t>
            </w:r>
            <w:r>
              <w:rPr>
                <w:rFonts w:hint="default" w:ascii="Times New Roman" w:hAnsi="Times New Roman" w:cs="Times New Roman"/>
                <w:color w:val="000000" w:themeColor="text1"/>
                <w:sz w:val="24"/>
                <w:lang w:val="en-US" w:eastAsia="zh-CN"/>
                <w14:textFill>
                  <w14:solidFill>
                    <w14:schemeClr w14:val="tx1"/>
                  </w14:solidFill>
                </w14:textFill>
              </w:rPr>
              <w:t>、酒泉市</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嘉峪关市</w:t>
            </w:r>
            <w:r>
              <w:rPr>
                <w:rFonts w:hint="eastAsia" w:ascii="Times New Roman" w:hAnsi="Times New Roman" w:cs="Times New Roman"/>
                <w:color w:val="000000" w:themeColor="text1"/>
                <w:sz w:val="24"/>
                <w:lang w:val="en-US" w:eastAsia="zh-CN"/>
                <w14:textFill>
                  <w14:solidFill>
                    <w14:schemeClr w14:val="tx1"/>
                  </w14:solidFill>
                </w14:textFill>
              </w:rPr>
              <w:t>和金昌</w:t>
            </w:r>
          </w:p>
          <w:p>
            <w:pPr>
              <w:autoSpaceDE w:val="0"/>
              <w:autoSpaceDN w:val="0"/>
              <w:spacing w:line="360" w:lineRule="auto"/>
              <w:jc w:val="left"/>
              <w:rPr>
                <w:rFonts w:hint="default"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市</w:t>
            </w:r>
            <w:r>
              <w:rPr>
                <w:rFonts w:hint="default" w:ascii="Times New Roman" w:hAnsi="Times New Roman" w:cs="Times New Roman"/>
                <w:color w:val="000000" w:themeColor="text1"/>
                <w:sz w:val="24"/>
                <w:lang w:val="en-US" w:eastAsia="zh-CN"/>
                <w14:textFill>
                  <w14:solidFill>
                    <w14:schemeClr w14:val="tx1"/>
                  </w14:solidFill>
                </w14:textFill>
              </w:rPr>
              <w:t>。</w:t>
            </w:r>
          </w:p>
          <w:p>
            <w:pPr>
              <w:autoSpaceDE w:val="0"/>
              <w:autoSpaceDN w:val="0"/>
              <w:spacing w:line="360" w:lineRule="auto"/>
              <w:ind w:firstLine="480" w:firstLineChars="200"/>
              <w:jc w:val="left"/>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1）阿拉善</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color w:val="000000" w:themeColor="text1"/>
                <w:sz w:val="24"/>
                <w14:textFill>
                  <w14:solidFill>
                    <w14:schemeClr w14:val="tx1"/>
                  </w14:solidFill>
                </w14:textFill>
              </w:rPr>
              <w:t>阿拉善盟位于</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"https://baike.baidu.com/item/%E5%86%85%E8%92%99%E5%8F%A4%E8%87%AA%E6%B2%BB%E5%8C%BA/49872215"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内蒙古自治区</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最西部，东、东北与乌海、巴彦淖尔、鄂尔多斯三市相连，南、东南与宁夏回族自治区毗邻，西、西南与甘肃省接壤，北与蒙古国交界，边境线长735公里。全盟总面积27万平方千米。阿拉善盟下辖3个旗（</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"https://baike.baidu.com/item/%E9%98%BF%E6%8B%89%E5%96%84%E5%B7%A6%E6%97%97/7322136"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阿拉善左旗</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"https://baike.baidu.com/item/%E9%98%BF%E6%8B%89%E5%96%84%E5%8F%B3%E6%97%97/7611378"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阿拉善右旗</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"https://baike.baidu.com/item/%E9%A2%9D%E6%B5%8E%E7%BA%B3%E6%97%97/7611392"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额济纳旗</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）和阿拉善高新技术产业开发区、策克口岸经济开发区2个自治区级开发区，共有31个苏木镇，200个嘎查村。</w:t>
            </w:r>
            <w:r>
              <w:rPr>
                <w:rFonts w:hint="eastAsia"/>
                <w:color w:val="000000" w:themeColor="text1"/>
                <w:sz w:val="24"/>
                <w:lang w:val="en-US" w:eastAsia="zh-CN"/>
                <w14:textFill>
                  <w14:solidFill>
                    <w14:schemeClr w14:val="tx1"/>
                  </w14:solidFill>
                </w14:textFill>
              </w:rPr>
              <w:t>主要为汉族、蒙古族和其他少数民族。</w:t>
            </w:r>
            <w:r>
              <w:rPr>
                <w:rFonts w:hint="eastAsia"/>
                <w:color w:val="000000" w:themeColor="text1"/>
                <w:sz w:val="24"/>
                <w:lang w:val="en-GB"/>
                <w14:textFill>
                  <w14:solidFill>
                    <w14:schemeClr w14:val="tx1"/>
                  </w14:solidFill>
                </w14:textFill>
              </w:rPr>
              <w:t>主要食品为奶食、肉食和粮食三大类。粮食一般为炒米，此外是面食。肉类主要是牛、绵羊肉，其次为山羊肉、少量的马肉。</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）张掖市</w:t>
            </w:r>
          </w:p>
          <w:p>
            <w:pPr>
              <w:autoSpaceDE w:val="0"/>
              <w:autoSpaceDN w:val="0"/>
              <w:spacing w:line="360" w:lineRule="auto"/>
              <w:ind w:firstLine="480" w:firstLineChars="200"/>
              <w:rPr>
                <w:rFonts w:hint="default"/>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张掖市位于</w:t>
            </w:r>
            <w:r>
              <w:rPr>
                <w:color w:val="000000" w:themeColor="text1"/>
                <w:sz w:val="24"/>
                <w14:textFill>
                  <w14:solidFill>
                    <w14:schemeClr w14:val="tx1"/>
                  </w14:solidFill>
                </w14:textFill>
              </w:rPr>
              <w:fldChar w:fldCharType="begin"/>
            </w:r>
            <w:r>
              <w:rPr>
                <w:color w:val="000000" w:themeColor="text1"/>
                <w:sz w:val="24"/>
                <w14:textFill>
                  <w14:solidFill>
                    <w14:schemeClr w14:val="tx1"/>
                  </w14:solidFill>
                </w14:textFill>
              </w:rPr>
              <w:instrText xml:space="preserve"> HYPERLINK "https://baike.baidu.com/item/%E7%94%98%E8%82%83%E7%9C%81/684374" \t "https://baike.baidu.com/item/%E5%BC%A0%E6%8E%96/_blank" </w:instrText>
            </w:r>
            <w:r>
              <w:rPr>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甘肃省</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西北部，</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"https://baike.baidu.com/item/%E6%B2%B3%E8%A5%BF%E8%B5%B0%E5%BB%8A/970766"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河西走廊</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中段，辖1个区、5个县，总面积3.86万平方公里，城镇人口60.08万，境内有汉、裕固、藏、蒙、回等38个民族，其中分布于</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"https://baike.baidu.com/item/%E7%A5%81%E8%BF%9E%E5%B1%B1/481601"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祁连山</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区的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"https://baike.baidu.com/item/%E8%A3%95%E5%9B%BA%E6%97%8F/170696"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裕固族</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是全国独有的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"https://baike.baidu.com/item/%E5%B0%91%E6%95%B0%E6%B0%91%E6%97%8F/117663"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少数民族</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。是国家</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"https://baike.baidu.com/item/%E8%A5%BF%E9%83%A8/954568"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西部</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重要的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"https://baike.baidu.com/item/%E7%94%9F%E6%80%81%E5%AE%89%E5%85%A8/4780874"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生态安全</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屏障，国家</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"https://baike.baidu.com/item/%E7%8E%B0%E4%BB%A3%E5%86%9C%E4%B8%9A/7936554"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现代农业</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示范区，全国最大的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"https://baike.baidu.com/item/%E7%8E%89%E7%B1%B3/18401"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玉米</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制种区，全国重要的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"https://baike.baidu.com/item/%E7%B2%AE%E9%A3%9F/32782"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粮食</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、蔬菜、瓜果、油料和牛羊生产基地。</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酒泉市</w:t>
            </w:r>
          </w:p>
          <w:p>
            <w:pPr>
              <w:autoSpaceDE w:val="0"/>
              <w:autoSpaceDN w:val="0"/>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酒泉市位于</w:t>
            </w:r>
            <w:r>
              <w:rPr>
                <w:rFonts w:hint="default"/>
                <w:color w:val="000000" w:themeColor="text1"/>
                <w:sz w:val="24"/>
                <w14:textFill>
                  <w14:solidFill>
                    <w14:schemeClr w14:val="tx1"/>
                  </w14:solidFill>
                </w14:textFill>
              </w:rPr>
              <w:t>甘肃省西北部、河西走廊西端，东接张掖市和内蒙古自治区，南接青海省，西接新疆维吾尔自治区，北接蒙古国</w:t>
            </w:r>
            <w:r>
              <w:rPr>
                <w:rFonts w:hint="eastAsia"/>
                <w:color w:val="000000" w:themeColor="text1"/>
                <w:sz w:val="24"/>
                <w:lang w:eastAsia="zh-CN"/>
                <w14:textFill>
                  <w14:solidFill>
                    <w14:schemeClr w14:val="tx1"/>
                  </w14:solidFill>
                </w14:textFill>
              </w:rPr>
              <w:t>；辖1个区、2个</w:t>
            </w:r>
            <w:r>
              <w:rPr>
                <w:rFonts w:hint="eastAsia"/>
                <w:color w:val="000000" w:themeColor="text1"/>
                <w:sz w:val="24"/>
                <w:lang w:eastAsia="zh-CN"/>
                <w14:textFill>
                  <w14:solidFill>
                    <w14:schemeClr w14:val="tx1"/>
                  </w14:solidFill>
                </w14:textFill>
              </w:rPr>
              <w:fldChar w:fldCharType="begin"/>
            </w:r>
            <w:r>
              <w:rPr>
                <w:rFonts w:hint="eastAsia"/>
                <w:color w:val="000000" w:themeColor="text1"/>
                <w:sz w:val="24"/>
                <w:lang w:eastAsia="zh-CN"/>
                <w14:textFill>
                  <w14:solidFill>
                    <w14:schemeClr w14:val="tx1"/>
                  </w14:solidFill>
                </w14:textFill>
              </w:rPr>
              <w:instrText xml:space="preserve"> HYPERLINK "https://baike.baidu.com/item/%E5%8E%BF%E7%BA%A7%E5%B8%82/1659674" \t "https://baike.baidu.com/item/_blank" </w:instrText>
            </w:r>
            <w:r>
              <w:rPr>
                <w:rFonts w:hint="eastAsia"/>
                <w:color w:val="000000" w:themeColor="text1"/>
                <w:sz w:val="24"/>
                <w:lang w:eastAsia="zh-CN"/>
                <w14:textFill>
                  <w14:solidFill>
                    <w14:schemeClr w14:val="tx1"/>
                  </w14:solidFill>
                </w14:textFill>
              </w:rPr>
              <w:fldChar w:fldCharType="separate"/>
            </w:r>
            <w:r>
              <w:rPr>
                <w:rFonts w:hint="eastAsia"/>
                <w:color w:val="000000" w:themeColor="text1"/>
                <w:sz w:val="24"/>
                <w:lang w:eastAsia="zh-CN"/>
                <w14:textFill>
                  <w14:solidFill>
                    <w14:schemeClr w14:val="tx1"/>
                  </w14:solidFill>
                </w14:textFill>
              </w:rPr>
              <w:t>县级市</w:t>
            </w:r>
            <w:r>
              <w:rPr>
                <w:rFonts w:hint="eastAsia"/>
                <w:color w:val="000000" w:themeColor="text1"/>
                <w:sz w:val="24"/>
                <w:lang w:eastAsia="zh-CN"/>
                <w14:textFill>
                  <w14:solidFill>
                    <w14:schemeClr w14:val="tx1"/>
                  </w14:solidFill>
                </w14:textFill>
              </w:rPr>
              <w:fldChar w:fldCharType="end"/>
            </w:r>
            <w:r>
              <w:rPr>
                <w:rFonts w:hint="eastAsia"/>
                <w:color w:val="000000" w:themeColor="text1"/>
                <w:sz w:val="24"/>
                <w:lang w:eastAsia="zh-CN"/>
                <w14:textFill>
                  <w14:solidFill>
                    <w14:schemeClr w14:val="tx1"/>
                  </w14:solidFill>
                </w14:textFill>
              </w:rPr>
              <w:t>、4个</w:t>
            </w:r>
            <w:r>
              <w:rPr>
                <w:rFonts w:hint="eastAsia"/>
                <w:color w:val="000000" w:themeColor="text1"/>
                <w:sz w:val="24"/>
                <w:lang w:eastAsia="zh-CN"/>
                <w14:textFill>
                  <w14:solidFill>
                    <w14:schemeClr w14:val="tx1"/>
                  </w14:solidFill>
                </w14:textFill>
              </w:rPr>
              <w:fldChar w:fldCharType="begin"/>
            </w:r>
            <w:r>
              <w:rPr>
                <w:rFonts w:hint="eastAsia"/>
                <w:color w:val="000000" w:themeColor="text1"/>
                <w:sz w:val="24"/>
                <w:lang w:eastAsia="zh-CN"/>
                <w14:textFill>
                  <w14:solidFill>
                    <w14:schemeClr w14:val="tx1"/>
                  </w14:solidFill>
                </w14:textFill>
              </w:rPr>
              <w:instrText xml:space="preserve"> HYPERLINK "https://baike.baidu.com/item/%E5%8E%BF/7258656" \t "https://baike.baidu.com/item/_blank" </w:instrText>
            </w:r>
            <w:r>
              <w:rPr>
                <w:rFonts w:hint="eastAsia"/>
                <w:color w:val="000000" w:themeColor="text1"/>
                <w:sz w:val="24"/>
                <w:lang w:eastAsia="zh-CN"/>
                <w14:textFill>
                  <w14:solidFill>
                    <w14:schemeClr w14:val="tx1"/>
                  </w14:solidFill>
                </w14:textFill>
              </w:rPr>
              <w:fldChar w:fldCharType="separate"/>
            </w:r>
            <w:r>
              <w:rPr>
                <w:rFonts w:hint="eastAsia"/>
                <w:color w:val="000000" w:themeColor="text1"/>
                <w:sz w:val="24"/>
                <w:lang w:eastAsia="zh-CN"/>
                <w14:textFill>
                  <w14:solidFill>
                    <w14:schemeClr w14:val="tx1"/>
                  </w14:solidFill>
                </w14:textFill>
              </w:rPr>
              <w:t>县</w:t>
            </w:r>
            <w:r>
              <w:rPr>
                <w:rFonts w:hint="eastAsia"/>
                <w:color w:val="000000" w:themeColor="text1"/>
                <w:sz w:val="24"/>
                <w:lang w:eastAsia="zh-CN"/>
                <w14:textFill>
                  <w14:solidFill>
                    <w14:schemeClr w14:val="tx1"/>
                  </w14:solidFill>
                </w14:textFill>
              </w:rPr>
              <w:fldChar w:fldCharType="end"/>
            </w:r>
            <w:r>
              <w:rPr>
                <w:rFonts w:hint="eastAsia"/>
                <w:color w:val="000000" w:themeColor="text1"/>
                <w:sz w:val="24"/>
                <w:lang w:eastAsia="zh-CN"/>
                <w14:textFill>
                  <w14:solidFill>
                    <w14:schemeClr w14:val="tx1"/>
                  </w14:solidFill>
                </w14:textFill>
              </w:rPr>
              <w:t>，总面积19.2万</w:t>
            </w:r>
            <w:r>
              <w:rPr>
                <w:rFonts w:hint="eastAsia"/>
                <w:color w:val="000000" w:themeColor="text1"/>
                <w:sz w:val="24"/>
                <w:lang w:val="en-US" w:eastAsia="zh-CN"/>
                <w14:textFill>
                  <w14:solidFill>
                    <w14:schemeClr w14:val="tx1"/>
                  </w14:solidFill>
                </w14:textFill>
              </w:rPr>
              <w:t>km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，2019年，城镇常住人口70.69万，有汉、蒙、哈萨克、回等40多个民族。</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嘉峪关市</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嘉峪关市位于</w:t>
            </w:r>
            <w:r>
              <w:rPr>
                <w:rFonts w:hint="default"/>
                <w:color w:val="000000" w:themeColor="text1"/>
                <w:sz w:val="24"/>
                <w14:textFill>
                  <w14:solidFill>
                    <w14:schemeClr w14:val="tx1"/>
                  </w14:solidFill>
                </w14:textFill>
              </w:rPr>
              <w:t>甘肃西北部、</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"https://baike.baidu.com/item/%E6%B2%B3%E8%A5%BF%E8%B5%B0%E5%BB%8A/970766"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河西走廊</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中部，东临</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"https://baike.baidu.com/item/%E9%85%92%E6%B3%89/226298"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酒泉</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肃州区，东南距</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"https://baike.baidu.com/item/%E5%85%B0%E5%B7%9E/170826"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兰州</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650千米，西北连酒泉</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"https://baike.baidu.com/item/%E7%8E%89%E9%97%A8"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玉门</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市，西北至新疆</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"https://baike.baidu.com/item/%E5%93%88%E5%AF%86"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哈密</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650千米，南倚</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"https://baike.baidu.com/item/%E7%A5%81%E8%BF%9E%E5%B1%B1/481601"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祁连山</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与</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"https://baike.baidu.com/item/%E5%BC%A0%E6%8E%96"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张掖</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肃南裕固族自治县接壤；北枕黑山与酒泉</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"https://baike.baidu.com/item/%E9%87%91%E5%A1%94%E5%8E%BF/7907975"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金塔县</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相连，中部为酒泉绿洲西缘。辖3个</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"https://baike.baidu.com/item/%E8%A1%97%E9%81%93/419541"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街道</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、3个</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"https://baike.baidu.com/item/%E9%95%87/5922313" \t "https://baike.baidu.com/item/%E5%98%89%E5%B3%AA%E5%85%B3/_blank"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镇</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，总面积2935</w:t>
            </w:r>
            <w:r>
              <w:rPr>
                <w:rFonts w:hint="eastAsia"/>
                <w:color w:val="000000" w:themeColor="text1"/>
                <w:sz w:val="24"/>
                <w:lang w:val="en-US" w:eastAsia="zh-CN"/>
                <w14:textFill>
                  <w14:solidFill>
                    <w14:schemeClr w14:val="tx1"/>
                  </w14:solidFill>
                </w14:textFill>
              </w:rPr>
              <w:t>km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，常住人口312663人。</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5</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武威市</w:t>
            </w:r>
          </w:p>
          <w:p>
            <w:pPr>
              <w:autoSpaceDE w:val="0"/>
              <w:autoSpaceDN w:val="0"/>
              <w:spacing w:line="360" w:lineRule="auto"/>
              <w:ind w:firstLine="480" w:firstLineChars="200"/>
              <w:rPr>
                <w:rFonts w:hint="default"/>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武威市位于</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"https://baike.baidu.com/item/%E7%94%98%E8%82%83%E7%9C%81/684374"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甘肃省</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中部，</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"https://baike.baidu.com/item/%E6%B2%B3%E8%A5%BF%E8%B5%B0%E5%BB%8A/970766"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河西走廊</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东端，东接</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"https://baike.baidu.com/item/%E5%85%B0%E5%B7%9E/170826"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兰州</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、南靠</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"https://baike.baidu.com/item/%E8%A5%BF%E5%AE%81/37036"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西宁</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、北临</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"https://baike.baidu.com/item/%E9%93%B6%E5%B7%9D/306003"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银川</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和</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"https://baike.baidu.com/item/%E5%86%85%E8%92%99%E5%8F%A4/173741"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内蒙古</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、西通</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"https://baike.baidu.com/item/%E6%96%B0%E7%96%86/132263"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新疆</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，辖1个区、2个县和1个自治县，总面积3.23万</w:t>
            </w:r>
            <w:r>
              <w:rPr>
                <w:rFonts w:hint="eastAsia"/>
                <w:color w:val="000000" w:themeColor="text1"/>
                <w:sz w:val="24"/>
                <w:lang w:val="en-US" w:eastAsia="zh-CN"/>
                <w14:textFill>
                  <w14:solidFill>
                    <w14:schemeClr w14:val="tx1"/>
                  </w14:solidFill>
                </w14:textFill>
              </w:rPr>
              <w:t>km</w:t>
            </w:r>
            <w:r>
              <w:rPr>
                <w:rFonts w:hint="eastAsia"/>
                <w:color w:val="000000" w:themeColor="text1"/>
                <w:sz w:val="24"/>
                <w:vertAlign w:val="superscript"/>
                <w:lang w:val="en-US" w:eastAsia="zh-CN"/>
                <w14:textFill>
                  <w14:solidFill>
                    <w14:schemeClr w14:val="tx1"/>
                  </w14:solidFill>
                </w14:textFill>
              </w:rPr>
              <w:t>2</w:t>
            </w:r>
            <w:r>
              <w:rPr>
                <w:rFonts w:hint="default"/>
                <w:color w:val="000000" w:themeColor="text1"/>
                <w:sz w:val="24"/>
                <w14:textFill>
                  <w14:solidFill>
                    <w14:schemeClr w14:val="tx1"/>
                  </w14:solidFill>
                </w14:textFill>
              </w:rPr>
              <w:t>，聚居着</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"https://baike.baidu.com/item/%E6%B1%89/10949319" \t "https://baike.baidu.com/item/%E6%AD%A6%E5%A8%81/_blank"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汉</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、藏、回、蒙等41个民族</w:t>
            </w:r>
            <w:r>
              <w:rPr>
                <w:rFonts w:hint="eastAsia"/>
                <w:color w:val="000000" w:themeColor="text1"/>
                <w:sz w:val="24"/>
                <w:lang w:val="en-US" w:eastAsia="zh-CN"/>
                <w14:textFill>
                  <w14:solidFill>
                    <w14:schemeClr w14:val="tx1"/>
                  </w14:solidFill>
                </w14:textFill>
              </w:rPr>
              <w:t>,</w:t>
            </w:r>
            <w:r>
              <w:rPr>
                <w:rFonts w:hint="default"/>
                <w:color w:val="000000" w:themeColor="text1"/>
                <w:sz w:val="24"/>
                <w14:textFill>
                  <w14:solidFill>
                    <w14:schemeClr w14:val="tx1"/>
                  </w14:solidFill>
                </w14:textFill>
              </w:rPr>
              <w:t>常住人口为1464955人。</w:t>
            </w:r>
          </w:p>
          <w:p>
            <w:pPr>
              <w:autoSpaceDE w:val="0"/>
              <w:autoSpaceDN w:val="0"/>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6</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金昌市</w:t>
            </w:r>
          </w:p>
          <w:p>
            <w:pPr>
              <w:autoSpaceDE w:val="0"/>
              <w:autoSpaceDN w:val="0"/>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金昌市位于甘肃省</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"https://baike.baidu.com/item/%E6%B2%B3%E8%A5%BF%E8%B5%B0%E5%BB%8A/970766"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河西走廊</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中段、</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"https://baike.baidu.com/item/%E7%A5%81%E8%BF%9E%E5%B1%B1/481601"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祁连山</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北麓。北、东与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"https://baike.baidu.com/item/%E6%AD%A6%E5%A8%81%E5%B8%82/4674718"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武威市</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"https://baike.baidu.com/item/%E6%B0%91%E5%8B%A4%E5%8E%BF/510969"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民勤县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相连，东南与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"https://baike.baidu.com/item/%E6%AD%A6%E5%A8%81%E5%B8%82/4674718"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武威市</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"https://baike.baidu.com/item/%E5%87%89%E5%B7%9E%E5%8C%BA/2082933"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凉州区</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相靠，南与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"https://baike.baidu.com/item/%E8%82%83%E5%8D%97%E8%A3%95%E5%9B%BA%E6%97%8F%E8%87%AA%E6%B2%BB%E5%8E%BF/1901590"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肃南裕固族自治县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相接，西南与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"https://baike.baidu.com/item/%E9%9D%92%E6%B5%B7%E7%9C%81/19428913"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青海省</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"https://baike.baidu.com/item/%E9%97%A8%E6%BA%90%E5%9B%9E%E6%97%8F%E8%87%AA%E6%B2%BB%E5%8E%BF/5015576"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门源回族自治县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搭界，西与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"https://baike.baidu.com/item/%E5%BC%A0%E6%8E%96%E5%B8%82/2506844"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张掖市</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"https://baike.baidu.com/item/%E5%B1%B1%E4%B8%B9%E5%8E%BF/1902992"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山丹县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"https://baike.baidu.com/item/%E6%B0%91%E4%B9%90%E5%8E%BF/1197342"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民乐县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接壤，西北与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"https://baike.baidu.com/item/%E5%86%85%E8%92%99%E5%8F%A4%E8%87%AA%E6%B2%BB%E5%8C%BA/49872215"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内蒙古自治区</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"https://baike.baidu.com/item/%E9%98%BF%E6%8B%89%E5%96%84%E5%8F%B3%E6%97%97/7611378"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阿拉善右旗</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毗邻。辖1个区、1个县，总面积9593km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vertAlign w:val="baseline"/>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常住人口为438026人。当地农作物以小麦、玉米、豆类、土豆为主，人们日常饮食以小麦为主食，玉米、豆类、薯类、谷类为杂食，同时辅以蔬菜、瓜果、肉蛋等，肉食以牛、羊肉为主。</w:t>
            </w:r>
          </w:p>
          <w:p>
            <w:pPr>
              <w:autoSpaceDE w:val="0"/>
              <w:autoSpaceDN w:val="0"/>
              <w:spacing w:line="360" w:lineRule="auto"/>
              <w:ind w:firstLine="480" w:firstLineChars="200"/>
              <w:rPr>
                <w:rFonts w:hint="eastAsia"/>
                <w:color w:val="000000" w:themeColor="text1"/>
                <w:sz w:val="24"/>
                <w:lang w:eastAsia="zh-CN"/>
                <w14:textFill>
                  <w14:solidFill>
                    <w14:schemeClr w14:val="tx1"/>
                  </w14:solidFill>
                </w14:textFill>
              </w:rPr>
            </w:pPr>
          </w:p>
          <w:p>
            <w:pPr>
              <w:pStyle w:val="4"/>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4"/>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4"/>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4"/>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autoSpaceDE w:val="0"/>
              <w:autoSpaceDN w:val="0"/>
              <w:spacing w:line="360" w:lineRule="auto"/>
              <w:rPr>
                <w:rFonts w:hint="default" w:eastAsia="宋体"/>
                <w:color w:val="000000" w:themeColor="text1"/>
                <w:sz w:val="24"/>
                <w:lang w:val="en-US" w:eastAsia="zh-CN"/>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6" w:name="_Toc3795900"/>
      <w:bookmarkStart w:id="7" w:name="_Toc3795899"/>
      <w:r>
        <w:rPr>
          <w:rFonts w:hint="eastAsia" w:eastAsia="黑体"/>
          <w:color w:val="000000" w:themeColor="text1"/>
          <w:w w:val="95"/>
          <w:sz w:val="32"/>
          <w:lang w:val="en-US" w:eastAsia="zh-CN"/>
          <w14:textFill>
            <w14:solidFill>
              <w14:schemeClr w14:val="tx1"/>
            </w14:solidFill>
          </w14:textFill>
        </w:rPr>
        <w:t>四、</w:t>
      </w:r>
      <w:r>
        <w:rPr>
          <w:rFonts w:eastAsia="黑体"/>
          <w:color w:val="000000" w:themeColor="text1"/>
          <w:w w:val="95"/>
          <w:sz w:val="32"/>
          <w14:textFill>
            <w14:solidFill>
              <w14:schemeClr w14:val="tx1"/>
            </w14:solidFill>
          </w14:textFill>
        </w:rPr>
        <w:t>评价适用标准</w:t>
      </w:r>
      <w:bookmarkEnd w:id="6"/>
    </w:p>
    <w:tbl>
      <w:tblPr>
        <w:tblStyle w:val="11"/>
        <w:tblW w:w="4906"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55"/>
        <w:gridCol w:w="902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40" w:hRule="atLeast"/>
          <w:jc w:val="center"/>
        </w:trPr>
        <w:tc>
          <w:tcPr>
            <w:tcW w:w="386" w:type="pct"/>
            <w:vAlign w:val="center"/>
          </w:tcPr>
          <w:p>
            <w:pPr>
              <w:spacing w:line="360" w:lineRule="auto"/>
              <w:jc w:val="center"/>
              <w:rPr>
                <w:rFonts w:eastAsia="黑体"/>
                <w:color w:val="000000" w:themeColor="text1"/>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环境</w:t>
            </w:r>
            <w:r>
              <w:rPr>
                <w:rFonts w:eastAsia="黑体"/>
                <w:color w:val="000000" w:themeColor="text1"/>
                <w:sz w:val="28"/>
                <w:szCs w:val="28"/>
                <w14:textFill>
                  <w14:solidFill>
                    <w14:schemeClr w14:val="tx1"/>
                  </w14:solidFill>
                </w14:textFill>
              </w:rPr>
              <w:t>质量标准</w:t>
            </w:r>
          </w:p>
        </w:tc>
        <w:tc>
          <w:tcPr>
            <w:tcW w:w="4613" w:type="pct"/>
            <w:vAlign w:val="center"/>
          </w:tcPr>
          <w:p>
            <w:pPr>
              <w:autoSpaceDE w:val="0"/>
              <w:autoSpaceDN w:val="0"/>
              <w:spacing w:line="360" w:lineRule="auto"/>
              <w:ind w:firstLine="480" w:firstLineChars="200"/>
              <w:jc w:val="left"/>
              <w:rPr>
                <w:rStyle w:val="19"/>
                <w:rFonts w:ascii="Times New Roman" w:hAnsi="Times New Roman" w:eastAsia="宋体" w:cs="Times New Roman"/>
                <w:color w:val="000000" w:themeColor="text1"/>
                <w:kern w:val="28"/>
                <w14:textFill>
                  <w14:solidFill>
                    <w14:schemeClr w14:val="tx1"/>
                  </w14:solidFill>
                </w14:textFill>
              </w:rPr>
            </w:pPr>
            <w:r>
              <w:rPr>
                <w:rStyle w:val="19"/>
                <w:rFonts w:hint="eastAsia" w:ascii="Times New Roman" w:hAnsi="Times New Roman" w:eastAsia="宋体" w:cs="Times New Roman"/>
                <w:color w:val="000000" w:themeColor="text1"/>
                <w:kern w:val="28"/>
                <w14:textFill>
                  <w14:solidFill>
                    <w14:schemeClr w14:val="tx1"/>
                  </w14:solidFill>
                </w14:textFill>
              </w:rPr>
              <w:t>1、环境空气质量执行《环境空气质量标准》</w:t>
            </w:r>
            <w:r>
              <w:rPr>
                <w:rStyle w:val="19"/>
                <w:rFonts w:hint="eastAsia" w:cs="Times New Roman"/>
                <w:color w:val="000000" w:themeColor="text1"/>
                <w:kern w:val="28"/>
                <w:lang w:eastAsia="zh-CN"/>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GB3095-2012</w:t>
            </w:r>
            <w:r>
              <w:rPr>
                <w:rStyle w:val="19"/>
                <w:rFonts w:hint="eastAsia" w:cs="Times New Roman"/>
                <w:color w:val="000000" w:themeColor="text1"/>
                <w:kern w:val="28"/>
                <w:lang w:eastAsia="zh-CN"/>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中二级标准。</w:t>
            </w:r>
          </w:p>
          <w:p>
            <w:pPr>
              <w:autoSpaceDE w:val="0"/>
              <w:autoSpaceDN w:val="0"/>
              <w:spacing w:line="360" w:lineRule="auto"/>
              <w:ind w:firstLine="480" w:firstLineChars="200"/>
              <w:jc w:val="left"/>
              <w:rPr>
                <w:rStyle w:val="19"/>
                <w:rFonts w:ascii="Times New Roman" w:hAnsi="Times New Roman" w:eastAsia="宋体" w:cs="Times New Roman"/>
                <w:color w:val="000000" w:themeColor="text1"/>
                <w:kern w:val="28"/>
                <w14:textFill>
                  <w14:solidFill>
                    <w14:schemeClr w14:val="tx1"/>
                  </w14:solidFill>
                </w14:textFill>
              </w:rPr>
            </w:pPr>
            <w:r>
              <w:rPr>
                <w:rStyle w:val="19"/>
                <w:rFonts w:hint="eastAsia" w:ascii="Times New Roman" w:hAnsi="Times New Roman" w:eastAsia="宋体" w:cs="Times New Roman"/>
                <w:color w:val="000000" w:themeColor="text1"/>
                <w:kern w:val="28"/>
                <w14:textFill>
                  <w14:solidFill>
                    <w14:schemeClr w14:val="tx1"/>
                  </w14:solidFill>
                </w14:textFill>
              </w:rPr>
              <w:t>2</w:t>
            </w:r>
            <w:r>
              <w:rPr>
                <w:rStyle w:val="19"/>
                <w:rFonts w:ascii="Times New Roman" w:hAnsi="Times New Roman" w:eastAsia="宋体" w:cs="Times New Roman"/>
                <w:color w:val="000000" w:themeColor="text1"/>
                <w:kern w:val="28"/>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地下水环境质量执行《地下水质量标准》（GB</w:t>
            </w:r>
            <w:r>
              <w:rPr>
                <w:rStyle w:val="19"/>
                <w:rFonts w:ascii="Times New Roman" w:hAnsi="Times New Roman" w:eastAsia="宋体" w:cs="Times New Roman"/>
                <w:color w:val="000000" w:themeColor="text1"/>
                <w:kern w:val="28"/>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T14848-2017）中</w:t>
            </w:r>
            <w:r>
              <w:rPr>
                <w:rStyle w:val="19"/>
                <w:rFonts w:ascii="Times New Roman" w:hAnsi="Times New Roman" w:eastAsia="宋体" w:cs="Times New Roman"/>
                <w:color w:val="000000" w:themeColor="text1"/>
                <w:kern w:val="28"/>
                <w14:textFill>
                  <w14:solidFill>
                    <w14:schemeClr w14:val="tx1"/>
                  </w14:solidFill>
                </w14:textFill>
              </w:rPr>
              <w:t>Ⅲ</w:t>
            </w:r>
            <w:r>
              <w:rPr>
                <w:rStyle w:val="19"/>
                <w:rFonts w:hint="eastAsia" w:ascii="Times New Roman" w:hAnsi="Times New Roman" w:eastAsia="宋体" w:cs="Times New Roman"/>
                <w:color w:val="000000" w:themeColor="text1"/>
                <w:kern w:val="28"/>
                <w14:textFill>
                  <w14:solidFill>
                    <w14:schemeClr w14:val="tx1"/>
                  </w14:solidFill>
                </w14:textFill>
              </w:rPr>
              <w:t>类标准。</w:t>
            </w:r>
          </w:p>
          <w:p>
            <w:pPr>
              <w:autoSpaceDE w:val="0"/>
              <w:autoSpaceDN w:val="0"/>
              <w:spacing w:line="360" w:lineRule="auto"/>
              <w:ind w:firstLine="480" w:firstLineChars="200"/>
              <w:jc w:val="left"/>
              <w:rPr>
                <w:rStyle w:val="19"/>
                <w:rFonts w:ascii="Times New Roman" w:hAnsi="Times New Roman" w:eastAsia="宋体" w:cs="Times New Roman"/>
                <w:color w:val="000000" w:themeColor="text1"/>
                <w:kern w:val="28"/>
                <w14:textFill>
                  <w14:solidFill>
                    <w14:schemeClr w14:val="tx1"/>
                  </w14:solidFill>
                </w14:textFill>
              </w:rPr>
            </w:pPr>
            <w:r>
              <w:rPr>
                <w:rStyle w:val="19"/>
                <w:rFonts w:hint="eastAsia" w:ascii="Times New Roman" w:hAnsi="Times New Roman" w:eastAsia="宋体" w:cs="Times New Roman"/>
                <w:color w:val="000000" w:themeColor="text1"/>
                <w:kern w:val="28"/>
                <w14:textFill>
                  <w14:solidFill>
                    <w14:schemeClr w14:val="tx1"/>
                  </w14:solidFill>
                </w14:textFill>
              </w:rPr>
              <w:t>3</w:t>
            </w:r>
            <w:r>
              <w:rPr>
                <w:rStyle w:val="19"/>
                <w:rFonts w:ascii="Times New Roman" w:hAnsi="Times New Roman" w:eastAsia="宋体" w:cs="Times New Roman"/>
                <w:color w:val="000000" w:themeColor="text1"/>
                <w:kern w:val="28"/>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环境噪声执行《声环境质量标准》</w:t>
            </w:r>
            <w:r>
              <w:rPr>
                <w:rStyle w:val="19"/>
                <w:rFonts w:hint="eastAsia" w:cs="Times New Roman"/>
                <w:color w:val="000000" w:themeColor="text1"/>
                <w:kern w:val="28"/>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GB3096-2008</w:t>
            </w:r>
            <w:r>
              <w:rPr>
                <w:rStyle w:val="19"/>
                <w:rFonts w:hint="eastAsia" w:cs="Times New Roman"/>
                <w:color w:val="000000" w:themeColor="text1"/>
                <w:kern w:val="28"/>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中</w:t>
            </w:r>
            <w:r>
              <w:rPr>
                <w:rStyle w:val="19"/>
                <w:rFonts w:ascii="Times New Roman" w:hAnsi="Times New Roman" w:eastAsia="宋体" w:cs="Times New Roman"/>
                <w:color w:val="000000" w:themeColor="text1"/>
                <w:kern w:val="28"/>
                <w14:textFill>
                  <w14:solidFill>
                    <w14:schemeClr w14:val="tx1"/>
                  </w14:solidFill>
                </w14:textFill>
              </w:rPr>
              <w:t>1</w:t>
            </w:r>
            <w:r>
              <w:rPr>
                <w:rStyle w:val="19"/>
                <w:rFonts w:hint="eastAsia" w:ascii="Times New Roman" w:hAnsi="Times New Roman" w:eastAsia="宋体" w:cs="Times New Roman"/>
                <w:color w:val="000000" w:themeColor="text1"/>
                <w:kern w:val="28"/>
                <w14:textFill>
                  <w14:solidFill>
                    <w14:schemeClr w14:val="tx1"/>
                  </w14:solidFill>
                </w14:textFill>
              </w:rPr>
              <w:t>类区标准。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86" w:type="pct"/>
            <w:vAlign w:val="center"/>
          </w:tcPr>
          <w:p>
            <w:pPr>
              <w:spacing w:line="360" w:lineRule="auto"/>
              <w:jc w:val="center"/>
              <w:rPr>
                <w:rFonts w:eastAsia="黑体"/>
                <w:color w:val="000000" w:themeColor="text1"/>
                <w:w w:val="95"/>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污染物</w:t>
            </w:r>
            <w:r>
              <w:rPr>
                <w:rFonts w:eastAsia="黑体"/>
                <w:color w:val="000000" w:themeColor="text1"/>
                <w:sz w:val="28"/>
                <w:szCs w:val="28"/>
                <w14:textFill>
                  <w14:solidFill>
                    <w14:schemeClr w14:val="tx1"/>
                  </w14:solidFill>
                </w14:textFill>
              </w:rPr>
              <w:t>排放标准</w:t>
            </w:r>
          </w:p>
        </w:tc>
        <w:tc>
          <w:tcPr>
            <w:tcW w:w="4613" w:type="pct"/>
            <w:vAlign w:val="center"/>
          </w:tcPr>
          <w:p>
            <w:pPr>
              <w:autoSpaceDE w:val="0"/>
              <w:autoSpaceDN w:val="0"/>
              <w:spacing w:line="360" w:lineRule="auto"/>
              <w:ind w:firstLine="480" w:firstLineChars="200"/>
              <w:rPr>
                <w:bCs/>
                <w:color w:val="000000" w:themeColor="text1"/>
                <w:sz w:val="18"/>
                <w:szCs w:val="18"/>
                <w14:textFill>
                  <w14:solidFill>
                    <w14:schemeClr w14:val="tx1"/>
                  </w14:solidFill>
                </w14:textFill>
              </w:rPr>
            </w:pPr>
            <w:r>
              <w:rPr>
                <w:rStyle w:val="19"/>
                <w:rFonts w:hint="eastAsia" w:ascii="Times New Roman" w:hAnsi="Times New Roman" w:eastAsia="宋体" w:cs="Times New Roman"/>
                <w:color w:val="000000" w:themeColor="text1"/>
                <w:kern w:val="28"/>
                <w14:textFill>
                  <w14:solidFill>
                    <w14:schemeClr w14:val="tx1"/>
                  </w14:solidFill>
                </w14:textFill>
              </w:rPr>
              <w:t>1</w:t>
            </w:r>
            <w:r>
              <w:rPr>
                <w:rStyle w:val="19"/>
                <w:rFonts w:ascii="Times New Roman" w:hAnsi="Times New Roman" w:eastAsia="宋体" w:cs="Times New Roman"/>
                <w:color w:val="000000" w:themeColor="text1"/>
                <w:kern w:val="28"/>
                <w14:textFill>
                  <w14:solidFill>
                    <w14:schemeClr w14:val="tx1"/>
                  </w14:solidFill>
                </w14:textFill>
              </w:rPr>
              <w:t>、颗粒物</w:t>
            </w:r>
            <w:r>
              <w:rPr>
                <w:rStyle w:val="19"/>
                <w:rFonts w:hint="eastAsia" w:ascii="Times New Roman" w:hAnsi="Times New Roman" w:eastAsia="宋体" w:cs="Times New Roman"/>
                <w:color w:val="000000" w:themeColor="text1"/>
                <w:kern w:val="28"/>
                <w14:textFill>
                  <w14:solidFill>
                    <w14:schemeClr w14:val="tx1"/>
                  </w14:solidFill>
                </w14:textFill>
              </w:rPr>
              <w:t>、SO</w:t>
            </w:r>
            <w:r>
              <w:rPr>
                <w:rStyle w:val="19"/>
                <w:rFonts w:hint="eastAsia" w:ascii="Times New Roman" w:hAnsi="Times New Roman" w:eastAsia="宋体" w:cs="Times New Roman"/>
                <w:color w:val="000000" w:themeColor="text1"/>
                <w:kern w:val="28"/>
                <w:vertAlign w:val="subscript"/>
                <w14:textFill>
                  <w14:solidFill>
                    <w14:schemeClr w14:val="tx1"/>
                  </w14:solidFill>
                </w14:textFill>
              </w:rPr>
              <w:t>2</w:t>
            </w:r>
            <w:r>
              <w:rPr>
                <w:rStyle w:val="19"/>
                <w:rFonts w:hint="eastAsia" w:ascii="Times New Roman" w:hAnsi="Times New Roman" w:eastAsia="宋体" w:cs="Times New Roman"/>
                <w:color w:val="000000" w:themeColor="text1"/>
                <w:kern w:val="28"/>
                <w14:textFill>
                  <w14:solidFill>
                    <w14:schemeClr w14:val="tx1"/>
                  </w14:solidFill>
                </w14:textFill>
              </w:rPr>
              <w:t>、NO</w:t>
            </w:r>
            <w:r>
              <w:rPr>
                <w:rStyle w:val="19"/>
                <w:rFonts w:hint="eastAsia" w:ascii="Times New Roman" w:hAnsi="Times New Roman" w:eastAsia="宋体" w:cs="Times New Roman"/>
                <w:color w:val="000000" w:themeColor="text1"/>
                <w:kern w:val="28"/>
                <w:vertAlign w:val="subscript"/>
                <w14:textFill>
                  <w14:solidFill>
                    <w14:schemeClr w14:val="tx1"/>
                  </w14:solidFill>
                </w14:textFill>
              </w:rPr>
              <w:t>X</w:t>
            </w:r>
            <w:r>
              <w:rPr>
                <w:rStyle w:val="19"/>
                <w:rFonts w:ascii="Times New Roman" w:hAnsi="Times New Roman" w:eastAsia="宋体" w:cs="Times New Roman"/>
                <w:color w:val="000000" w:themeColor="text1"/>
                <w:kern w:val="28"/>
                <w14:textFill>
                  <w14:solidFill>
                    <w14:schemeClr w14:val="tx1"/>
                  </w14:solidFill>
                </w14:textFill>
              </w:rPr>
              <w:t>等大气污染物排放执行《大气污染物综合排放标准》</w:t>
            </w:r>
            <w:r>
              <w:rPr>
                <w:rStyle w:val="19"/>
                <w:rFonts w:hint="eastAsia" w:ascii="Times New Roman" w:hAnsi="Times New Roman" w:eastAsia="宋体" w:cs="Times New Roman"/>
                <w:color w:val="000000" w:themeColor="text1"/>
                <w:kern w:val="28"/>
                <w14:textFill>
                  <w14:solidFill>
                    <w14:schemeClr w14:val="tx1"/>
                  </w14:solidFill>
                </w14:textFill>
              </w:rPr>
              <w:t>（</w:t>
            </w:r>
            <w:r>
              <w:rPr>
                <w:rStyle w:val="19"/>
                <w:rFonts w:ascii="Times New Roman" w:hAnsi="Times New Roman" w:eastAsia="宋体" w:cs="Times New Roman"/>
                <w:color w:val="000000" w:themeColor="text1"/>
                <w:kern w:val="28"/>
                <w14:textFill>
                  <w14:solidFill>
                    <w14:schemeClr w14:val="tx1"/>
                  </w14:solidFill>
                </w14:textFill>
              </w:rPr>
              <w:t>GB16297-1996</w:t>
            </w:r>
            <w:r>
              <w:rPr>
                <w:rStyle w:val="19"/>
                <w:rFonts w:hint="eastAsia" w:ascii="Times New Roman" w:hAnsi="Times New Roman" w:eastAsia="宋体" w:cs="Times New Roman"/>
                <w:color w:val="000000" w:themeColor="text1"/>
                <w:kern w:val="28"/>
                <w14:textFill>
                  <w14:solidFill>
                    <w14:schemeClr w14:val="tx1"/>
                  </w14:solidFill>
                </w14:textFill>
              </w:rPr>
              <w:t>）</w:t>
            </w:r>
            <w:r>
              <w:rPr>
                <w:rStyle w:val="19"/>
                <w:rFonts w:ascii="Times New Roman" w:hAnsi="Times New Roman" w:eastAsia="宋体" w:cs="Times New Roman"/>
                <w:color w:val="000000" w:themeColor="text1"/>
                <w:kern w:val="28"/>
                <w14:textFill>
                  <w14:solidFill>
                    <w14:schemeClr w14:val="tx1"/>
                  </w14:solidFill>
                </w14:textFill>
              </w:rPr>
              <w:t>中</w:t>
            </w:r>
            <w:r>
              <w:rPr>
                <w:rStyle w:val="19"/>
                <w:rFonts w:hint="eastAsia" w:ascii="Times New Roman" w:hAnsi="Times New Roman" w:eastAsia="宋体" w:cs="Times New Roman"/>
                <w:color w:val="000000" w:themeColor="text1"/>
                <w:kern w:val="28"/>
                <w14:textFill>
                  <w14:solidFill>
                    <w14:schemeClr w14:val="tx1"/>
                  </w14:solidFill>
                </w14:textFill>
              </w:rPr>
              <w:t>表2</w:t>
            </w:r>
            <w:r>
              <w:rPr>
                <w:rStyle w:val="19"/>
                <w:rFonts w:ascii="Times New Roman" w:hAnsi="Times New Roman" w:eastAsia="宋体" w:cs="Times New Roman"/>
                <w:color w:val="000000" w:themeColor="text1"/>
                <w:kern w:val="28"/>
                <w14:textFill>
                  <w14:solidFill>
                    <w14:schemeClr w14:val="tx1"/>
                  </w14:solidFill>
                </w14:textFill>
              </w:rPr>
              <w:t>的</w:t>
            </w:r>
            <w:r>
              <w:rPr>
                <w:rStyle w:val="19"/>
                <w:rFonts w:hint="eastAsia" w:ascii="Times New Roman" w:hAnsi="Times New Roman" w:eastAsia="宋体" w:cs="Times New Roman"/>
                <w:color w:val="000000" w:themeColor="text1"/>
                <w:kern w:val="28"/>
                <w14:textFill>
                  <w14:solidFill>
                    <w14:schemeClr w14:val="tx1"/>
                  </w14:solidFill>
                </w14:textFill>
              </w:rPr>
              <w:t>无组织排放监控浓度限值，柴油发电机执行《非道路移动机械用柴油机排气污染物排放限值及测量方法(中国第三、四阶段）》</w:t>
            </w:r>
            <w:r>
              <w:rPr>
                <w:rStyle w:val="19"/>
                <w:rFonts w:hint="eastAsia" w:cs="Times New Roman"/>
                <w:color w:val="000000" w:themeColor="text1"/>
                <w:kern w:val="28"/>
                <w:lang w:eastAsia="zh-CN"/>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GB20891-2014</w:t>
            </w:r>
            <w:r>
              <w:rPr>
                <w:rStyle w:val="19"/>
                <w:rFonts w:hint="eastAsia" w:cs="Times New Roman"/>
                <w:color w:val="000000" w:themeColor="text1"/>
                <w:kern w:val="28"/>
                <w:lang w:eastAsia="zh-CN"/>
                <w14:textFill>
                  <w14:solidFill>
                    <w14:schemeClr w14:val="tx1"/>
                  </w14:solidFill>
                </w14:textFill>
              </w:rPr>
              <w:t>）</w:t>
            </w:r>
            <w:r>
              <w:rPr>
                <w:rStyle w:val="19"/>
                <w:rFonts w:hint="eastAsia" w:ascii="Times New Roman" w:hAnsi="Times New Roman" w:eastAsia="宋体" w:cs="Times New Roman"/>
                <w:color w:val="000000" w:themeColor="text1"/>
                <w:kern w:val="28"/>
                <w14:textFill>
                  <w14:solidFill>
                    <w14:schemeClr w14:val="tx1"/>
                  </w14:solidFill>
                </w14:textFill>
              </w:rPr>
              <w:t>及其修改单中的要求。</w:t>
            </w:r>
          </w:p>
          <w:p>
            <w:pPr>
              <w:autoSpaceDE w:val="0"/>
              <w:autoSpaceDN w:val="0"/>
              <w:spacing w:line="360" w:lineRule="auto"/>
              <w:ind w:firstLine="480" w:firstLineChars="200"/>
              <w:rPr>
                <w:rStyle w:val="19"/>
                <w:rFonts w:ascii="Times New Roman" w:hAnsi="Times New Roman" w:eastAsia="宋体" w:cs="Times New Roman"/>
                <w:color w:val="000000" w:themeColor="text1"/>
                <w:kern w:val="28"/>
                <w14:textFill>
                  <w14:solidFill>
                    <w14:schemeClr w14:val="tx1"/>
                  </w14:solidFill>
                </w14:textFill>
              </w:rPr>
            </w:pPr>
            <w:r>
              <w:rPr>
                <w:rStyle w:val="19"/>
                <w:rFonts w:hint="eastAsia" w:ascii="Times New Roman" w:hAnsi="Times New Roman" w:eastAsia="宋体" w:cs="Times New Roman"/>
                <w:color w:val="000000" w:themeColor="text1"/>
                <w:kern w:val="28"/>
                <w14:textFill>
                  <w14:solidFill>
                    <w14:schemeClr w14:val="tx1"/>
                  </w14:solidFill>
                </w14:textFill>
              </w:rPr>
              <w:t>2、所有废、污水全部综合利用，不外排。</w:t>
            </w:r>
          </w:p>
          <w:p>
            <w:pPr>
              <w:autoSpaceDE w:val="0"/>
              <w:autoSpaceDN w:val="0"/>
              <w:spacing w:line="360" w:lineRule="auto"/>
              <w:ind w:firstLine="480" w:firstLineChars="200"/>
              <w:rPr>
                <w:rStyle w:val="19"/>
                <w:rFonts w:ascii="Times New Roman" w:hAnsi="Times New Roman" w:eastAsia="宋体" w:cs="Times New Roman"/>
                <w:color w:val="000000" w:themeColor="text1"/>
                <w:kern w:val="28"/>
                <w14:textFill>
                  <w14:solidFill>
                    <w14:schemeClr w14:val="tx1"/>
                  </w14:solidFill>
                </w14:textFill>
              </w:rPr>
            </w:pPr>
            <w:r>
              <w:rPr>
                <w:rStyle w:val="19"/>
                <w:rFonts w:hint="eastAsia" w:ascii="Times New Roman" w:hAnsi="Times New Roman" w:eastAsia="宋体" w:cs="Times New Roman"/>
                <w:color w:val="000000" w:themeColor="text1"/>
                <w:kern w:val="28"/>
                <w14:textFill>
                  <w14:solidFill>
                    <w14:schemeClr w14:val="tx1"/>
                  </w14:solidFill>
                </w14:textFill>
              </w:rPr>
              <w:t>3、施工期场界噪声执行《建筑施工场界环境噪声排放标准》（GB12523-2011），即昼间≤70dB(A)，夜间≤55dB(A)。</w:t>
            </w:r>
          </w:p>
          <w:p>
            <w:pPr>
              <w:autoSpaceDE w:val="0"/>
              <w:autoSpaceDN w:val="0"/>
              <w:spacing w:line="360" w:lineRule="auto"/>
              <w:ind w:firstLine="480" w:firstLineChars="200"/>
              <w:rPr>
                <w:rStyle w:val="19"/>
                <w:rFonts w:ascii="Times New Roman" w:hAnsi="Times New Roman" w:eastAsia="宋体" w:cs="Times New Roman"/>
                <w:color w:val="000000" w:themeColor="text1"/>
                <w:kern w:val="28"/>
                <w14:textFill>
                  <w14:solidFill>
                    <w14:schemeClr w14:val="tx1"/>
                  </w14:solidFill>
                </w14:textFill>
              </w:rPr>
            </w:pPr>
            <w:r>
              <w:rPr>
                <w:rStyle w:val="19"/>
                <w:rFonts w:hint="eastAsia" w:ascii="Times New Roman" w:hAnsi="Times New Roman" w:eastAsia="宋体" w:cs="Times New Roman"/>
                <w:color w:val="000000" w:themeColor="text1"/>
                <w:kern w:val="28"/>
                <w14:textFill>
                  <w14:solidFill>
                    <w14:schemeClr w14:val="tx1"/>
                  </w14:solidFill>
                </w14:textFill>
              </w:rPr>
              <w:t>4、一般工业固体废物排放执行《一般工业固体废物贮存和填埋污染污染控制标准》（GB18599-20</w:t>
            </w:r>
            <w:r>
              <w:rPr>
                <w:rStyle w:val="19"/>
                <w:rFonts w:ascii="Times New Roman" w:hAnsi="Times New Roman" w:eastAsia="宋体" w:cs="Times New Roman"/>
                <w:color w:val="000000" w:themeColor="text1"/>
                <w:kern w:val="28"/>
                <w14:textFill>
                  <w14:solidFill>
                    <w14:schemeClr w14:val="tx1"/>
                  </w14:solidFill>
                </w14:textFill>
              </w:rPr>
              <w:t>2</w:t>
            </w:r>
            <w:r>
              <w:rPr>
                <w:rStyle w:val="19"/>
                <w:color w:val="000000" w:themeColor="text1"/>
                <w:kern w:val="28"/>
                <w14:textFill>
                  <w14:solidFill>
                    <w14:schemeClr w14:val="tx1"/>
                  </w14:solidFill>
                </w14:textFill>
              </w:rPr>
              <w:t>0</w:t>
            </w:r>
            <w:r>
              <w:rPr>
                <w:rStyle w:val="19"/>
                <w:rFonts w:hint="eastAsia" w:ascii="Times New Roman" w:hAnsi="Times New Roman" w:eastAsia="宋体" w:cs="Times New Roman"/>
                <w:color w:val="000000" w:themeColor="text1"/>
                <w:kern w:val="28"/>
                <w14:textFill>
                  <w14:solidFill>
                    <w14:schemeClr w14:val="tx1"/>
                  </w14:solidFill>
                </w14:textFill>
              </w:rPr>
              <w:t>）</w:t>
            </w:r>
            <w:r>
              <w:rPr>
                <w:rStyle w:val="19"/>
                <w:rFonts w:hint="eastAsia" w:ascii="Times New Roman" w:hAnsi="Times New Roman" w:eastAsia="宋体" w:cs="Times New Roman"/>
                <w:color w:val="000000" w:themeColor="text1"/>
                <w:kern w:val="28"/>
                <w:lang w:eastAsia="zh-CN"/>
                <w14:textFill>
                  <w14:solidFill>
                    <w14:schemeClr w14:val="tx1"/>
                  </w14:solidFill>
                </w14:textFill>
              </w:rPr>
              <w:t>及其修改单中的有关规定</w:t>
            </w:r>
            <w:r>
              <w:rPr>
                <w:rStyle w:val="19"/>
                <w:rFonts w:hint="eastAsia" w:ascii="Times New Roman" w:hAnsi="Times New Roman" w:eastAsia="宋体" w:cs="Times New Roman"/>
                <w:color w:val="000000" w:themeColor="text1"/>
                <w:kern w:val="28"/>
                <w14:textFill>
                  <w14:solidFill>
                    <w14:schemeClr w14:val="tx1"/>
                  </w14:solidFill>
                </w14:textFill>
              </w:rPr>
              <w:t>；危险废物处置执行《危险废物贮存污染控制标准》（GB18597-2001）及修改单（环境保护部2013年第36号公告）中的相关规定。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06" w:hRule="atLeast"/>
          <w:jc w:val="center"/>
        </w:trPr>
        <w:tc>
          <w:tcPr>
            <w:tcW w:w="386" w:type="pct"/>
            <w:vAlign w:val="center"/>
          </w:tcPr>
          <w:p>
            <w:pPr>
              <w:spacing w:line="360" w:lineRule="auto"/>
              <w:jc w:val="center"/>
              <w:rPr>
                <w:rFonts w:eastAsia="黑体"/>
                <w:color w:val="000000" w:themeColor="text1"/>
                <w:sz w:val="28"/>
                <w14:textFill>
                  <w14:solidFill>
                    <w14:schemeClr w14:val="tx1"/>
                  </w14:solidFill>
                </w14:textFill>
              </w:rPr>
            </w:pPr>
            <w:r>
              <w:rPr>
                <w:rFonts w:hint="eastAsia" w:eastAsia="黑体"/>
                <w:color w:val="000000" w:themeColor="text1"/>
                <w:w w:val="95"/>
                <w:sz w:val="28"/>
                <w:szCs w:val="28"/>
                <w14:textFill>
                  <w14:solidFill>
                    <w14:schemeClr w14:val="tx1"/>
                  </w14:solidFill>
                </w14:textFill>
              </w:rPr>
              <w:t>辐射控制指标</w:t>
            </w:r>
          </w:p>
        </w:tc>
        <w:tc>
          <w:tcPr>
            <w:tcW w:w="4613" w:type="pct"/>
            <w:vAlign w:val="center"/>
          </w:tcPr>
          <w:p>
            <w:pPr>
              <w:autoSpaceDE w:val="0"/>
              <w:autoSpaceDN w:val="0"/>
              <w:spacing w:line="360" w:lineRule="auto"/>
              <w:ind w:firstLine="480" w:firstLineChars="200"/>
              <w:rPr>
                <w:rStyle w:val="19"/>
                <w:rFonts w:ascii="Times New Roman" w:hAnsi="Times New Roman" w:eastAsia="宋体" w:cs="Times New Roman"/>
                <w:color w:val="000000" w:themeColor="text1"/>
                <w14:textFill>
                  <w14:solidFill>
                    <w14:schemeClr w14:val="tx1"/>
                  </w14:solidFill>
                </w14:textFill>
              </w:rPr>
            </w:pPr>
            <w:r>
              <w:rPr>
                <w:rFonts w:hint="eastAsia"/>
                <w:color w:val="000000" w:themeColor="text1"/>
                <w:sz w:val="24"/>
                <w:szCs w:val="24"/>
                <w:lang w:eastAsia="zh-CN"/>
                <w14:textFill>
                  <w14:solidFill>
                    <w14:schemeClr w14:val="tx1"/>
                  </w14:solidFill>
                </w14:textFill>
              </w:rPr>
              <w:t>根据同类铀矿地质勘查工程监测资料以及工程分析，本项目勘查过程中产生的 钻井泥浆中</w:t>
            </w:r>
            <w:r>
              <w:rPr>
                <w:color w:val="000000" w:themeColor="text1"/>
                <w:sz w:val="24"/>
                <w:szCs w:val="24"/>
                <w:lang w:eastAsia="zh-CN"/>
                <w14:textFill>
                  <w14:solidFill>
                    <w14:schemeClr w14:val="tx1"/>
                  </w14:solidFill>
                </w14:textFill>
              </w:rPr>
              <w:t>U</w:t>
            </w:r>
            <w:r>
              <w:rPr>
                <w:rFonts w:hint="eastAsia"/>
                <w:color w:val="000000" w:themeColor="text1"/>
                <w:sz w:val="24"/>
                <w:szCs w:val="24"/>
                <w:vertAlign w:val="subscript"/>
                <w:lang w:eastAsia="zh-CN"/>
                <w14:textFill>
                  <w14:solidFill>
                    <w14:schemeClr w14:val="tx1"/>
                  </w14:solidFill>
                </w14:textFill>
              </w:rPr>
              <w:t>天然</w:t>
            </w:r>
            <w:r>
              <w:rPr>
                <w:rFonts w:hint="eastAsia"/>
                <w:color w:val="000000" w:themeColor="text1"/>
                <w:sz w:val="24"/>
                <w:szCs w:val="24"/>
                <w:lang w:eastAsia="zh-CN"/>
                <w14:textFill>
                  <w14:solidFill>
                    <w14:schemeClr w14:val="tx1"/>
                  </w14:solidFill>
                </w14:textFill>
              </w:rPr>
              <w:t>、</w:t>
            </w:r>
            <w:r>
              <w:rPr>
                <w:color w:val="000000" w:themeColor="text1"/>
                <w:sz w:val="24"/>
                <w:szCs w:val="24"/>
                <w:vertAlign w:val="superscript"/>
                <w:lang w:eastAsia="zh-CN"/>
                <w14:textFill>
                  <w14:solidFill>
                    <w14:schemeClr w14:val="tx1"/>
                  </w14:solidFill>
                </w14:textFill>
              </w:rPr>
              <w:t>226</w:t>
            </w:r>
            <w:r>
              <w:rPr>
                <w:color w:val="000000" w:themeColor="text1"/>
                <w:sz w:val="24"/>
                <w:szCs w:val="24"/>
                <w:lang w:eastAsia="zh-CN"/>
                <w14:textFill>
                  <w14:solidFill>
                    <w14:schemeClr w14:val="tx1"/>
                  </w14:solidFill>
                </w14:textFill>
              </w:rPr>
              <w:t>Ra</w:t>
            </w:r>
            <w:r>
              <w:rPr>
                <w:rFonts w:hint="eastAsia"/>
                <w:color w:val="000000" w:themeColor="text1"/>
                <w:sz w:val="24"/>
                <w:szCs w:val="24"/>
                <w:lang w:eastAsia="zh-CN"/>
                <w14:textFill>
                  <w14:solidFill>
                    <w14:schemeClr w14:val="tx1"/>
                  </w14:solidFill>
                </w14:textFill>
              </w:rPr>
              <w:t>为当地环境本底水平，辐射水平均属于天然放射性水平，勘查过程不会对周围公众产生附加剂量。因此，本项目不设置公众剂量约束值指标。</w:t>
            </w:r>
          </w:p>
        </w:tc>
      </w:tr>
    </w:tbl>
    <w:p>
      <w:pPr>
        <w:outlineLvl w:val="0"/>
        <w:rPr>
          <w:rFonts w:eastAsia="黑体"/>
          <w:color w:val="000000" w:themeColor="text1"/>
          <w:w w:val="95"/>
          <w:sz w:val="32"/>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lang w:val="en-US" w:eastAsia="zh-CN"/>
          <w14:textFill>
            <w14:solidFill>
              <w14:schemeClr w14:val="tx1"/>
            </w14:solidFill>
          </w14:textFill>
        </w:rPr>
        <w:t>五、</w:t>
      </w:r>
      <w:r>
        <w:rPr>
          <w:rFonts w:eastAsia="黑体"/>
          <w:color w:val="000000" w:themeColor="text1"/>
          <w:w w:val="95"/>
          <w:sz w:val="32"/>
          <w14:textFill>
            <w14:solidFill>
              <w14:schemeClr w14:val="tx1"/>
            </w14:solidFill>
          </w14:textFill>
        </w:rPr>
        <w:t>环境质量状况</w:t>
      </w:r>
      <w:bookmarkEnd w:id="7"/>
    </w:p>
    <w:tbl>
      <w:tblPr>
        <w:tblStyle w:val="11"/>
        <w:tblW w:w="4883" w:type="pct"/>
        <w:tblInd w:w="13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2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tcPr>
          <w:p>
            <w:pPr>
              <w:spacing w:line="500" w:lineRule="exact"/>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建设项目所在地区域环境质量现状及主要环境问题</w:t>
            </w:r>
            <w:bookmarkStart w:id="8" w:name="_Toc146186021"/>
            <w:bookmarkStart w:id="9" w:name="_Toc147204549"/>
            <w:bookmarkStart w:id="10" w:name="_Toc175590548"/>
            <w:r>
              <w:rPr>
                <w:color w:val="000000" w:themeColor="text1"/>
                <w:sz w:val="24"/>
                <w:szCs w:val="24"/>
                <w:lang w:eastAsia="zh-CN"/>
                <w14:textFill>
                  <w14:solidFill>
                    <w14:schemeClr w14:val="tx1"/>
                  </w14:solidFill>
                </w14:textFill>
              </w:rPr>
              <w:t>（</w:t>
            </w:r>
            <w:r>
              <w:rPr>
                <w:color w:val="000000" w:themeColor="text1"/>
                <w:spacing w:val="-3"/>
                <w:sz w:val="24"/>
                <w:szCs w:val="24"/>
                <w:lang w:eastAsia="zh-CN"/>
                <w14:textFill>
                  <w14:solidFill>
                    <w14:schemeClr w14:val="tx1"/>
                  </w14:solidFill>
                </w14:textFill>
              </w:rPr>
              <w:t>环境空气、地表水、地下水、</w:t>
            </w:r>
            <w:r>
              <w:rPr>
                <w:rFonts w:ascii="Times New Roman" w:hAnsi="Times New Roman" w:eastAsia="Times New Roman"/>
                <w:color w:val="000000" w:themeColor="text1"/>
                <w:sz w:val="24"/>
                <w:szCs w:val="24"/>
                <w14:textFill>
                  <w14:solidFill>
                    <w14:schemeClr w14:val="tx1"/>
                  </w14:solidFill>
                </w14:textFill>
              </w:rPr>
              <w:t>γ</w:t>
            </w:r>
            <w:r>
              <w:rPr>
                <w:rFonts w:ascii="Times New Roman" w:hAnsi="Times New Roman" w:eastAsia="Times New Roman"/>
                <w:color w:val="000000" w:themeColor="text1"/>
                <w:sz w:val="24"/>
                <w:szCs w:val="24"/>
                <w:lang w:eastAsia="zh-CN"/>
                <w14:textFill>
                  <w14:solidFill>
                    <w14:schemeClr w14:val="tx1"/>
                  </w14:solidFill>
                </w14:textFill>
              </w:rPr>
              <w:t xml:space="preserve"> </w:t>
            </w:r>
            <w:r>
              <w:rPr>
                <w:color w:val="000000" w:themeColor="text1"/>
                <w:spacing w:val="-4"/>
                <w:sz w:val="24"/>
                <w:szCs w:val="24"/>
                <w:lang w:eastAsia="zh-CN"/>
                <w14:textFill>
                  <w14:solidFill>
                    <w14:schemeClr w14:val="tx1"/>
                  </w14:solidFill>
                </w14:textFill>
              </w:rPr>
              <w:t>辐射空气</w:t>
            </w:r>
            <w:r>
              <w:rPr>
                <w:color w:val="000000" w:themeColor="text1"/>
                <w:spacing w:val="-3"/>
                <w:sz w:val="24"/>
                <w:szCs w:val="24"/>
                <w:lang w:eastAsia="zh-CN"/>
                <w14:textFill>
                  <w14:solidFill>
                    <w14:schemeClr w14:val="tx1"/>
                  </w14:solidFill>
                </w14:textFill>
              </w:rPr>
              <w:t>吸收剂量率、土壤、声环境、生态环境等</w:t>
            </w:r>
            <w:r>
              <w:rPr>
                <w:color w:val="000000" w:themeColor="text1"/>
                <w:sz w:val="24"/>
                <w:szCs w:val="24"/>
                <w:lang w:eastAsia="zh-CN"/>
                <w14:textFill>
                  <w14:solidFill>
                    <w14:schemeClr w14:val="tx1"/>
                  </w14:solidFill>
                </w14:textFill>
              </w:rPr>
              <w:t>）</w:t>
            </w:r>
          </w:p>
          <w:bookmarkEnd w:id="8"/>
          <w:bookmarkEnd w:id="9"/>
          <w:bookmarkEnd w:id="10"/>
          <w:p>
            <w:pPr>
              <w:pStyle w:val="18"/>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环境空气</w:t>
            </w:r>
            <w:r>
              <w:rPr>
                <w:rFonts w:hint="eastAsia"/>
                <w:b/>
                <w:bCs/>
                <w:color w:val="000000" w:themeColor="text1"/>
                <w:sz w:val="24"/>
                <w14:textFill>
                  <w14:solidFill>
                    <w14:schemeClr w14:val="tx1"/>
                  </w14:solidFill>
                </w14:textFill>
              </w:rPr>
              <w:t>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根据《环境影响评价技术导则 大气环境》（HJ2.2-2018），项目所在区域达标情况判定优先采用国家或地方生态环境主管部门公开发布的环境质量公告或环境质量报告中数据或结论。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本次评价选取20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年作为评价基准年，根据</w:t>
            </w:r>
            <w:r>
              <w:rPr>
                <w:rFonts w:hint="eastAsia"/>
                <w:color w:val="000000" w:themeColor="text1"/>
                <w:sz w:val="24"/>
                <w:lang w:eastAsia="zh-CN"/>
                <w14:textFill>
                  <w14:solidFill>
                    <w14:schemeClr w14:val="tx1"/>
                  </w14:solidFill>
                </w14:textFill>
              </w:rPr>
              <w:t>环境保护部环境工程评估中心“国家环境保护环境影响评价数值模拟重点实验室”上线的环境空气质量模型基础数据服务系统查询，</w:t>
            </w:r>
            <w:r>
              <w:rPr>
                <w:rFonts w:hint="eastAsia"/>
                <w:color w:val="000000" w:themeColor="text1"/>
                <w:sz w:val="24"/>
                <w14:textFill>
                  <w14:solidFill>
                    <w14:schemeClr w14:val="tx1"/>
                  </w14:solidFill>
                </w14:textFill>
              </w:rPr>
              <w:t>空气质量状况统计表见表</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5</w:t>
            </w:r>
            <w:r>
              <w:rPr>
                <w:rFonts w:hint="eastAsia"/>
                <w:b w:val="0"/>
                <w:bCs/>
                <w:color w:val="000000" w:themeColor="text1"/>
                <w:sz w:val="24"/>
                <w14:textFill>
                  <w14:solidFill>
                    <w14:schemeClr w14:val="tx1"/>
                  </w14:solidFill>
                </w14:textFill>
              </w:rPr>
              <w:t>-</w:t>
            </w:r>
            <w:r>
              <w:rPr>
                <w:b w:val="0"/>
                <w:bCs/>
                <w:color w:val="000000" w:themeColor="text1"/>
                <w:sz w:val="24"/>
                <w14:textFill>
                  <w14:solidFill>
                    <w14:schemeClr w14:val="tx1"/>
                  </w14:solidFill>
                </w14:textFill>
              </w:rPr>
              <w:t xml:space="preserve">1  </w:t>
            </w:r>
            <w:r>
              <w:rPr>
                <w:rFonts w:hint="eastAsia"/>
                <w:b w:val="0"/>
                <w:bCs/>
                <w:color w:val="000000" w:themeColor="text1"/>
                <w:sz w:val="24"/>
                <w14:textFill>
                  <w14:solidFill>
                    <w14:schemeClr w14:val="tx1"/>
                  </w14:solidFill>
                </w14:textFill>
              </w:rPr>
              <w:t>空气质量状况统计表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21"/>
              <w:gridCol w:w="1250"/>
              <w:gridCol w:w="2747"/>
              <w:gridCol w:w="1197"/>
              <w:gridCol w:w="1197"/>
              <w:gridCol w:w="884"/>
              <w:gridCol w:w="8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地区</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年评价指标</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浓度值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标准值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阿拉善盟</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13.3%</w:t>
                  </w:r>
                </w:p>
              </w:tc>
              <w:tc>
                <w:tcPr>
                  <w:tcW w:w="467"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62.9%</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23</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65.7%</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17.5%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85.0%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张掖市</w:t>
                  </w: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24</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56</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31</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88.6%</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132</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82.5%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武威市</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13.3%</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24</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66</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94.3%</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35</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100.0%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125</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78.1%</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酒泉市</w:t>
                  </w: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13.3%</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21</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52.5%</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65</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92.9%</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24</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68.6%</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2747"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22.5%</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2747"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124</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77.5%</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嘉峪关市</w:t>
                  </w: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21.7%</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50.0%</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82.9%</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22</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62.9%</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2747"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20.0%</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2747"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122</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76.3%</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金昌市</w:t>
                  </w: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14</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23.3%</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32.5%</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57</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81.4%</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2747"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57.1%</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2747"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22.5%</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50"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2747"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122</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76.3%</w:t>
                  </w:r>
                </w:p>
              </w:tc>
              <w:tc>
                <w:tcPr>
                  <w:tcW w:w="887"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bl>
          <w:p>
            <w:pPr>
              <w:spacing w:line="360" w:lineRule="auto"/>
              <w:ind w:firstLine="480" w:firstLineChars="200"/>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根据上述统计结果，</w:t>
            </w:r>
            <w:r>
              <w:rPr>
                <w:rFonts w:hint="eastAsia"/>
                <w:color w:val="000000" w:themeColor="text1"/>
                <w:sz w:val="24"/>
                <w:lang w:val="en-US" w:eastAsia="zh-CN"/>
                <w14:textFill>
                  <w14:solidFill>
                    <w14:schemeClr w14:val="tx1"/>
                  </w14:solidFill>
                </w14:textFill>
              </w:rPr>
              <w:t>内蒙古自治区阿拉善盟及甘肃省张掖市、武威市、酒泉市、嘉峪关市和金昌市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w:t>
            </w:r>
            <w:r>
              <w:rPr>
                <w:rFonts w:hint="eastAsia"/>
                <w:color w:val="000000" w:themeColor="text1"/>
                <w:sz w:val="24"/>
                <w:lang w:val="en-US" w:eastAsia="zh-CN"/>
                <w14:textFill>
                  <w14:solidFill>
                    <w14:schemeClr w14:val="tx1"/>
                  </w14:solidFill>
                </w14:textFill>
              </w:rPr>
              <w:t>环境空气质量</w:t>
            </w:r>
            <w:r>
              <w:rPr>
                <w:rFonts w:hint="eastAsia"/>
                <w:color w:val="000000" w:themeColor="text1"/>
                <w:sz w:val="24"/>
                <w14:textFill>
                  <w14:solidFill>
                    <w14:schemeClr w14:val="tx1"/>
                  </w14:solidFill>
                </w14:textFill>
              </w:rPr>
              <w:t>均满足《环境空气质量标准》（GB3095-2012）中二级标准限值。根据《环境影响评价技术导则 大气环境》（HJ2.2-2018），</w:t>
            </w:r>
            <w:r>
              <w:rPr>
                <w:rFonts w:hint="eastAsia"/>
                <w:color w:val="000000" w:themeColor="text1"/>
                <w:sz w:val="24"/>
                <w:lang w:val="en-US" w:eastAsia="zh-CN"/>
                <w14:textFill>
                  <w14:solidFill>
                    <w14:schemeClr w14:val="tx1"/>
                  </w14:solidFill>
                </w14:textFill>
              </w:rPr>
              <w:t>项目所在区为环境空气质量达标区。</w:t>
            </w:r>
          </w:p>
          <w:p>
            <w:pPr>
              <w:pStyle w:val="18"/>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声环境质量现状</w:t>
            </w:r>
          </w:p>
          <w:p>
            <w:pPr>
              <w:spacing w:line="360" w:lineRule="auto"/>
              <w:ind w:firstLine="480" w:firstLineChars="200"/>
              <w:rPr>
                <w:rFonts w:hint="eastAsia" w:ascii="Times New Roman" w:hAnsi="Times New Roman" w:cs="Times New Roman"/>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14:textFill>
                  <w14:solidFill>
                    <w14:schemeClr w14:val="tx1"/>
                  </w14:solidFill>
                </w14:textFill>
              </w:rPr>
              <w:t>根据《2020年甘肃省生态环境状况公报》</w:t>
            </w:r>
            <w:r>
              <w:rPr>
                <w:rFonts w:hint="eastAsia" w:ascii="Times New Roman" w:hAnsi="Times New Roman" w:cs="Times New Roman"/>
                <w:color w:val="000000" w:themeColor="text1"/>
                <w:sz w:val="24"/>
                <w:lang w:eastAsia="zh-CN"/>
                <w14:textFill>
                  <w14:solidFill>
                    <w14:schemeClr w14:val="tx1"/>
                  </w14:solidFill>
                </w14:textFill>
              </w:rPr>
              <w:t>，全省城市区域环境噪声平均等效声级范围在49.5-57.1分贝之间，声环境质量处在“较好”水平。</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w:t>
            </w:r>
            <w:r>
              <w:rPr>
                <w:rFonts w:hint="eastAsia" w:ascii="Times New Roman" w:hAnsi="Times New Roman" w:cs="Times New Roman"/>
                <w:color w:val="000000" w:themeColor="text1"/>
                <w:sz w:val="24"/>
                <w14:textFill>
                  <w14:solidFill>
                    <w14:schemeClr w14:val="tx1"/>
                  </w14:solidFill>
                </w14:textFill>
              </w:rPr>
              <w:t>2020年</w:t>
            </w:r>
            <w:r>
              <w:rPr>
                <w:rFonts w:hint="eastAsia" w:ascii="Times New Roman" w:hAnsi="Times New Roman" w:cs="Times New Roman"/>
                <w:color w:val="000000" w:themeColor="text1"/>
                <w:sz w:val="24"/>
                <w:lang w:val="en-US" w:eastAsia="zh-CN"/>
                <w14:textFill>
                  <w14:solidFill>
                    <w14:schemeClr w14:val="tx1"/>
                  </w14:solidFill>
                </w14:textFill>
              </w:rPr>
              <w:t>内蒙古自治区</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》，全区城市区域声环境平均等效声级 52.4分贝，区域声环境质量评价为较好；各城市中，鄂尔多斯市、乌兰察布市区域声环境质量为好，赤峰市为一般，其他监测城市均为较好。</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本项目勘查区内人员稀少，其环境噪声基本处于处于背景状态，区域声环境质量良好。</w:t>
            </w:r>
          </w:p>
          <w:p>
            <w:pPr>
              <w:pStyle w:val="18"/>
              <w:numPr>
                <w:ilvl w:val="0"/>
                <w:numId w:val="0"/>
              </w:numPr>
              <w:spacing w:line="360" w:lineRule="auto"/>
              <w:ind w:leftChars="0"/>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3、辐射环境质量现状</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巴丹吉林盆地及周缘铀矿资源调查评价项目</w:t>
            </w:r>
            <w:r>
              <w:rPr>
                <w:rFonts w:hint="eastAsia"/>
                <w:color w:val="000000" w:themeColor="text1"/>
                <w:sz w:val="24"/>
                <w:lang w:val="en-US" w:eastAsia="zh-CN"/>
                <w14:textFill>
                  <w14:solidFill>
                    <w14:schemeClr w14:val="tx1"/>
                  </w14:solidFill>
                </w14:textFill>
              </w:rPr>
              <w:t>勘查区域地跨阿拉善、张掖市、武威市、酒泉市、嘉峪关市、金昌市。本项目所在区域环境质量现状数据来源于《中国环境天然放射性水平》（2015版，中国原子能出版社）。</w:t>
            </w:r>
          </w:p>
          <w:p>
            <w:pPr>
              <w:pStyle w:val="18"/>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天然贯穿辐射剂量率</w:t>
            </w:r>
          </w:p>
          <w:p>
            <w:pPr>
              <w:pStyle w:val="18"/>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根据</w:t>
            </w:r>
            <w:r>
              <w:rPr>
                <w:rFonts w:hint="eastAsia"/>
                <w:color w:val="000000" w:themeColor="text1"/>
                <w:sz w:val="24"/>
                <w14:textFill>
                  <w14:solidFill>
                    <w14:schemeClr w14:val="tx1"/>
                  </w14:solidFill>
                </w14:textFill>
              </w:rPr>
              <w:t>内蒙阿拉善地区、张掖市、武威市、酒泉市、嘉峪关市、金昌市</w:t>
            </w:r>
            <w:r>
              <w:rPr>
                <w:color w:val="000000" w:themeColor="text1"/>
                <w:sz w:val="24"/>
                <w14:textFill>
                  <w14:solidFill>
                    <w14:schemeClr w14:val="tx1"/>
                  </w14:solidFill>
                </w14:textFill>
              </w:rPr>
              <w:t>环境天然贯穿辐射水平调查结果（数据来源于《中国环境天然放射性水平》（2015版），</w:t>
            </w:r>
            <w:r>
              <w:rPr>
                <w:rFonts w:hint="eastAsia"/>
                <w:color w:val="000000" w:themeColor="text1"/>
                <w:sz w:val="24"/>
                <w14:textFill>
                  <w14:solidFill>
                    <w14:schemeClr w14:val="tx1"/>
                  </w14:solidFill>
                </w14:textFill>
              </w:rPr>
              <w:t>阿拉善地区</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为93.5nGy/h，室内天然贯穿辐射剂量率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为129.7nGy/h</w:t>
            </w:r>
            <w:r>
              <w:rPr>
                <w:rFonts w:hint="eastAsia"/>
                <w:color w:val="000000" w:themeColor="text1"/>
                <w:sz w:val="24"/>
                <w14:textFill>
                  <w14:solidFill>
                    <w14:schemeClr w14:val="tx1"/>
                  </w14:solidFill>
                </w14:textFill>
              </w:rPr>
              <w:t>；张掖市</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为131.5nGy/h，室内天然贯穿辐射剂量率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为150.3nGy/h</w:t>
            </w:r>
            <w:r>
              <w:rPr>
                <w:rFonts w:hint="eastAsia"/>
                <w:color w:val="000000" w:themeColor="text1"/>
                <w:sz w:val="24"/>
                <w14:textFill>
                  <w14:solidFill>
                    <w14:schemeClr w14:val="tx1"/>
                  </w14:solidFill>
                </w14:textFill>
              </w:rPr>
              <w:t>；武威市</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为109.5nGy/h，室内天然贯穿辐射剂量率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为143.0nGy/h</w:t>
            </w:r>
            <w:r>
              <w:rPr>
                <w:rFonts w:hint="eastAsia"/>
                <w:color w:val="000000" w:themeColor="text1"/>
                <w:sz w:val="24"/>
                <w14:textFill>
                  <w14:solidFill>
                    <w14:schemeClr w14:val="tx1"/>
                  </w14:solidFill>
                </w14:textFill>
              </w:rPr>
              <w:t>；酒泉市</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为104.3nGy/h，室内天然贯穿辐射剂量率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为132.2nGy/h</w:t>
            </w:r>
            <w:r>
              <w:rPr>
                <w:rFonts w:hint="eastAsia"/>
                <w:color w:val="000000" w:themeColor="text1"/>
                <w:sz w:val="24"/>
                <w14:textFill>
                  <w14:solidFill>
                    <w14:schemeClr w14:val="tx1"/>
                  </w14:solidFill>
                </w14:textFill>
              </w:rPr>
              <w:t>；嘉峪关市</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为97.6nGy/h，室内天然贯穿辐射剂量率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为138.2nGy/h</w:t>
            </w:r>
            <w:r>
              <w:rPr>
                <w:rFonts w:hint="eastAsia"/>
                <w:color w:val="000000" w:themeColor="text1"/>
                <w:sz w:val="24"/>
                <w14:textFill>
                  <w14:solidFill>
                    <w14:schemeClr w14:val="tx1"/>
                  </w14:solidFill>
                </w14:textFill>
              </w:rPr>
              <w:t>；金昌市</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为123.5nGy/h，室内天然贯穿辐射剂量率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为171.9nGy/h</w:t>
            </w:r>
            <w:r>
              <w:rPr>
                <w:rFonts w:hint="eastAsia"/>
                <w:color w:val="000000" w:themeColor="text1"/>
                <w:sz w:val="24"/>
                <w14:textFill>
                  <w14:solidFill>
                    <w14:schemeClr w14:val="tx1"/>
                  </w14:solidFill>
                </w14:textFill>
              </w:rPr>
              <w:t>。</w:t>
            </w:r>
          </w:p>
          <w:p>
            <w:pPr>
              <w:adjustRightInd w:val="0"/>
              <w:snapToGrid w:val="0"/>
              <w:spacing w:line="240" w:lineRule="auto"/>
              <w:jc w:val="center"/>
              <w:rPr>
                <w:b w:val="0"/>
                <w:bCs/>
                <w:color w:val="000000" w:themeColor="text1"/>
                <w:sz w:val="24"/>
                <w14:textFill>
                  <w14:solidFill>
                    <w14:schemeClr w14:val="tx1"/>
                  </w14:solidFill>
                </w14:textFill>
              </w:rPr>
            </w:pPr>
            <w:r>
              <w:rPr>
                <w:b w:val="0"/>
                <w:bCs/>
                <w:color w:val="000000" w:themeColor="text1"/>
                <w:sz w:val="24"/>
                <w14:textFill>
                  <w14:solidFill>
                    <w14:schemeClr w14:val="tx1"/>
                  </w14:solidFill>
                </w14:textFill>
              </w:rPr>
              <w:t>表5-</w:t>
            </w:r>
            <w:r>
              <w:rPr>
                <w:rFonts w:hint="eastAsia"/>
                <w:b w:val="0"/>
                <w:bCs/>
                <w:color w:val="000000" w:themeColor="text1"/>
                <w:sz w:val="24"/>
                <w:lang w:val="en-US" w:eastAsia="zh-CN"/>
                <w14:textFill>
                  <w14:solidFill>
                    <w14:schemeClr w14:val="tx1"/>
                  </w14:solidFill>
                </w14:textFill>
              </w:rPr>
              <w:t>2</w:t>
            </w:r>
            <w:r>
              <w:rPr>
                <w:b w:val="0"/>
                <w:bCs/>
                <w:color w:val="000000" w:themeColor="text1"/>
                <w:sz w:val="24"/>
                <w14:textFill>
                  <w14:solidFill>
                    <w14:schemeClr w14:val="tx1"/>
                  </w14:solidFill>
                </w14:textFill>
              </w:rPr>
              <w:t xml:space="preserve">  项目</w:t>
            </w:r>
            <w:r>
              <w:rPr>
                <w:rFonts w:hint="eastAsia"/>
                <w:b w:val="0"/>
                <w:bCs/>
                <w:color w:val="000000" w:themeColor="text1"/>
                <w:sz w:val="24"/>
                <w:lang w:eastAsia="zh-CN"/>
                <w14:textFill>
                  <w14:solidFill>
                    <w14:schemeClr w14:val="tx1"/>
                  </w14:solidFill>
                </w14:textFill>
              </w:rPr>
              <w:t>勘查区</w:t>
            </w:r>
            <w:r>
              <w:rPr>
                <w:b w:val="0"/>
                <w:bCs/>
                <w:color w:val="000000" w:themeColor="text1"/>
                <w:sz w:val="24"/>
                <w14:textFill>
                  <w14:solidFill>
                    <w14:schemeClr w14:val="tx1"/>
                  </w14:solidFill>
                </w14:textFill>
              </w:rPr>
              <w:t>天然贯穿辐射剂量率  nGy/h</w:t>
            </w:r>
          </w:p>
          <w:tbl>
            <w:tblPr>
              <w:tblStyle w:val="11"/>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76"/>
              <w:gridCol w:w="1318"/>
              <w:gridCol w:w="1747"/>
              <w:gridCol w:w="1458"/>
              <w:gridCol w:w="1739"/>
              <w:gridCol w:w="1743"/>
              <w:gridCol w:w="7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7" w:hRule="atLeast"/>
                <w:tblHeader/>
                <w:jc w:val="center"/>
              </w:trPr>
              <w:tc>
                <w:tcPr>
                  <w:tcW w:w="409"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序号</w:t>
                  </w:r>
                </w:p>
              </w:tc>
              <w:tc>
                <w:tcPr>
                  <w:tcW w:w="695"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区域</w:t>
                  </w:r>
                </w:p>
              </w:tc>
              <w:tc>
                <w:tcPr>
                  <w:tcW w:w="3526" w:type="pct"/>
                  <w:gridSpan w:val="4"/>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天然贯穿辐射剂量率调查结果</w:t>
                  </w:r>
                </w:p>
              </w:tc>
              <w:tc>
                <w:tcPr>
                  <w:tcW w:w="369"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0" w:hRule="atLeast"/>
                <w:tblHeader/>
                <w:jc w:val="center"/>
              </w:trPr>
              <w:tc>
                <w:tcPr>
                  <w:tcW w:w="409" w:type="pct"/>
                  <w:vMerge w:val="continue"/>
                  <w:vAlign w:val="center"/>
                </w:tcPr>
                <w:p>
                  <w:pPr>
                    <w:jc w:val="center"/>
                    <w:rPr>
                      <w:b w:val="0"/>
                      <w:bCs/>
                      <w:color w:val="000000" w:themeColor="text1"/>
                      <w:sz w:val="21"/>
                      <w:szCs w:val="21"/>
                      <w14:textFill>
                        <w14:solidFill>
                          <w14:schemeClr w14:val="tx1"/>
                        </w14:solidFill>
                      </w14:textFill>
                    </w:rPr>
                  </w:pPr>
                </w:p>
              </w:tc>
              <w:tc>
                <w:tcPr>
                  <w:tcW w:w="695" w:type="pct"/>
                  <w:vMerge w:val="continue"/>
                  <w:vAlign w:val="center"/>
                </w:tcPr>
                <w:p>
                  <w:pPr>
                    <w:jc w:val="center"/>
                    <w:rPr>
                      <w:b w:val="0"/>
                      <w:bCs/>
                      <w:color w:val="000000" w:themeColor="text1"/>
                      <w:sz w:val="21"/>
                      <w:szCs w:val="21"/>
                      <w14:textFill>
                        <w14:solidFill>
                          <w14:schemeClr w14:val="tx1"/>
                        </w14:solidFill>
                      </w14:textFill>
                    </w:rPr>
                  </w:pPr>
                </w:p>
              </w:tc>
              <w:tc>
                <w:tcPr>
                  <w:tcW w:w="1690"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室外</w:t>
                  </w:r>
                </w:p>
              </w:tc>
              <w:tc>
                <w:tcPr>
                  <w:tcW w:w="1835"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室内</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0" w:hRule="atLeast"/>
                <w:tblHeader/>
                <w:jc w:val="center"/>
              </w:trPr>
              <w:tc>
                <w:tcPr>
                  <w:tcW w:w="409" w:type="pct"/>
                  <w:vMerge w:val="continue"/>
                  <w:vAlign w:val="center"/>
                </w:tcPr>
                <w:p>
                  <w:pPr>
                    <w:jc w:val="center"/>
                    <w:rPr>
                      <w:b w:val="0"/>
                      <w:bCs/>
                      <w:color w:val="000000" w:themeColor="text1"/>
                      <w:sz w:val="21"/>
                      <w:szCs w:val="21"/>
                      <w14:textFill>
                        <w14:solidFill>
                          <w14:schemeClr w14:val="tx1"/>
                        </w14:solidFill>
                      </w14:textFill>
                    </w:rPr>
                  </w:pPr>
                </w:p>
              </w:tc>
              <w:tc>
                <w:tcPr>
                  <w:tcW w:w="695" w:type="pct"/>
                  <w:vMerge w:val="continue"/>
                  <w:vAlign w:val="center"/>
                </w:tcPr>
                <w:p>
                  <w:pPr>
                    <w:jc w:val="center"/>
                    <w:rPr>
                      <w:b w:val="0"/>
                      <w:bCs/>
                      <w:color w:val="000000" w:themeColor="text1"/>
                      <w:sz w:val="21"/>
                      <w:szCs w:val="21"/>
                      <w14:textFill>
                        <w14:solidFill>
                          <w14:schemeClr w14:val="tx1"/>
                        </w14:solidFill>
                      </w14:textFill>
                    </w:rPr>
                  </w:pPr>
                </w:p>
              </w:tc>
              <w:tc>
                <w:tcPr>
                  <w:tcW w:w="921"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 值</w:t>
                  </w:r>
                </w:p>
              </w:tc>
              <w:tc>
                <w:tcPr>
                  <w:tcW w:w="768"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917"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 值</w:t>
                  </w:r>
                </w:p>
              </w:tc>
              <w:tc>
                <w:tcPr>
                  <w:tcW w:w="918"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409"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阿拉善</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93.5</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11.7</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129.7</w:t>
                  </w:r>
                </w:p>
              </w:tc>
              <w:tc>
                <w:tcPr>
                  <w:tcW w:w="91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15.8</w:t>
                  </w:r>
                </w:p>
              </w:tc>
              <w:tc>
                <w:tcPr>
                  <w:tcW w:w="369" w:type="pct"/>
                  <w:vAlign w:val="center"/>
                </w:tcPr>
                <w:p>
                  <w:pPr>
                    <w:adjustRightInd w:val="0"/>
                    <w:snapToGrid w:val="0"/>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409"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张掖市</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131.5</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12.0</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150.3</w:t>
                  </w:r>
                </w:p>
              </w:tc>
              <w:tc>
                <w:tcPr>
                  <w:tcW w:w="91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14.0</w:t>
                  </w:r>
                </w:p>
              </w:tc>
              <w:tc>
                <w:tcPr>
                  <w:tcW w:w="369" w:type="pct"/>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409"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3</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武威市</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109.5</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11.2</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143.0</w:t>
                  </w:r>
                </w:p>
              </w:tc>
              <w:tc>
                <w:tcPr>
                  <w:tcW w:w="91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12.9</w:t>
                  </w:r>
                </w:p>
              </w:tc>
              <w:tc>
                <w:tcPr>
                  <w:tcW w:w="369" w:type="pct"/>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409"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4</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酒泉市</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04.3</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3.9</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32.2</w:t>
                  </w:r>
                </w:p>
              </w:tc>
              <w:tc>
                <w:tcPr>
                  <w:tcW w:w="91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r>
                    <w:rPr>
                      <w:b w:val="0"/>
                      <w:bCs/>
                      <w:color w:val="000000" w:themeColor="text1"/>
                      <w:sz w:val="21"/>
                      <w:szCs w:val="21"/>
                      <w14:textFill>
                        <w14:solidFill>
                          <w14:schemeClr w14:val="tx1"/>
                        </w14:solidFill>
                      </w14:textFill>
                    </w:rPr>
                    <w:t>1.2</w:t>
                  </w:r>
                </w:p>
              </w:tc>
              <w:tc>
                <w:tcPr>
                  <w:tcW w:w="369" w:type="pct"/>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409"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5</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嘉峪关市</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9</w:t>
                  </w:r>
                  <w:r>
                    <w:rPr>
                      <w:b w:val="0"/>
                      <w:bCs/>
                      <w:color w:val="000000" w:themeColor="text1"/>
                      <w:sz w:val="21"/>
                      <w:szCs w:val="21"/>
                      <w14:textFill>
                        <w14:solidFill>
                          <w14:schemeClr w14:val="tx1"/>
                        </w14:solidFill>
                      </w14:textFill>
                    </w:rPr>
                    <w:t>7.6</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4.6</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38.2</w:t>
                  </w:r>
                </w:p>
              </w:tc>
              <w:tc>
                <w:tcPr>
                  <w:tcW w:w="91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8.0</w:t>
                  </w:r>
                </w:p>
              </w:tc>
              <w:tc>
                <w:tcPr>
                  <w:tcW w:w="369" w:type="pct"/>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409"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6</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金昌市</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23.5</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1.7</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71.9</w:t>
                  </w:r>
                </w:p>
              </w:tc>
              <w:tc>
                <w:tcPr>
                  <w:tcW w:w="91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8.4</w:t>
                  </w:r>
                </w:p>
              </w:tc>
              <w:tc>
                <w:tcPr>
                  <w:tcW w:w="369" w:type="pct"/>
                  <w:vAlign w:val="center"/>
                </w:tcPr>
                <w:p>
                  <w:pPr>
                    <w:jc w:val="center"/>
                    <w:rPr>
                      <w:b w:val="0"/>
                      <w:bCs/>
                      <w:color w:val="000000" w:themeColor="text1"/>
                      <w:sz w:val="21"/>
                      <w:szCs w:val="21"/>
                      <w14:textFill>
                        <w14:solidFill>
                          <w14:schemeClr w14:val="tx1"/>
                        </w14:solidFill>
                      </w14:textFill>
                    </w:rPr>
                  </w:pP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（2）土壤中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w:t>
            </w:r>
          </w:p>
          <w:p>
            <w:pPr>
              <w:pStyle w:val="18"/>
              <w:adjustRightInd w:val="0"/>
              <w:snapToGrid w:val="0"/>
              <w:spacing w:line="360" w:lineRule="auto"/>
              <w:ind w:firstLine="480"/>
              <w:rPr>
                <w:color w:val="000000" w:themeColor="text1"/>
                <w14:textFill>
                  <w14:solidFill>
                    <w14:schemeClr w14:val="tx1"/>
                  </w14:solidFill>
                </w14:textFill>
              </w:rPr>
            </w:pPr>
            <w:r>
              <w:rPr>
                <w:color w:val="000000" w:themeColor="text1"/>
                <w:sz w:val="24"/>
                <w14:textFill>
                  <w14:solidFill>
                    <w14:schemeClr w14:val="tx1"/>
                  </w14:solidFill>
                </w14:textFill>
              </w:rPr>
              <w:t>根据《中国环境天然放射性水平》（2015版），本项目勘查区土壤中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U含量本底值范围为10.65~200.0Bq/kg，</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Ra本底值范围为14.17~55.5Bq/kg，各</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域土壤中放射性核素</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Ra含量见表</w:t>
            </w:r>
            <w:r>
              <w:rPr>
                <w:rFonts w:hint="eastAsia"/>
                <w:color w:val="000000" w:themeColor="text1"/>
                <w:sz w:val="24"/>
                <w14:textFill>
                  <w14:solidFill>
                    <w14:schemeClr w14:val="tx1"/>
                  </w14:solidFill>
                </w14:textFill>
              </w:rPr>
              <w:t>5-</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w:t>
            </w:r>
          </w:p>
          <w:p>
            <w:pPr>
              <w:adjustRightInd w:val="0"/>
              <w:snapToGrid w:val="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3</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lang w:val="en-US" w:eastAsia="zh-CN"/>
                <w14:textFill>
                  <w14:solidFill>
                    <w14:schemeClr w14:val="tx1"/>
                  </w14:solidFill>
                </w14:textFill>
              </w:rPr>
              <w:t xml:space="preserve"> </w:t>
            </w:r>
            <w:r>
              <w:rPr>
                <w:b w:val="0"/>
                <w:bCs w:val="0"/>
                <w:color w:val="000000" w:themeColor="text1"/>
                <w:sz w:val="24"/>
                <w14:textFill>
                  <w14:solidFill>
                    <w14:schemeClr w14:val="tx1"/>
                  </w14:solidFill>
                </w14:textFill>
              </w:rPr>
              <w:t>项目所在勘查区土壤（干样）中</w:t>
            </w:r>
            <w:r>
              <w:rPr>
                <w:b w:val="0"/>
                <w:bCs w:val="0"/>
                <w:color w:val="000000" w:themeColor="text1"/>
                <w:sz w:val="24"/>
                <w:vertAlign w:val="superscript"/>
                <w14:textFill>
                  <w14:solidFill>
                    <w14:schemeClr w14:val="tx1"/>
                  </w14:solidFill>
                </w14:textFill>
              </w:rPr>
              <w:t>238</w:t>
            </w:r>
            <w:r>
              <w:rPr>
                <w:b w:val="0"/>
                <w:bCs w:val="0"/>
                <w:color w:val="000000" w:themeColor="text1"/>
                <w:sz w:val="24"/>
                <w14:textFill>
                  <w14:solidFill>
                    <w14:schemeClr w14:val="tx1"/>
                  </w14:solidFill>
                </w14:textFill>
              </w:rPr>
              <w:t>U、</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  Bq/kg</w:t>
            </w:r>
          </w:p>
          <w:tbl>
            <w:tblPr>
              <w:tblStyle w:val="11"/>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98"/>
              <w:gridCol w:w="1748"/>
              <w:gridCol w:w="1433"/>
              <w:gridCol w:w="952"/>
              <w:gridCol w:w="1121"/>
              <w:gridCol w:w="1297"/>
              <w:gridCol w:w="793"/>
              <w:gridCol w:w="939"/>
              <w:gridCol w:w="5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7" w:hRule="atLeast"/>
                <w:tblHeader/>
                <w:jc w:val="center"/>
              </w:trPr>
              <w:tc>
                <w:tcPr>
                  <w:tcW w:w="316"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922"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区域</w:t>
                  </w:r>
                </w:p>
              </w:tc>
              <w:tc>
                <w:tcPr>
                  <w:tcW w:w="1849"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238</w:t>
                  </w:r>
                  <w:r>
                    <w:rPr>
                      <w:color w:val="000000" w:themeColor="text1"/>
                      <w:sz w:val="21"/>
                      <w:szCs w:val="21"/>
                      <w14:textFill>
                        <w14:solidFill>
                          <w14:schemeClr w14:val="tx1"/>
                        </w14:solidFill>
                      </w14:textFill>
                    </w:rPr>
                    <w:t>U</w:t>
                  </w:r>
                </w:p>
              </w:tc>
              <w:tc>
                <w:tcPr>
                  <w:tcW w:w="1597"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tc>
              <w:tc>
                <w:tcPr>
                  <w:tcW w:w="313"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9" w:hRule="atLeast"/>
                <w:tblHeader/>
                <w:jc w:val="center"/>
              </w:trPr>
              <w:tc>
                <w:tcPr>
                  <w:tcW w:w="316" w:type="pct"/>
                  <w:vMerge w:val="continue"/>
                  <w:vAlign w:val="center"/>
                </w:tcPr>
                <w:p>
                  <w:pPr>
                    <w:jc w:val="center"/>
                    <w:rPr>
                      <w:color w:val="000000" w:themeColor="text1"/>
                      <w:sz w:val="21"/>
                      <w:szCs w:val="21"/>
                      <w14:textFill>
                        <w14:solidFill>
                          <w14:schemeClr w14:val="tx1"/>
                        </w14:solidFill>
                      </w14:textFill>
                    </w:rPr>
                  </w:pPr>
                </w:p>
              </w:tc>
              <w:tc>
                <w:tcPr>
                  <w:tcW w:w="922" w:type="pct"/>
                  <w:vMerge w:val="continue"/>
                  <w:vAlign w:val="center"/>
                </w:tcPr>
                <w:p>
                  <w:pPr>
                    <w:jc w:val="center"/>
                    <w:rPr>
                      <w:color w:val="000000" w:themeColor="text1"/>
                      <w:sz w:val="21"/>
                      <w:szCs w:val="21"/>
                      <w14:textFill>
                        <w14:solidFill>
                          <w14:schemeClr w14:val="tx1"/>
                        </w14:solidFill>
                      </w14:textFill>
                    </w:rPr>
                  </w:pPr>
                </w:p>
              </w:tc>
              <w:tc>
                <w:tcPr>
                  <w:tcW w:w="756"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范围</w:t>
                  </w:r>
                </w:p>
              </w:tc>
              <w:tc>
                <w:tcPr>
                  <w:tcW w:w="502"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均值</w:t>
                  </w:r>
                </w:p>
              </w:tc>
              <w:tc>
                <w:tcPr>
                  <w:tcW w:w="590"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684"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范围</w:t>
                  </w:r>
                </w:p>
              </w:tc>
              <w:tc>
                <w:tcPr>
                  <w:tcW w:w="418"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均值</w:t>
                  </w:r>
                </w:p>
              </w:tc>
              <w:tc>
                <w:tcPr>
                  <w:tcW w:w="494"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313" w:type="pct"/>
                  <w:vMerge w:val="continue"/>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6"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阿拉善</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16.21~60.55</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32.26</w:t>
                  </w:r>
                </w:p>
              </w:tc>
              <w:tc>
                <w:tcPr>
                  <w:tcW w:w="590"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10.78</w:t>
                  </w:r>
                </w:p>
              </w:tc>
              <w:tc>
                <w:tcPr>
                  <w:tcW w:w="684"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14.17~39.59</w:t>
                  </w:r>
                </w:p>
              </w:tc>
              <w:tc>
                <w:tcPr>
                  <w:tcW w:w="41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25.37</w:t>
                  </w:r>
                </w:p>
              </w:tc>
              <w:tc>
                <w:tcPr>
                  <w:tcW w:w="494"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5.36</w:t>
                  </w:r>
                </w:p>
              </w:tc>
              <w:tc>
                <w:tcPr>
                  <w:tcW w:w="313"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6"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张掖市</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5.5~84.4</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6.7</w:t>
                  </w:r>
                </w:p>
              </w:tc>
              <w:tc>
                <w:tcPr>
                  <w:tcW w:w="590"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8</w:t>
                  </w:r>
                  <w:r>
                    <w:rPr>
                      <w:color w:val="000000" w:themeColor="text1"/>
                      <w:sz w:val="21"/>
                      <w:szCs w:val="21"/>
                      <w14:textFill>
                        <w14:solidFill>
                          <w14:schemeClr w14:val="tx1"/>
                        </w14:solidFill>
                      </w14:textFill>
                    </w:rPr>
                    <w:t>.0</w:t>
                  </w:r>
                </w:p>
              </w:tc>
              <w:tc>
                <w:tcPr>
                  <w:tcW w:w="68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2.2~45.3</w:t>
                  </w:r>
                </w:p>
              </w:tc>
              <w:tc>
                <w:tcPr>
                  <w:tcW w:w="4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2.2</w:t>
                  </w:r>
                </w:p>
              </w:tc>
              <w:tc>
                <w:tcPr>
                  <w:tcW w:w="49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.2</w:t>
                  </w:r>
                </w:p>
              </w:tc>
              <w:tc>
                <w:tcPr>
                  <w:tcW w:w="313"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6"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武威市</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2.3~57.8</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6.3</w:t>
                  </w:r>
                </w:p>
              </w:tc>
              <w:tc>
                <w:tcPr>
                  <w:tcW w:w="590"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6</w:t>
                  </w:r>
                  <w:r>
                    <w:rPr>
                      <w:color w:val="000000" w:themeColor="text1"/>
                      <w:sz w:val="21"/>
                      <w:szCs w:val="21"/>
                      <w14:textFill>
                        <w14:solidFill>
                          <w14:schemeClr w14:val="tx1"/>
                        </w14:solidFill>
                      </w14:textFill>
                    </w:rPr>
                    <w:t>.5</w:t>
                  </w:r>
                </w:p>
              </w:tc>
              <w:tc>
                <w:tcPr>
                  <w:tcW w:w="68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0.5~46.1</w:t>
                  </w:r>
                </w:p>
              </w:tc>
              <w:tc>
                <w:tcPr>
                  <w:tcW w:w="4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1.8</w:t>
                  </w:r>
                </w:p>
              </w:tc>
              <w:tc>
                <w:tcPr>
                  <w:tcW w:w="49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.2</w:t>
                  </w:r>
                </w:p>
              </w:tc>
              <w:tc>
                <w:tcPr>
                  <w:tcW w:w="313"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酒泉地区</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20.1~200.0</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80.0</w:t>
                  </w:r>
                </w:p>
              </w:tc>
              <w:tc>
                <w:tcPr>
                  <w:tcW w:w="590"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34.6</w:t>
                  </w:r>
                </w:p>
              </w:tc>
              <w:tc>
                <w:tcPr>
                  <w:tcW w:w="684"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14.4~46.1</w:t>
                  </w:r>
                </w:p>
              </w:tc>
              <w:tc>
                <w:tcPr>
                  <w:tcW w:w="41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25.4</w:t>
                  </w:r>
                </w:p>
              </w:tc>
              <w:tc>
                <w:tcPr>
                  <w:tcW w:w="494"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5.4</w:t>
                  </w:r>
                </w:p>
              </w:tc>
              <w:tc>
                <w:tcPr>
                  <w:tcW w:w="313"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嘉峪关</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r>
                    <w:rPr>
                      <w:color w:val="000000" w:themeColor="text1"/>
                      <w:sz w:val="21"/>
                      <w:szCs w:val="21"/>
                      <w14:textFill>
                        <w14:solidFill>
                          <w14:schemeClr w14:val="tx1"/>
                        </w14:solidFill>
                      </w14:textFill>
                    </w:rPr>
                    <w:t>9.4~82.3</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2.3</w:t>
                  </w:r>
                </w:p>
              </w:tc>
              <w:tc>
                <w:tcPr>
                  <w:tcW w:w="590"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4.1</w:t>
                  </w:r>
                </w:p>
              </w:tc>
              <w:tc>
                <w:tcPr>
                  <w:tcW w:w="68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0.4~24</w:t>
                  </w:r>
                </w:p>
              </w:tc>
              <w:tc>
                <w:tcPr>
                  <w:tcW w:w="4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2.0</w:t>
                  </w:r>
                </w:p>
              </w:tc>
              <w:tc>
                <w:tcPr>
                  <w:tcW w:w="49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.3</w:t>
                  </w:r>
                </w:p>
              </w:tc>
              <w:tc>
                <w:tcPr>
                  <w:tcW w:w="313"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金昌市</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24.0~56.7</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38.8</w:t>
                  </w:r>
                </w:p>
              </w:tc>
              <w:tc>
                <w:tcPr>
                  <w:tcW w:w="590"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9.4</w:t>
                  </w:r>
                </w:p>
              </w:tc>
              <w:tc>
                <w:tcPr>
                  <w:tcW w:w="684"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23.5~55.5</w:t>
                  </w:r>
                </w:p>
              </w:tc>
              <w:tc>
                <w:tcPr>
                  <w:tcW w:w="41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37.3</w:t>
                  </w:r>
                </w:p>
              </w:tc>
              <w:tc>
                <w:tcPr>
                  <w:tcW w:w="494"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9.0</w:t>
                  </w:r>
                </w:p>
              </w:tc>
              <w:tc>
                <w:tcPr>
                  <w:tcW w:w="313" w:type="pct"/>
                  <w:vAlign w:val="center"/>
                </w:tcPr>
                <w:p>
                  <w:pPr>
                    <w:jc w:val="center"/>
                    <w:rPr>
                      <w:color w:val="000000" w:themeColor="text1"/>
                      <w:sz w:val="21"/>
                      <w:szCs w:val="21"/>
                      <w14:textFill>
                        <w14:solidFill>
                          <w14:schemeClr w14:val="tx1"/>
                        </w14:solidFill>
                      </w14:textFill>
                    </w:rPr>
                  </w:pPr>
                </w:p>
              </w:tc>
            </w:tr>
          </w:tbl>
          <w:p>
            <w:pPr>
              <w:spacing w:line="360" w:lineRule="auto"/>
              <w:ind w:firstLine="315" w:firstLineChars="150"/>
              <w:rPr>
                <w:color w:val="000000" w:themeColor="text1"/>
                <w14:textFill>
                  <w14:solidFill>
                    <w14:schemeClr w14:val="tx1"/>
                  </w14:solidFill>
                </w14:textFill>
              </w:rPr>
            </w:pPr>
            <w:r>
              <w:rPr>
                <w:color w:val="000000" w:themeColor="text1"/>
                <w14:textFill>
                  <w14:solidFill>
                    <w14:schemeClr w14:val="tx1"/>
                  </w14:solidFill>
                </w14:textFill>
              </w:rPr>
              <w:t>备注：表中均值、标准差均为按点加权计算结果。</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地表水中U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pStyle w:val="18"/>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本项目勘查区</w:t>
            </w:r>
            <w:r>
              <w:rPr>
                <w:rFonts w:hint="eastAsia"/>
                <w:color w:val="000000" w:themeColor="text1"/>
                <w:sz w:val="24"/>
                <w14:textFill>
                  <w14:solidFill>
                    <w14:schemeClr w14:val="tx1"/>
                  </w14:solidFill>
                </w14:textFill>
              </w:rPr>
              <w:t>地表水体主要涉及江河和湖泊，</w:t>
            </w:r>
            <w:r>
              <w:rPr>
                <w:color w:val="000000" w:themeColor="text1"/>
                <w:sz w:val="24"/>
                <w14:textFill>
                  <w14:solidFill>
                    <w14:schemeClr w14:val="tx1"/>
                  </w14:solidFill>
                </w14:textFill>
              </w:rPr>
              <w:t>根据《中国环境天然放射性水平》（2015版），</w:t>
            </w:r>
            <w:r>
              <w:rPr>
                <w:rFonts w:hint="eastAsia"/>
                <w:color w:val="000000" w:themeColor="text1"/>
                <w:sz w:val="24"/>
                <w14:textFill>
                  <w14:solidFill>
                    <w14:schemeClr w14:val="tx1"/>
                  </w14:solidFill>
                </w14:textFill>
              </w:rPr>
              <w:t>勘查区内地表水体</w:t>
            </w:r>
            <w:r>
              <w:rPr>
                <w:color w:val="000000" w:themeColor="text1"/>
                <w:sz w:val="24"/>
                <w14:textFill>
                  <w14:solidFill>
                    <w14:schemeClr w14:val="tx1"/>
                  </w14:solidFill>
                </w14:textFill>
              </w:rPr>
              <w:t>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浓度为0.06</w:t>
            </w:r>
            <w:r>
              <w:rPr>
                <w:color w:val="000000" w:themeColor="text1"/>
                <w14:textFill>
                  <w14:solidFill>
                    <w14:schemeClr w14:val="tx1"/>
                  </w14:solidFill>
                </w14:textFill>
              </w:rPr>
              <w:t>~</w:t>
            </w:r>
            <w:r>
              <w:rPr>
                <w:color w:val="000000" w:themeColor="text1"/>
                <w:sz w:val="24"/>
                <w14:textFill>
                  <w14:solidFill>
                    <w14:schemeClr w14:val="tx1"/>
                  </w14:solidFill>
                </w14:textFill>
              </w:rPr>
              <w:t>105.6μg/L，</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Ra浓度为0.94</w:t>
            </w:r>
            <w:r>
              <w:rPr>
                <w:color w:val="000000" w:themeColor="text1"/>
                <w14:textFill>
                  <w14:solidFill>
                    <w14:schemeClr w14:val="tx1"/>
                  </w14:solidFill>
                </w14:textFill>
              </w:rPr>
              <w:t>~</w:t>
            </w:r>
            <w:r>
              <w:rPr>
                <w:color w:val="000000" w:themeColor="text1"/>
                <w:sz w:val="24"/>
                <w14:textFill>
                  <w14:solidFill>
                    <w14:schemeClr w14:val="tx1"/>
                  </w14:solidFill>
                </w14:textFill>
              </w:rPr>
              <w:t>77.4mBq/L。</w:t>
            </w:r>
          </w:p>
          <w:p>
            <w:pPr>
              <w:adjustRightInd w:val="0"/>
              <w:snapToGrid w:val="0"/>
              <w:jc w:val="center"/>
              <w:rPr>
                <w:b/>
                <w:bCs/>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4</w:t>
            </w:r>
            <w:r>
              <w:rPr>
                <w:b w:val="0"/>
                <w:bCs w:val="0"/>
                <w:color w:val="000000" w:themeColor="text1"/>
                <w:sz w:val="24"/>
                <w14:textFill>
                  <w14:solidFill>
                    <w14:schemeClr w14:val="tx1"/>
                  </w14:solidFill>
                </w14:textFill>
              </w:rPr>
              <w:t xml:space="preserve">  勘查区</w:t>
            </w:r>
            <w:r>
              <w:rPr>
                <w:rFonts w:hint="eastAsia"/>
                <w:b w:val="0"/>
                <w:bCs w:val="0"/>
                <w:color w:val="000000" w:themeColor="text1"/>
                <w:sz w:val="24"/>
                <w14:textFill>
                  <w14:solidFill>
                    <w14:schemeClr w14:val="tx1"/>
                  </w14:solidFill>
                </w14:textFill>
              </w:rPr>
              <w:t>以及周边</w:t>
            </w:r>
            <w:r>
              <w:rPr>
                <w:b w:val="0"/>
                <w:bCs w:val="0"/>
                <w:color w:val="000000" w:themeColor="text1"/>
                <w:sz w:val="24"/>
                <w14:textFill>
                  <w14:solidFill>
                    <w14:schemeClr w14:val="tx1"/>
                  </w14:solidFill>
                </w14:textFill>
              </w:rPr>
              <w:t>主要河流河水中U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w:t>
            </w:r>
            <w:r>
              <w:rPr>
                <w:b/>
                <w:bCs/>
                <w:color w:val="000000" w:themeColor="text1"/>
                <w:sz w:val="24"/>
                <w14:textFill>
                  <w14:solidFill>
                    <w14:schemeClr w14:val="tx1"/>
                  </w14:solidFill>
                </w14:textFill>
              </w:rPr>
              <w:t xml:space="preserve"> </w:t>
            </w:r>
          </w:p>
          <w:tbl>
            <w:tblPr>
              <w:tblStyle w:val="11"/>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62"/>
              <w:gridCol w:w="1743"/>
              <w:gridCol w:w="1425"/>
              <w:gridCol w:w="1428"/>
              <w:gridCol w:w="1611"/>
              <w:gridCol w:w="161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restar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省份</w:t>
                  </w:r>
                </w:p>
              </w:tc>
              <w:tc>
                <w:tcPr>
                  <w:tcW w:w="919" w:type="pct"/>
                  <w:vMerge w:val="restar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水体类型</w:t>
                  </w:r>
                </w:p>
              </w:tc>
              <w:tc>
                <w:tcPr>
                  <w:tcW w:w="1504" w:type="pct"/>
                  <w:gridSpan w:val="2"/>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U</w:t>
                  </w:r>
                  <w:r>
                    <w:rPr>
                      <w:rFonts w:hint="eastAsia"/>
                      <w:color w:val="000000" w:themeColor="text1"/>
                      <w:vertAlign w:val="subscript"/>
                      <w14:textFill>
                        <w14:solidFill>
                          <w14:schemeClr w14:val="tx1"/>
                        </w14:solidFill>
                      </w14:textFill>
                    </w:rPr>
                    <w:t>天然</w:t>
                  </w:r>
                </w:p>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(μg/L)</w:t>
                  </w:r>
                </w:p>
              </w:tc>
              <w:tc>
                <w:tcPr>
                  <w:tcW w:w="1699" w:type="pct"/>
                  <w:gridSpan w:val="2"/>
                </w:tcPr>
                <w:p>
                  <w:pPr>
                    <w:adjustRightInd w:val="0"/>
                    <w:snapToGrid w:val="0"/>
                    <w:jc w:val="center"/>
                    <w:rPr>
                      <w:color w:val="000000" w:themeColor="text1"/>
                      <w14:textFill>
                        <w14:solidFill>
                          <w14:schemeClr w14:val="tx1"/>
                        </w14:solidFill>
                      </w14:textFill>
                    </w:rPr>
                  </w:pP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w:t>
                  </w:r>
                </w:p>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continue"/>
                  <w:vAlign w:val="center"/>
                </w:tcPr>
                <w:p>
                  <w:pPr>
                    <w:adjustRightInd w:val="0"/>
                    <w:snapToGrid w:val="0"/>
                    <w:jc w:val="center"/>
                    <w:rPr>
                      <w:color w:val="000000" w:themeColor="text1"/>
                      <w14:textFill>
                        <w14:solidFill>
                          <w14:schemeClr w14:val="tx1"/>
                        </w14:solidFill>
                      </w14:textFill>
                    </w:rPr>
                  </w:pPr>
                </w:p>
              </w:tc>
              <w:tc>
                <w:tcPr>
                  <w:tcW w:w="919" w:type="pct"/>
                  <w:vMerge w:val="continue"/>
                  <w:vAlign w:val="center"/>
                </w:tcPr>
                <w:p>
                  <w:pPr>
                    <w:adjustRightInd w:val="0"/>
                    <w:snapToGrid w:val="0"/>
                    <w:jc w:val="center"/>
                    <w:rPr>
                      <w:color w:val="000000" w:themeColor="text1"/>
                      <w14:textFill>
                        <w14:solidFill>
                          <w14:schemeClr w14:val="tx1"/>
                        </w14:solidFill>
                      </w14:textFill>
                    </w:rPr>
                  </w:pPr>
                </w:p>
              </w:tc>
              <w:tc>
                <w:tcPr>
                  <w:tcW w:w="751" w:type="pct"/>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范围值</w:t>
                  </w:r>
                </w:p>
              </w:tc>
              <w:tc>
                <w:tcPr>
                  <w:tcW w:w="753"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均值</w:t>
                  </w:r>
                </w:p>
              </w:tc>
              <w:tc>
                <w:tcPr>
                  <w:tcW w:w="849" w:type="pct"/>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范围值</w:t>
                  </w:r>
                </w:p>
              </w:tc>
              <w:tc>
                <w:tcPr>
                  <w:tcW w:w="849"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均值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内蒙</w:t>
                  </w:r>
                </w:p>
              </w:tc>
              <w:tc>
                <w:tcPr>
                  <w:tcW w:w="919"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江河</w:t>
                  </w:r>
                </w:p>
              </w:tc>
              <w:tc>
                <w:tcPr>
                  <w:tcW w:w="751" w:type="pct"/>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0.06~13.35</w:t>
                  </w:r>
                </w:p>
              </w:tc>
              <w:tc>
                <w:tcPr>
                  <w:tcW w:w="753" w:type="pct"/>
                  <w:vAlign w:val="center"/>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2.35</w:t>
                  </w:r>
                </w:p>
              </w:tc>
              <w:tc>
                <w:tcPr>
                  <w:tcW w:w="849" w:type="pct"/>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0.94~77.4</w:t>
                  </w:r>
                </w:p>
              </w:tc>
              <w:tc>
                <w:tcPr>
                  <w:tcW w:w="849" w:type="pct"/>
                  <w:vAlign w:val="center"/>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12.74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14:textFill>
                        <w14:solidFill>
                          <w14:schemeClr w14:val="tx1"/>
                        </w14:solidFill>
                      </w14:textFill>
                    </w:rPr>
                  </w:pPr>
                </w:p>
              </w:tc>
              <w:tc>
                <w:tcPr>
                  <w:tcW w:w="919"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湖泊</w:t>
                  </w:r>
                </w:p>
              </w:tc>
              <w:tc>
                <w:tcPr>
                  <w:tcW w:w="751" w:type="pct"/>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.32~105.6</w:t>
                  </w:r>
                </w:p>
              </w:tc>
              <w:tc>
                <w:tcPr>
                  <w:tcW w:w="753" w:type="pct"/>
                  <w:vAlign w:val="center"/>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8.25</w:t>
                  </w:r>
                </w:p>
              </w:tc>
              <w:tc>
                <w:tcPr>
                  <w:tcW w:w="849" w:type="pct"/>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4.00~16.14</w:t>
                  </w:r>
                </w:p>
              </w:tc>
              <w:tc>
                <w:tcPr>
                  <w:tcW w:w="849" w:type="pct"/>
                  <w:vAlign w:val="center"/>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5.29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甘肃</w:t>
                  </w:r>
                </w:p>
              </w:tc>
              <w:tc>
                <w:tcPr>
                  <w:tcW w:w="919"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江河</w:t>
                  </w:r>
                </w:p>
              </w:tc>
              <w:tc>
                <w:tcPr>
                  <w:tcW w:w="751" w:type="pct"/>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r>
                    <w:rPr>
                      <w:color w:val="000000" w:themeColor="text1"/>
                      <w14:textFill>
                        <w14:solidFill>
                          <w14:schemeClr w14:val="tx1"/>
                        </w14:solidFill>
                      </w14:textFill>
                    </w:rPr>
                    <w:t>.58~46.51</w:t>
                  </w:r>
                </w:p>
              </w:tc>
              <w:tc>
                <w:tcPr>
                  <w:tcW w:w="753" w:type="pct"/>
                  <w:vAlign w:val="center"/>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4.67</w:t>
                  </w:r>
                </w:p>
              </w:tc>
              <w:tc>
                <w:tcPr>
                  <w:tcW w:w="849" w:type="pct"/>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2</w:t>
                  </w:r>
                  <w:r>
                    <w:rPr>
                      <w:color w:val="000000" w:themeColor="text1"/>
                      <w14:textFill>
                        <w14:solidFill>
                          <w14:schemeClr w14:val="tx1"/>
                        </w14:solidFill>
                      </w14:textFill>
                    </w:rPr>
                    <w:t>.1~64.9</w:t>
                  </w:r>
                </w:p>
              </w:tc>
              <w:tc>
                <w:tcPr>
                  <w:tcW w:w="849" w:type="pct"/>
                  <w:vAlign w:val="center"/>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14:textFill>
                        <w14:solidFill>
                          <w14:schemeClr w14:val="tx1"/>
                        </w14:solidFill>
                      </w14:textFill>
                    </w:rPr>
                  </w:pPr>
                </w:p>
              </w:tc>
              <w:tc>
                <w:tcPr>
                  <w:tcW w:w="919"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湖泊</w:t>
                  </w:r>
                </w:p>
              </w:tc>
              <w:tc>
                <w:tcPr>
                  <w:tcW w:w="751" w:type="pct"/>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5</w:t>
                  </w:r>
                  <w:r>
                    <w:rPr>
                      <w:color w:val="000000" w:themeColor="text1"/>
                      <w14:textFill>
                        <w14:solidFill>
                          <w14:schemeClr w14:val="tx1"/>
                        </w14:solidFill>
                      </w14:textFill>
                    </w:rPr>
                    <w:t>.62~7.27</w:t>
                  </w:r>
                </w:p>
              </w:tc>
              <w:tc>
                <w:tcPr>
                  <w:tcW w:w="753"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6</w:t>
                  </w:r>
                  <w:r>
                    <w:rPr>
                      <w:color w:val="000000" w:themeColor="text1"/>
                      <w14:textFill>
                        <w14:solidFill>
                          <w14:schemeClr w14:val="tx1"/>
                        </w14:solidFill>
                      </w14:textFill>
                    </w:rPr>
                    <w:t>.44</w:t>
                  </w:r>
                </w:p>
              </w:tc>
              <w:tc>
                <w:tcPr>
                  <w:tcW w:w="849" w:type="pct"/>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5</w:t>
                  </w:r>
                  <w:r>
                    <w:rPr>
                      <w:color w:val="000000" w:themeColor="text1"/>
                      <w14:textFill>
                        <w14:solidFill>
                          <w14:schemeClr w14:val="tx1"/>
                        </w14:solidFill>
                      </w14:textFill>
                    </w:rPr>
                    <w:t>.1~9.9</w:t>
                  </w:r>
                </w:p>
              </w:tc>
              <w:tc>
                <w:tcPr>
                  <w:tcW w:w="849" w:type="pct"/>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7</w:t>
                  </w:r>
                  <w:r>
                    <w:rPr>
                      <w:color w:val="000000" w:themeColor="text1"/>
                      <w14:textFill>
                        <w14:solidFill>
                          <w14:schemeClr w14:val="tx1"/>
                        </w14:solidFill>
                      </w14:textFill>
                    </w:rPr>
                    <w:t>.5</w:t>
                  </w:r>
                </w:p>
              </w:tc>
            </w:tr>
          </w:tbl>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adjustRightInd w:val="0"/>
              <w:snapToGrid w:val="0"/>
              <w:spacing w:line="420" w:lineRule="atLeast"/>
              <w:ind w:firstLine="240" w:firstLineChars="100"/>
              <w:rPr>
                <w:color w:val="000000" w:themeColor="text1"/>
                <w:sz w:val="24"/>
                <w14:textFill>
                  <w14:solidFill>
                    <w14:schemeClr w14:val="tx1"/>
                  </w14:solidFill>
                </w14:textFill>
              </w:rPr>
            </w:pPr>
            <w:r>
              <w:rPr>
                <w:color w:val="000000" w:themeColor="text1"/>
                <w:sz w:val="24"/>
                <w14:textFill>
                  <w14:solidFill>
                    <w14:schemeClr w14:val="tx1"/>
                  </w14:solidFill>
                </w14:textFill>
              </w:rPr>
              <w:t>（4）地下水中U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根据《中国环境天然放射性水平》（2015版），本项目勘查</w:t>
            </w:r>
            <w:r>
              <w:rPr>
                <w:rFonts w:hint="eastAsia"/>
                <w:color w:val="000000" w:themeColor="text1"/>
                <w:sz w:val="24"/>
                <w14:textFill>
                  <w14:solidFill>
                    <w14:schemeClr w14:val="tx1"/>
                  </w14:solidFill>
                </w14:textFill>
              </w:rPr>
              <w:t>区井</w:t>
            </w:r>
            <w:r>
              <w:rPr>
                <w:color w:val="000000" w:themeColor="text1"/>
                <w:sz w:val="24"/>
                <w14:textFill>
                  <w14:solidFill>
                    <w14:schemeClr w14:val="tx1"/>
                  </w14:solidFill>
                </w14:textFill>
              </w:rPr>
              <w:t>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浓度本底值为1.29~15.27μg/L，水中</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Ra浓度本底值</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4.2~9.80mBq/L。</w:t>
            </w:r>
          </w:p>
          <w:p>
            <w:pPr>
              <w:adjustRightInd w:val="0"/>
              <w:snapToGrid w:val="0"/>
              <w:spacing w:line="240" w:lineRule="auto"/>
              <w:jc w:val="center"/>
              <w:rPr>
                <w:b/>
                <w:bCs/>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 xml:space="preserve">5 </w:t>
            </w:r>
            <w:r>
              <w:rPr>
                <w:b w:val="0"/>
                <w:bCs w:val="0"/>
                <w:color w:val="000000" w:themeColor="text1"/>
                <w:sz w:val="24"/>
                <w14:textFill>
                  <w14:solidFill>
                    <w14:schemeClr w14:val="tx1"/>
                  </w14:solidFill>
                </w14:textFill>
              </w:rPr>
              <w:t xml:space="preserve"> 项目所在勘查区</w:t>
            </w:r>
            <w:r>
              <w:rPr>
                <w:rFonts w:hint="eastAsia"/>
                <w:b w:val="0"/>
                <w:bCs w:val="0"/>
                <w:color w:val="000000" w:themeColor="text1"/>
                <w:sz w:val="24"/>
                <w14:textFill>
                  <w14:solidFill>
                    <w14:schemeClr w14:val="tx1"/>
                  </w14:solidFill>
                </w14:textFill>
              </w:rPr>
              <w:t>地下水</w:t>
            </w:r>
            <w:r>
              <w:rPr>
                <w:b w:val="0"/>
                <w:bCs w:val="0"/>
                <w:color w:val="000000" w:themeColor="text1"/>
                <w:sz w:val="24"/>
                <w14:textFill>
                  <w14:solidFill>
                    <w14:schemeClr w14:val="tx1"/>
                  </w14:solidFill>
                </w14:textFill>
              </w:rPr>
              <w:t>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w:t>
            </w:r>
          </w:p>
          <w:tbl>
            <w:tblPr>
              <w:tblStyle w:val="1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92"/>
              <w:gridCol w:w="2634"/>
              <w:gridCol w:w="1976"/>
              <w:gridCol w:w="2175"/>
              <w:gridCol w:w="17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523"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1389"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地名</w:t>
                  </w:r>
                </w:p>
              </w:tc>
              <w:tc>
                <w:tcPr>
                  <w:tcW w:w="1042"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采样地点</w:t>
                  </w:r>
                </w:p>
              </w:tc>
              <w:tc>
                <w:tcPr>
                  <w:tcW w:w="1147"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w:t>
                  </w:r>
                  <w:r>
                    <w:rPr>
                      <w:rFonts w:hint="eastAsia"/>
                      <w:color w:val="000000" w:themeColor="text1"/>
                      <w:sz w:val="21"/>
                      <w:szCs w:val="21"/>
                      <w:vertAlign w:val="subscript"/>
                      <w14:textFill>
                        <w14:solidFill>
                          <w14:schemeClr w14:val="tx1"/>
                        </w14:solidFill>
                      </w14:textFill>
                    </w:rPr>
                    <w:t>天然</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(ug/L)</w:t>
                  </w:r>
                </w:p>
              </w:tc>
              <w:tc>
                <w:tcPr>
                  <w:tcW w:w="897"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523"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389"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042"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147"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897"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阿拉善</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15.27</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张掖市</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7.55</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武威市</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7.40</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嘉峪关市</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.29</w:t>
                  </w:r>
                </w:p>
              </w:tc>
              <w:tc>
                <w:tcPr>
                  <w:tcW w:w="897"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r>
                    <w:rPr>
                      <w:color w:val="000000" w:themeColor="text1"/>
                      <w:sz w:val="21"/>
                      <w:szCs w:val="21"/>
                      <w14:textFill>
                        <w14:solidFill>
                          <w14:schemeClr w14:val="tx1"/>
                        </w14:solidFill>
                      </w14:textFill>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金昌市</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.99</w:t>
                  </w:r>
                </w:p>
              </w:tc>
              <w:tc>
                <w:tcPr>
                  <w:tcW w:w="897"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.1</w:t>
                  </w:r>
                </w:p>
              </w:tc>
            </w:tr>
          </w:tbl>
          <w:p>
            <w:pPr>
              <w:adjustRightInd w:val="0"/>
              <w:snapToGrid w:val="0"/>
              <w:ind w:firstLine="315" w:firstLineChars="150"/>
              <w:rPr>
                <w:color w:val="000000" w:themeColor="text1"/>
                <w:sz w:val="22"/>
                <w:szCs w:val="22"/>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同时根据《2020年甘肃省生态环境状况公报》，</w:t>
            </w:r>
            <w:r>
              <w:rPr>
                <w:rFonts w:hint="eastAsia"/>
                <w:color w:val="000000" w:themeColor="text1"/>
                <w:sz w:val="24"/>
                <w:szCs w:val="24"/>
                <w:lang w:eastAsia="zh-CN"/>
                <w14:textFill>
                  <w14:solidFill>
                    <w14:schemeClr w14:val="tx1"/>
                  </w14:solidFill>
                </w14:textFill>
              </w:rPr>
              <w:t>2020年</w:t>
            </w:r>
            <w:r>
              <w:rPr>
                <w:rFonts w:hint="eastAsia"/>
                <w:color w:val="000000" w:themeColor="text1"/>
                <w:sz w:val="24"/>
                <w:szCs w:val="24"/>
                <w:lang w:val="en-US" w:eastAsia="zh-CN"/>
                <w14:textFill>
                  <w14:solidFill>
                    <w14:schemeClr w14:val="tx1"/>
                  </w14:solidFill>
                </w14:textFill>
              </w:rPr>
              <w:t>全省</w:t>
            </w:r>
            <w:r>
              <w:rPr>
                <w:rFonts w:hint="eastAsia"/>
                <w:color w:val="000000" w:themeColor="text1"/>
                <w:sz w:val="24"/>
                <w:szCs w:val="24"/>
                <w:lang w:eastAsia="zh-CN"/>
                <w14:textFill>
                  <w14:solidFill>
                    <w14:schemeClr w14:val="tx1"/>
                  </w14:solidFill>
                </w14:textFill>
              </w:rPr>
              <w:t>辐射环境质量总体良好。</w:t>
            </w:r>
            <w:r>
              <w:rPr>
                <w:rFonts w:hint="eastAsia"/>
                <w:color w:val="000000" w:themeColor="text1"/>
                <w:sz w:val="24"/>
                <w:szCs w:val="24"/>
                <w:lang w:val="en-US" w:eastAsia="zh-CN"/>
                <w14:textFill>
                  <w14:solidFill>
                    <w14:schemeClr w14:val="tx1"/>
                  </w14:solidFill>
                </w14:textFill>
              </w:rPr>
              <w:t>全省累积剂量测得的</w:t>
            </w:r>
            <w:r>
              <w:rPr>
                <w:rFonts w:hint="eastAsia"/>
                <w:color w:val="000000" w:themeColor="text1"/>
                <w:sz w:val="24"/>
                <w:szCs w:val="24"/>
                <w:lang w:eastAsia="zh-CN"/>
                <w14:textFill>
                  <w14:solidFill>
                    <w14:schemeClr w14:val="tx1"/>
                  </w14:solidFill>
                </w14:textFill>
              </w:rPr>
              <w:t>γ辐射空气吸收剂量率</w:t>
            </w:r>
            <w:r>
              <w:rPr>
                <w:rFonts w:hint="eastAsia"/>
                <w:color w:val="000000" w:themeColor="text1"/>
                <w:sz w:val="24"/>
                <w:szCs w:val="24"/>
                <w:lang w:val="en-US" w:eastAsia="zh-CN"/>
                <w14:textFill>
                  <w14:solidFill>
                    <w14:schemeClr w14:val="tx1"/>
                  </w14:solidFill>
                </w14:textFill>
              </w:rPr>
              <w:t>监测结果为85.5~140nGy/h，均在正常范围内。地表水放射性核素含量与2019年处于同一水平。土壤放射性核素监测数据在甘肃省土壤放射性核素环境本底值中，属正常环境水平。</w:t>
            </w:r>
            <w:r>
              <w:rPr>
                <w:rFonts w:hint="default" w:ascii="Times New Roman" w:hAnsi="Times New Roman" w:cs="Times New Roman"/>
                <w:color w:val="000000" w:themeColor="text1"/>
                <w:sz w:val="24"/>
                <w:szCs w:val="24"/>
                <w:lang w:eastAsia="zh-CN"/>
                <w14:textFill>
                  <w14:solidFill>
                    <w14:schemeClr w14:val="tx1"/>
                  </w14:solidFill>
                </w14:textFill>
              </w:rPr>
              <w:t>环境电磁辐射水平低于《电磁环境控制限值》（GB8702-2014）规定的公众暴露控制限值。</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根据《2020年内蒙古自治区生态环境状况公报》，2020年</w:t>
            </w:r>
            <w:r>
              <w:rPr>
                <w:rFonts w:ascii="宋体" w:hAnsi="宋体" w:eastAsia="宋体" w:cs="宋体"/>
                <w:color w:val="000000" w:themeColor="text1"/>
                <w:sz w:val="24"/>
                <w:szCs w:val="24"/>
                <w14:textFill>
                  <w14:solidFill>
                    <w14:schemeClr w14:val="tx1"/>
                  </w14:solidFill>
                </w14:textFill>
              </w:rPr>
              <w:t>全区辐射环境质量总体良好，环境电离辐射水平处于本底涨落范围内，环境电磁辐射水平低于电磁环境控制限值。空气吸收剂量率和累积剂量处于本底涨落范围内。气溶胶和沉降物中天然放射性核素活度浓度处于天然本底水平，人工放射性核素活度浓度未见异常。土壤、生物样品中天然放射性核素活度浓度均处于天然本底水平，人工放射性核素活度浓度未见异常。</w:t>
            </w:r>
            <w:r>
              <w:rPr>
                <w:rFonts w:hint="default" w:ascii="Times New Roman" w:hAnsi="Times New Roman" w:cs="Times New Roman"/>
                <w:color w:val="000000" w:themeColor="text1"/>
                <w:sz w:val="24"/>
                <w:szCs w:val="24"/>
                <w:lang w:eastAsia="zh-CN"/>
                <w14:textFill>
                  <w14:solidFill>
                    <w14:schemeClr w14:val="tx1"/>
                  </w14:solidFill>
                </w14:textFill>
              </w:rPr>
              <w:t>全区重点河流水中总α和总β活度浓度处于正常环境水平，集中式饮用水中总α和总β活度浓度低于《生活饮用水卫生标准》（GB5749-2006）的指导值。环境电磁辐射水平低于《电磁环境控制限值》（GB8702-2014）规定的公众暴露控制限值。</w:t>
            </w:r>
          </w:p>
          <w:p>
            <w:pPr>
              <w:pStyle w:val="18"/>
              <w:numPr>
                <w:ilvl w:val="0"/>
                <w:numId w:val="0"/>
              </w:numPr>
              <w:spacing w:line="360" w:lineRule="auto"/>
              <w:ind w:leftChars="0"/>
              <w:rPr>
                <w:rFonts w:hint="default"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4、</w:t>
            </w:r>
            <w:r>
              <w:rPr>
                <w:b/>
                <w:bCs/>
                <w:color w:val="000000" w:themeColor="text1"/>
                <w:sz w:val="24"/>
                <w14:textFill>
                  <w14:solidFill>
                    <w14:schemeClr w14:val="tx1"/>
                  </w14:solidFill>
                </w14:textFill>
              </w:rPr>
              <w:t>生态环境</w:t>
            </w:r>
            <w:r>
              <w:rPr>
                <w:rFonts w:hint="eastAsia"/>
                <w:b/>
                <w:bCs/>
                <w:color w:val="000000" w:themeColor="text1"/>
                <w:sz w:val="24"/>
                <w:lang w:val="en-US" w:eastAsia="zh-CN"/>
                <w14:textFill>
                  <w14:solidFill>
                    <w14:schemeClr w14:val="tx1"/>
                  </w14:solidFill>
                </w14:textFill>
              </w:rPr>
              <w:t>质量现状</w:t>
            </w:r>
          </w:p>
          <w:p>
            <w:pPr>
              <w:spacing w:line="360" w:lineRule="auto"/>
              <w:ind w:firstLine="480" w:firstLineChars="200"/>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（1）生态功能区划</w:t>
            </w:r>
          </w:p>
          <w:p>
            <w:pPr>
              <w:pStyle w:val="9"/>
              <w:spacing w:after="0" w:line="360" w:lineRule="auto"/>
              <w:ind w:left="0" w:leftChars="0" w:firstLine="480" w:firstLineChars="200"/>
              <w:rPr>
                <w:rFonts w:hint="default"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根据《甘肃生态功能区划》、《内蒙古自治区生态功能区划》，巴丹吉林盆地属平原东部防风固沙生态功能区，金塔、鼎新绿洲农业盐渍化生态功能区，平原北部戈壁荒漠风蚀沙化控制生态功能区，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cs="Times New Roman"/>
                <w:color w:val="000000" w:themeColor="text1"/>
                <w:kern w:val="2"/>
                <w:sz w:val="24"/>
                <w:szCs w:val="24"/>
                <w:lang w:val="en-US" w:eastAsia="zh-CN" w:bidi="ar-SA"/>
                <w14:textFill>
                  <w14:solidFill>
                    <w14:schemeClr w14:val="tx1"/>
                  </w14:solidFill>
                </w14:textFill>
              </w:rPr>
              <w:t>；潮水盆地属绿洲两侧沙漠化重点控制生态功能区，民勤绿洲农业及沙漠化控制生态功能区，龙首山山前牧业及防风固沙生态功能区，绿洲西北部草原化荒漠风蚀沙化控制生态功能区，合黎山北麓风蚀沙化控制生态功能区，河西堡风蚀草原化荒漠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cs="Times New Roman"/>
                <w:color w:val="000000" w:themeColor="text1"/>
                <w:kern w:val="2"/>
                <w:sz w:val="24"/>
                <w:szCs w:val="24"/>
                <w:lang w:val="en-US" w:eastAsia="zh-CN" w:bidi="ar-SA"/>
                <w14:textFill>
                  <w14:solidFill>
                    <w14:schemeClr w14:val="tx1"/>
                  </w14:solidFill>
                </w14:textFill>
              </w:rPr>
              <w:t>；武腾盆地属绿洲两侧沙漠化重点控制生态功能区，民勤绿洲农业及沙漠化控制生态功能区，古浪农田风蚀沙化敏感生态功能区，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水源涵养、生物多样性保护</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t>北山地区属马鬓山风蚀荒漠牧业、采矿生态功能区，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t>走廊盆地属河西走廊干旱荒漠、绿洲农业生态亚区。</w:t>
            </w:r>
          </w:p>
          <w:p>
            <w:pPr>
              <w:pStyle w:val="1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（2）</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植物调查与评价</w:t>
            </w:r>
          </w:p>
          <w:p>
            <w:pPr>
              <w:pStyle w:val="1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①植被</w:t>
            </w:r>
          </w:p>
          <w:p>
            <w:pPr>
              <w:pStyle w:val="18"/>
              <w:numPr>
                <w:ilvl w:val="0"/>
                <w:numId w:val="0"/>
              </w:numPr>
              <w:spacing w:line="360" w:lineRule="auto"/>
              <w:ind w:firstLine="480" w:firstLineChars="200"/>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阿拉善盟野生植物以旱生、超旱生、盐生和沙生的荒漠植物为主，现有野生植物900余种。其中，被列入《内蒙古珍稀濒危保护植物名录》的有45种。一级保护植物有梭梭、胡杨、肉苁蓉、四合木、绵刺、沙冬青6种；二级保护植物有斑子麻黄、裸果木、蒙古扁桃、大叶细裂槭、甘草、文冠果、贺兰山丁香、脓疮草、百花蒿9种；三级保护植物有沙木蓼、阿拉善沙拐枣、荒漠黄蓍、贺兰山棘豆、内蒙古棘豆、阿拉善黄芩、阿拉善单刺蓬、贺兰山女娄莱、蒙新久苓菊、贺兰山稀花紫堇、贺兰山南芥、阿拉善沙芥、阴山芥、针枝芸香、长叶红砂、内蒙古邪蒿、阿拉善点地梅、互生叶醉鱼草、白麻、贺兰山玄参、内蒙古野丁香、戈壁短舌菊、贺兰山女蒿、阿拉善风毛菊、戈壁藜、瓣鳞花、甘青侧金盏花等30种。阿拉善盟天然乔木林分布110万亩，其中贺兰山西坡以青海云杉为主天然次生林58万亩；额济纳居延绿洲胡杨林44万亩。天然灌木主要有白刺、梭梭、花棒、柠条、红砂、绵刺、柽柳、沙冬青、霸王等，面积2980万亩。野生药材的种类和蕴藏量都比较丰富，生长有肉苁蓉、甘草、锁阳、苦豆子、麻黄、山沉香、黑果枸杞、罗布麻等多种名贵药材。</w:t>
            </w:r>
          </w:p>
          <w:p>
            <w:pPr>
              <w:pStyle w:val="1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甘肃省粮食作物以小麦、玉米、马铃薯三大类为主，另外还有稻谷、谷子、糜子、高粱、啤酒大麦、燕麦、荞麦、青稞、大豆、蚕豆。经济作物有蔬菜(包括辣椒、番茄、茄子、番瓜、西兰花、娃娃菜、芹菜、青笋、菜心、豆角、洋葱、韭菜、大蒜等）、中药材（包括当归、党参、人参、黄芪、柴胡、板蓝根、甘草、枸杞等）、水果（包括苹果、梨、葡萄、桃、杏、枣等）、油料（包括胡麻、油菜籽、葵花籽、花生、芝麻等）、棉花、线麻、烟叶、甜菜等。</w:t>
            </w:r>
          </w:p>
          <w:p>
            <w:pPr>
              <w:pStyle w:val="1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②动物</w:t>
            </w:r>
          </w:p>
          <w:p>
            <w:pPr>
              <w:pStyle w:val="1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阿拉善盟境内野生动物资源丰富，有各种野生脊椎动物200余种，其中国家一级保护野生动物有蒙古野驴、野骆驼、北山羊、遗鸥、马麝、黑鹳、金雕、大鸨等；国家二级保护野生动物有鹅喉羚、马鹿、盘羊、岩羊、天鹅、猎隼、蓝马鸡、雕鸮等。</w:t>
            </w:r>
          </w:p>
          <w:p>
            <w:pPr>
              <w:pStyle w:val="1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hAnsi="宋体"/>
                <w:color w:val="000000" w:themeColor="text1"/>
                <w:sz w:val="24"/>
                <w:lang w:val="en-US" w:eastAsia="zh-CN"/>
                <w14:textFill>
                  <w14:solidFill>
                    <w14:schemeClr w14:val="tx1"/>
                  </w14:solidFill>
                </w14:textFill>
              </w:rPr>
              <w:t>涉甘肃区域</w:t>
            </w:r>
            <w:r>
              <w:rPr>
                <w:rFonts w:hint="eastAsia" w:hAnsi="宋体"/>
                <w:color w:val="000000" w:themeColor="text1"/>
                <w:sz w:val="24"/>
                <w14:textFill>
                  <w14:solidFill>
                    <w14:schemeClr w14:val="tx1"/>
                  </w14:solidFill>
                </w14:textFill>
              </w:rPr>
              <w:t>动物群属于温带荒漠、半荒漠动物群。额济纳旗境内生存着野骡子、野驴、黄羊、赤狐、獾、狼、草兔、毛腿沙鸡、黄鼠、长爪沙鼠、跳鼠、沙蜥、沙蟒、鹰、野鸭、黄鸭、麻鸭、白额大雁等动物。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tcPr>
          <w:p>
            <w:pPr>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主要环境保护目标（列出名单及保护级别）：</w:t>
            </w:r>
          </w:p>
          <w:p>
            <w:pPr>
              <w:pStyle w:val="18"/>
              <w:numPr>
                <w:ilvl w:val="0"/>
                <w:numId w:val="0"/>
              </w:numPr>
              <w:spacing w:line="360" w:lineRule="auto"/>
              <w:ind w:leftChars="0" w:firstLine="480" w:firstLineChars="200"/>
              <w:rPr>
                <w:b/>
                <w:bCs/>
                <w:color w:val="000000" w:themeColor="text1"/>
                <w:sz w:val="24"/>
                <w14:textFill>
                  <w14:solidFill>
                    <w14:schemeClr w14:val="tx1"/>
                  </w14:solidFill>
                </w14:textFill>
              </w:rPr>
            </w:pPr>
            <w:bookmarkStart w:id="11" w:name="_Hlk11074135"/>
            <w:r>
              <w:rPr>
                <w:rFonts w:hint="eastAsia"/>
                <w:color w:val="000000" w:themeColor="text1"/>
                <w:sz w:val="24"/>
                <w:szCs w:val="24"/>
                <w:lang w:val="en-US" w:eastAsia="zh-CN"/>
                <w14:textFill>
                  <w14:solidFill>
                    <w14:schemeClr w14:val="tx1"/>
                  </w14:solidFill>
                </w14:textFill>
              </w:rPr>
              <w:t>本项目</w:t>
            </w:r>
            <w:r>
              <w:rPr>
                <w:rFonts w:hint="eastAsia"/>
                <w:color w:val="000000" w:themeColor="text1"/>
                <w:sz w:val="24"/>
                <w:szCs w:val="24"/>
                <w:lang w:eastAsia="zh-CN"/>
                <w14:textFill>
                  <w14:solidFill>
                    <w14:schemeClr w14:val="tx1"/>
                  </w14:solidFill>
                </w14:textFill>
              </w:rPr>
              <w:t>工作时间为</w:t>
            </w:r>
            <w:r>
              <w:rPr>
                <w:color w:val="000000" w:themeColor="text1"/>
                <w:sz w:val="24"/>
                <w:szCs w:val="24"/>
                <w:lang w:eastAsia="zh-CN"/>
                <w14:textFill>
                  <w14:solidFill>
                    <w14:schemeClr w14:val="tx1"/>
                  </w14:solidFill>
                </w14:textFill>
              </w:rPr>
              <w:t>202</w:t>
            </w:r>
            <w:r>
              <w:rPr>
                <w:rFonts w:hint="eastAsia"/>
                <w:color w:val="000000" w:themeColor="text1"/>
                <w:sz w:val="24"/>
                <w:szCs w:val="24"/>
                <w:lang w:eastAsia="zh-CN"/>
                <w14:textFill>
                  <w14:solidFill>
                    <w14:schemeClr w14:val="tx1"/>
                  </w14:solidFill>
                </w14:textFill>
              </w:rPr>
              <w:t>2</w:t>
            </w:r>
            <w:r>
              <w:rPr>
                <w:color w:val="000000" w:themeColor="text1"/>
                <w:sz w:val="24"/>
                <w:szCs w:val="24"/>
                <w:lang w:eastAsia="zh-CN"/>
                <w14:textFill>
                  <w14:solidFill>
                    <w14:schemeClr w14:val="tx1"/>
                  </w14:solidFill>
                </w14:textFill>
              </w:rPr>
              <w:t>-202</w:t>
            </w:r>
            <w:r>
              <w:rPr>
                <w:rFonts w:hint="eastAsia"/>
                <w:color w:val="000000" w:themeColor="text1"/>
                <w:sz w:val="24"/>
                <w:szCs w:val="24"/>
                <w:lang w:eastAsia="zh-CN"/>
                <w14:textFill>
                  <w14:solidFill>
                    <w14:schemeClr w14:val="tx1"/>
                  </w14:solidFill>
                </w14:textFill>
              </w:rPr>
              <w:t>6年，</w:t>
            </w:r>
            <w:r>
              <w:rPr>
                <w:rFonts w:hint="eastAsia"/>
                <w:color w:val="000000" w:themeColor="text1"/>
                <w:sz w:val="24"/>
                <w:szCs w:val="24"/>
                <w:lang w:val="en-US" w:eastAsia="zh-CN"/>
                <w14:textFill>
                  <w14:solidFill>
                    <w14:schemeClr w14:val="tx1"/>
                  </w14:solidFill>
                </w14:textFill>
              </w:rPr>
              <w:t>包括巴丹吉林盆地勘查区、潮水盆地勘查区、走廊盆地勘查区、武腾盆地勘查区及北山地区勘查区</w:t>
            </w:r>
            <w:r>
              <w:rPr>
                <w:rFonts w:hint="eastAsia"/>
                <w:color w:val="000000" w:themeColor="text1"/>
                <w:sz w:val="24"/>
                <w:szCs w:val="24"/>
                <w:lang w:eastAsia="zh-CN"/>
                <w14:textFill>
                  <w14:solidFill>
                    <w14:schemeClr w14:val="tx1"/>
                  </w14:solidFill>
                </w14:textFill>
              </w:rPr>
              <w:t>进行钻探工作，其中2023-2026年钻孔的位置尚未确定。</w:t>
            </w:r>
          </w:p>
          <w:p>
            <w:pPr>
              <w:pStyle w:val="1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1、生态</w:t>
            </w:r>
            <w:r>
              <w:rPr>
                <w:rFonts w:hint="eastAsia"/>
                <w:b/>
                <w:bCs/>
                <w:color w:val="000000" w:themeColor="text1"/>
                <w:sz w:val="24"/>
                <w14:textFill>
                  <w14:solidFill>
                    <w14:schemeClr w14:val="tx1"/>
                  </w14:solidFill>
                </w14:textFill>
              </w:rPr>
              <w:t>环境敏感区</w:t>
            </w:r>
          </w:p>
          <w:p>
            <w:pPr>
              <w:pStyle w:val="9"/>
              <w:spacing w:after="0" w:line="360" w:lineRule="auto"/>
              <w:ind w:left="0" w:leftChars="0" w:firstLine="480" w:firstLineChars="200"/>
              <w:rPr>
                <w:rFonts w:hint="eastAsia" w:hAnsi="宋体"/>
                <w:color w:val="000000" w:themeColor="text1"/>
                <w:sz w:val="24"/>
                <w:lang w:eastAsia="zh-CN"/>
                <w14:textFill>
                  <w14:solidFill>
                    <w14:schemeClr w14:val="tx1"/>
                  </w14:solidFill>
                </w14:textFill>
              </w:rPr>
            </w:pPr>
            <w:r>
              <w:rPr>
                <w:rFonts w:hint="eastAsia" w:hAnsi="宋体"/>
                <w:color w:val="000000" w:themeColor="text1"/>
                <w:sz w:val="24"/>
                <w14:textFill>
                  <w14:solidFill>
                    <w14:schemeClr w14:val="tx1"/>
                  </w14:solidFill>
                </w14:textFill>
              </w:rPr>
              <w:t>本次</w:t>
            </w:r>
            <w:r>
              <w:rPr>
                <w:rFonts w:hint="eastAsia" w:hAnsi="宋体"/>
                <w:color w:val="000000" w:themeColor="text1"/>
                <w:sz w:val="24"/>
                <w:lang w:val="en-US" w:eastAsia="zh-CN"/>
                <w14:textFill>
                  <w14:solidFill>
                    <w14:schemeClr w14:val="tx1"/>
                  </w14:solidFill>
                </w14:textFill>
              </w:rPr>
              <w:t>评价将勘查区按行政边界</w:t>
            </w:r>
            <w:r>
              <w:rPr>
                <w:rFonts w:hint="eastAsia" w:hAnsi="宋体"/>
                <w:color w:val="000000" w:themeColor="text1"/>
                <w:sz w:val="24"/>
                <w14:textFill>
                  <w14:solidFill>
                    <w14:schemeClr w14:val="tx1"/>
                  </w14:solidFill>
                </w14:textFill>
              </w:rPr>
              <w:t>对</w:t>
            </w:r>
            <w:r>
              <w:rPr>
                <w:rFonts w:hint="eastAsia"/>
                <w:bCs/>
                <w:color w:val="000000" w:themeColor="text1"/>
                <w:sz w:val="24"/>
                <w:lang w:val="en-US" w:eastAsia="zh-CN"/>
                <w14:textFill>
                  <w14:solidFill>
                    <w14:schemeClr w14:val="tx1"/>
                  </w14:solidFill>
                </w14:textFill>
              </w:rPr>
              <w:t>勘查区内</w:t>
            </w:r>
            <w:r>
              <w:rPr>
                <w:rFonts w:hint="eastAsia" w:hAnsi="宋体"/>
                <w:color w:val="000000" w:themeColor="text1"/>
                <w:sz w:val="24"/>
                <w14:textFill>
                  <w14:solidFill>
                    <w14:schemeClr w14:val="tx1"/>
                  </w14:solidFill>
                </w14:textFill>
              </w:rPr>
              <w:t>环境敏感</w:t>
            </w:r>
            <w:r>
              <w:rPr>
                <w:rFonts w:hint="eastAsia" w:hAnsi="宋体"/>
                <w:color w:val="000000" w:themeColor="text1"/>
                <w:sz w:val="24"/>
                <w:lang w:val="en-US" w:eastAsia="zh-CN"/>
                <w14:textFill>
                  <w14:solidFill>
                    <w14:schemeClr w14:val="tx1"/>
                  </w14:solidFill>
                </w14:textFill>
              </w:rPr>
              <w:t>目标</w:t>
            </w:r>
            <w:r>
              <w:rPr>
                <w:rFonts w:hint="eastAsia" w:hAnsi="宋体"/>
                <w:color w:val="000000" w:themeColor="text1"/>
                <w:sz w:val="24"/>
                <w14:textFill>
                  <w14:solidFill>
                    <w14:schemeClr w14:val="tx1"/>
                  </w14:solidFill>
                </w14:textFill>
              </w:rPr>
              <w:t>进行调查</w:t>
            </w:r>
            <w:r>
              <w:rPr>
                <w:rFonts w:hint="eastAsia" w:hAnsi="宋体"/>
                <w:color w:val="000000" w:themeColor="text1"/>
                <w:sz w:val="24"/>
                <w:lang w:eastAsia="zh-CN"/>
                <w14:textFill>
                  <w14:solidFill>
                    <w14:schemeClr w14:val="tx1"/>
                  </w14:solidFill>
                </w14:textFill>
              </w:rPr>
              <w:t>。</w:t>
            </w:r>
          </w:p>
          <w:p>
            <w:pPr>
              <w:pStyle w:val="9"/>
              <w:spacing w:after="0" w:line="360" w:lineRule="auto"/>
              <w:ind w:left="0" w:leftChars="0" w:firstLine="480" w:firstLineChars="200"/>
              <w:rPr>
                <w:rFonts w:hint="default" w:hAnsi="宋体" w:eastAsia="宋体"/>
                <w:color w:val="000000" w:themeColor="text1"/>
                <w:sz w:val="24"/>
                <w:lang w:val="en-US" w:eastAsia="zh-CN"/>
                <w14:textFill>
                  <w14:solidFill>
                    <w14:schemeClr w14:val="tx1"/>
                  </w14:solidFill>
                </w14:textFill>
              </w:rPr>
            </w:pPr>
            <w:r>
              <w:rPr>
                <w:rFonts w:hint="eastAsia" w:hAnsi="宋体"/>
                <w:color w:val="000000" w:themeColor="text1"/>
                <w:sz w:val="24"/>
                <w:lang w:val="en-US" w:eastAsia="zh-CN"/>
                <w14:textFill>
                  <w14:solidFill>
                    <w14:schemeClr w14:val="tx1"/>
                  </w14:solidFill>
                </w14:textFill>
              </w:rPr>
              <w:t>勘查区涉及甘肃省</w:t>
            </w:r>
            <w:r>
              <w:rPr>
                <w:rFonts w:hint="eastAsia"/>
                <w:bCs/>
                <w:color w:val="000000" w:themeColor="text1"/>
                <w:sz w:val="24"/>
                <w:lang w:val="en-US" w:eastAsia="zh-CN"/>
                <w14:textFill>
                  <w14:solidFill>
                    <w14:schemeClr w14:val="tx1"/>
                  </w14:solidFill>
                </w14:textFill>
              </w:rPr>
              <w:t>：分布有20个自然保护区（甘肃张掖黑河湿地国家级自然保护区、民勤连古城国家自然保护区、甘肃安南坝野骆驼国家自然保护区、甘肃敦煌阳关国家级自然保护区、甘肃安西县极旱荒漠国家级自然保护区、甘肃盐池湾国家级自然保护区、祁连山国家级自然保护区、甘肃东大山省级自然保护区、甘肃龙首山省级自然保护区、甘肃芨芨泉省级自然保护区、甘肃瓜州县塘敦湖省级自然保护区、</w:t>
            </w:r>
            <w:r>
              <w:rPr>
                <w:rFonts w:hint="eastAsia"/>
                <w:b w:val="0"/>
                <w:bCs/>
                <w:color w:val="000000" w:themeColor="text1"/>
                <w:sz w:val="24"/>
                <w:lang w:val="en-US" w:eastAsia="zh-CN"/>
                <w14:textFill>
                  <w14:solidFill>
                    <w14:schemeClr w14:val="tx1"/>
                  </w14:solidFill>
                </w14:textFill>
              </w:rPr>
              <w:t>甘肃沙枣园子省级自然保护区</w:t>
            </w:r>
            <w:r>
              <w:rPr>
                <w:rFonts w:hint="eastAsia"/>
                <w:bCs/>
                <w:color w:val="000000" w:themeColor="text1"/>
                <w:sz w:val="24"/>
                <w:lang w:val="en-US" w:eastAsia="zh-CN"/>
                <w14:textFill>
                  <w14:solidFill>
                    <w14:schemeClr w14:val="tx1"/>
                  </w14:solidFill>
                </w14:textFill>
              </w:rPr>
              <w:t>、肃北马鬃山北山羊省级自然保护区、</w:t>
            </w:r>
            <w:r>
              <w:rPr>
                <w:rFonts w:hint="eastAsia"/>
                <w:b w:val="0"/>
                <w:bCs/>
                <w:color w:val="000000" w:themeColor="text1"/>
                <w:sz w:val="24"/>
                <w:lang w:val="en-US" w:eastAsia="zh-CN"/>
                <w14:textFill>
                  <w14:solidFill>
                    <w14:schemeClr w14:val="tx1"/>
                  </w14:solidFill>
                </w14:textFill>
              </w:rPr>
              <w:t>甘肃玉门南山省级自然保护区、甘肃敦煌西湖自然保护区、甘肃昌马河省级自然保护区、甘肃干海子省级自然保护区、</w:t>
            </w:r>
            <w:r>
              <w:rPr>
                <w:rFonts w:hint="eastAsia"/>
                <w:bCs/>
                <w:color w:val="000000" w:themeColor="text1"/>
                <w:sz w:val="24"/>
                <w:lang w:val="en-US" w:eastAsia="zh-CN"/>
                <w14:textFill>
                  <w14:solidFill>
                    <w14:schemeClr w14:val="tx1"/>
                  </w14:solidFill>
                </w14:textFill>
              </w:rPr>
              <w:t>甘肃省疏勒河中下游省级自然保护区、甘肃敦煌雅丹自然保护区、甘肃马鬃山自然保护区）、2个风景名胜区（鸣沙山、月牙泉景区）、6个地质公园（敦煌世界地质公园、甘肃敦煌雅丹国家地质公园、玉门硅化木省级地质公园、肃北公婆泉恐龙地质公园、永昌县北海子湿地省级地质公园、金塔黑河省级质公园），1个森林公园（敦煌市阳关沙漠森林公园）、2个水源地（嘉峪关饮用水水源保护区、北大河饮用水水源保护区）、2个世界文化遗产（甘肃敦煌莫高窟、甘肃嘉峪关关城）。</w:t>
            </w:r>
          </w:p>
          <w:p>
            <w:pPr>
              <w:pStyle w:val="9"/>
              <w:spacing w:after="0" w:line="360" w:lineRule="auto"/>
              <w:ind w:left="0" w:leftChars="0" w:firstLine="480" w:firstLineChars="200"/>
              <w:rPr>
                <w:rFonts w:hint="eastAsia" w:eastAsia="宋体"/>
                <w:color w:val="000000" w:themeColor="text1"/>
                <w:sz w:val="24"/>
                <w:lang w:val="en-US" w:eastAsia="zh-CN"/>
                <w14:textFill>
                  <w14:solidFill>
                    <w14:schemeClr w14:val="tx1"/>
                  </w14:solidFill>
                </w14:textFill>
              </w:rPr>
            </w:pPr>
            <w:r>
              <w:rPr>
                <w:rFonts w:hint="eastAsia" w:hAnsi="宋体"/>
                <w:color w:val="000000" w:themeColor="text1"/>
                <w:sz w:val="24"/>
                <w:lang w:val="en-US" w:eastAsia="zh-CN"/>
                <w14:textFill>
                  <w14:solidFill>
                    <w14:schemeClr w14:val="tx1"/>
                  </w14:solidFill>
                </w14:textFill>
              </w:rPr>
              <w:t>勘查区涉及</w:t>
            </w:r>
            <w:r>
              <w:rPr>
                <w:rFonts w:hint="eastAsia"/>
                <w:color w:val="000000" w:themeColor="text1"/>
                <w:sz w:val="24"/>
                <w:lang w:val="en-US" w:eastAsia="zh-CN"/>
                <w14:textFill>
                  <w14:solidFill>
                    <w14:schemeClr w14:val="tx1"/>
                  </w14:solidFill>
                </w14:textFill>
              </w:rPr>
              <w:t>内蒙古自治区：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分布有5个自然保护区（内蒙古额济纳胡杨林国家级自然保护区、内蒙古宝日乌拉胡杨林自治区级自然保护区、内蒙古额济纳旗马鬃山古生物化石地质遗迹自治区级自然保护区、内蒙古额济纳旗梭梭林自治区级自然保护区、内蒙古腾格里沙漠自治区级自然保护区）、</w:t>
            </w:r>
            <w:r>
              <w:rPr>
                <w:rFonts w:hint="eastAsia" w:cs="Times New Roman"/>
                <w:b w:val="0"/>
                <w:bCs w:val="0"/>
                <w:color w:val="000000" w:themeColor="text1"/>
                <w:kern w:val="2"/>
                <w:sz w:val="24"/>
                <w:szCs w:val="24"/>
                <w:lang w:val="en-US" w:eastAsia="zh-CN" w:bidi="ar-SA"/>
                <w14:textFill>
                  <w14:solidFill>
                    <w14:schemeClr w14:val="tx1"/>
                  </w14:solidFill>
                </w14:textFill>
              </w:rPr>
              <w:t>2个风景名胜区（大漠胡杨景区、黑城弱水胡杨风景区）、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1个地质公园（内蒙古阿拉善沙漠世界地质公园）、1个森林公园（内蒙古额济纳胡杨林国家森林公园）、</w:t>
            </w:r>
            <w:r>
              <w:rPr>
                <w:rFonts w:hint="eastAsia"/>
                <w:color w:val="000000" w:themeColor="text1"/>
                <w:sz w:val="24"/>
                <w:lang w:val="en-GB"/>
                <w14:textFill>
                  <w14:solidFill>
                    <w14:schemeClr w14:val="tx1"/>
                  </w14:solidFill>
                </w14:textFill>
              </w:rPr>
              <w:t>1个重要湿地（居延海湿地）</w:t>
            </w:r>
            <w:r>
              <w:rPr>
                <w:rFonts w:hint="eastAsia"/>
                <w:color w:val="000000" w:themeColor="text1"/>
                <w:sz w:val="24"/>
                <w:lang w:val="en-GB" w:eastAsia="zh-CN"/>
                <w14:textFill>
                  <w14:solidFill>
                    <w14:schemeClr w14:val="tx1"/>
                  </w14:solidFill>
                </w14:textFill>
              </w:rPr>
              <w:t>。</w:t>
            </w:r>
          </w:p>
          <w:p>
            <w:pPr>
              <w:pStyle w:val="9"/>
              <w:spacing w:after="0" w:line="360" w:lineRule="auto"/>
              <w:ind w:left="0" w:leftChars="0" w:firstLine="480" w:firstLineChars="200"/>
              <w:rPr>
                <w:rFonts w:hAnsi="宋体"/>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本项目2022年度拟在巴丹吉林盆地和潮水盆地设置钻孔作业，其他盆地仅为地面勘查作业；</w:t>
            </w:r>
            <w:r>
              <w:rPr>
                <w:rFonts w:hint="eastAsia"/>
                <w:color w:val="000000" w:themeColor="text1"/>
                <w:sz w:val="24"/>
                <w:lang w:eastAsia="zh-CN"/>
                <w14:textFill>
                  <w14:solidFill>
                    <w14:schemeClr w14:val="tx1"/>
                  </w14:solidFill>
                </w14:textFill>
              </w:rPr>
              <w:t>2022年的钻孔不占用上述环境敏感区。同时评价要求勘查过程中调整的钻孔以及2023-2026年拟布设的钻孔选址应对上述环境敏感区进行避让，钻孔位置明确后及时向审批部门及属地监管部门进行报备。</w:t>
            </w:r>
          </w:p>
          <w:p>
            <w:pPr>
              <w:spacing w:line="360" w:lineRule="auto"/>
              <w:ind w:firstLine="480" w:firstLineChars="200"/>
              <w:rPr>
                <w:rFonts w:hint="eastAsia" w:hAnsi="宋体"/>
                <w:color w:val="000000" w:themeColor="text1"/>
                <w:sz w:val="24"/>
                <w14:textFill>
                  <w14:solidFill>
                    <w14:schemeClr w14:val="tx1"/>
                  </w14:solidFill>
                </w14:textFill>
              </w:rPr>
            </w:pPr>
            <w:r>
              <w:rPr>
                <w:rFonts w:hint="eastAsia" w:hAnsi="宋体"/>
                <w:color w:val="000000" w:themeColor="text1"/>
                <w:sz w:val="24"/>
                <w14:textFill>
                  <w14:solidFill>
                    <w14:schemeClr w14:val="tx1"/>
                  </w14:solidFill>
                </w14:textFill>
              </w:rPr>
              <w:t>本项目</w:t>
            </w:r>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周边环境敏感区分布情况及位置关系见表</w:t>
            </w:r>
            <w:r>
              <w:rPr>
                <w:rFonts w:hAnsi="宋体"/>
                <w:color w:val="000000" w:themeColor="text1"/>
                <w:sz w:val="24"/>
                <w14:textFill>
                  <w14:solidFill>
                    <w14:schemeClr w14:val="tx1"/>
                  </w14:solidFill>
                </w14:textFill>
              </w:rPr>
              <w:t>5-</w:t>
            </w:r>
            <w:r>
              <w:rPr>
                <w:rFonts w:hint="eastAsia" w:hAnsi="宋体"/>
                <w:color w:val="000000" w:themeColor="text1"/>
                <w:sz w:val="24"/>
                <w:lang w:val="en-US" w:eastAsia="zh-CN"/>
                <w14:textFill>
                  <w14:solidFill>
                    <w14:schemeClr w14:val="tx1"/>
                  </w14:solidFill>
                </w14:textFill>
              </w:rPr>
              <w:t>6</w:t>
            </w:r>
            <w:r>
              <w:rPr>
                <w:rFonts w:hint="eastAsia" w:hAnsi="宋体"/>
                <w:color w:val="000000" w:themeColor="text1"/>
                <w:sz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勘查区周边环境敏感区分布情况及位置关系</w:t>
            </w:r>
            <w:r>
              <w:rPr>
                <w:rFonts w:hint="eastAsia" w:hAnsi="宋体"/>
                <w:color w:val="000000" w:themeColor="text1"/>
                <w:sz w:val="24"/>
                <w14:textFill>
                  <w14:solidFill>
                    <w14:schemeClr w14:val="tx1"/>
                  </w14:solidFill>
                </w14:textFill>
              </w:rPr>
              <w:t>见附图</w:t>
            </w:r>
            <w:r>
              <w:rPr>
                <w:rFonts w:hint="eastAsia" w:hAnsi="宋体"/>
                <w:color w:val="000000" w:themeColor="text1"/>
                <w:sz w:val="24"/>
                <w:lang w:val="en-US" w:eastAsia="zh-CN"/>
                <w14:textFill>
                  <w14:solidFill>
                    <w14:schemeClr w14:val="tx1"/>
                  </w14:solidFill>
                </w14:textFill>
              </w:rPr>
              <w:t>6</w:t>
            </w:r>
            <w:r>
              <w:rPr>
                <w:rFonts w:hint="eastAsia" w:hAnsi="宋体"/>
                <w:color w:val="000000" w:themeColor="text1"/>
                <w:sz w:val="24"/>
                <w14:textFill>
                  <w14:solidFill>
                    <w14:schemeClr w14:val="tx1"/>
                  </w14:solidFill>
                </w14:textFill>
              </w:rPr>
              <w:t>。</w:t>
            </w:r>
          </w:p>
          <w:p>
            <w:pPr>
              <w:spacing w:line="240" w:lineRule="auto"/>
              <w:jc w:val="center"/>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表5-6  本项目勘查区周边环境敏感区分布情况及位置关系一览表</w:t>
            </w:r>
          </w:p>
          <w:tbl>
            <w:tblPr>
              <w:tblStyle w:val="11"/>
              <w:tblW w:w="4995"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49"/>
              <w:gridCol w:w="893"/>
              <w:gridCol w:w="2192"/>
              <w:gridCol w:w="1030"/>
              <w:gridCol w:w="1595"/>
              <w:gridCol w:w="1199"/>
              <w:gridCol w:w="664"/>
              <w:gridCol w:w="12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p>
              </w:tc>
              <w:tc>
                <w:tcPr>
                  <w:tcW w:w="47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敏感区</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类别</w:t>
                  </w:r>
                </w:p>
              </w:tc>
              <w:tc>
                <w:tcPr>
                  <w:tcW w:w="115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敏感区名称</w:t>
                  </w:r>
                </w:p>
              </w:tc>
              <w:tc>
                <w:tcPr>
                  <w:tcW w:w="543"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级别</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主要保护</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对象或类型</w:t>
                  </w:r>
                </w:p>
              </w:tc>
              <w:tc>
                <w:tcPr>
                  <w:tcW w:w="632"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与</w:t>
                  </w:r>
                  <w:r>
                    <w:rPr>
                      <w:rFonts w:hint="eastAsia" w:cs="Times New Roman"/>
                      <w:color w:val="000000" w:themeColor="text1"/>
                      <w:sz w:val="21"/>
                      <w:szCs w:val="21"/>
                      <w:lang w:eastAsia="zh-CN"/>
                      <w14:textFill>
                        <w14:solidFill>
                          <w14:schemeClr w14:val="tx1"/>
                        </w14:solidFill>
                      </w14:textFill>
                    </w:rPr>
                    <w:t>勘查区</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位置关系</w:t>
                  </w:r>
                </w:p>
              </w:tc>
              <w:tc>
                <w:tcPr>
                  <w:tcW w:w="350"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方位</w:t>
                  </w:r>
                </w:p>
              </w:tc>
              <w:tc>
                <w:tcPr>
                  <w:tcW w:w="660"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最近距离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巴丹吉林盆地勘查区</w:t>
                  </w:r>
                </w:p>
              </w:tc>
              <w:tc>
                <w:tcPr>
                  <w:tcW w:w="471"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15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2"/>
                      <w:sz w:val="21"/>
                      <w:szCs w:val="21"/>
                      <w:lang w:val="en-US" w:eastAsia="zh-CN" w:bidi="ar-SA"/>
                      <w14:textFill>
                        <w14:solidFill>
                          <w14:schemeClr w14:val="tx1"/>
                        </w14:solidFill>
                      </w14:textFill>
                    </w:rPr>
                    <w:t>内蒙古额济纳胡杨林国家级自然保护区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胡杨林及其生态系统</w:t>
                  </w:r>
                </w:p>
              </w:tc>
              <w:tc>
                <w:tcPr>
                  <w:tcW w:w="632"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ZK9-2与其最近，距离为</w:t>
                  </w:r>
                  <w:r>
                    <w:rPr>
                      <w:rFonts w:hint="eastAsia" w:cs="Times New Roman"/>
                      <w:color w:val="000000" w:themeColor="text1"/>
                      <w:sz w:val="21"/>
                      <w:szCs w:val="21"/>
                      <w:lang w:val="en-US" w:eastAsia="zh-CN"/>
                      <w14:textFill>
                        <w14:solidFill>
                          <w14:schemeClr w14:val="tx1"/>
                        </w14:solidFill>
                      </w14:textFill>
                    </w:rPr>
                    <w:t>25.6km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val="0"/>
                      <w:bCs w:val="0"/>
                      <w:color w:val="000000" w:themeColor="text1"/>
                      <w:kern w:val="2"/>
                      <w:sz w:val="21"/>
                      <w:szCs w:val="21"/>
                      <w:lang w:val="en-US" w:eastAsia="zh-CN" w:bidi="ar-SA"/>
                      <w14:textFill>
                        <w14:solidFill>
                          <w14:schemeClr w14:val="tx1"/>
                        </w14:solidFill>
                      </w14:textFill>
                    </w:rPr>
                    <w:t>内蒙古宝日乌拉胡杨林自治区级自然保护区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自治区级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胡杨林及其生态系统</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SE</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ZK7-2与其最近，距离为</w:t>
                  </w:r>
                  <w:r>
                    <w:rPr>
                      <w:rFonts w:hint="eastAsia" w:cs="Times New Roman"/>
                      <w:color w:val="000000" w:themeColor="text1"/>
                      <w:sz w:val="21"/>
                      <w:szCs w:val="21"/>
                      <w:lang w:val="en-US" w:eastAsia="zh-CN"/>
                      <w14:textFill>
                        <w14:solidFill>
                          <w14:schemeClr w14:val="tx1"/>
                        </w14:solidFill>
                      </w14:textFill>
                    </w:rPr>
                    <w:t>67km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71"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1156"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内蒙古阿拉善沙漠</w:t>
                  </w:r>
                  <w:r>
                    <w:rPr>
                      <w:rFonts w:hint="eastAsia" w:cs="Times New Roman"/>
                      <w:bCs/>
                      <w:color w:val="000000" w:themeColor="text1"/>
                      <w:sz w:val="21"/>
                      <w:szCs w:val="21"/>
                      <w:lang w:val="en-US" w:eastAsia="zh-CN"/>
                      <w14:textFill>
                        <w14:solidFill>
                          <w14:schemeClr w14:val="tx1"/>
                        </w14:solidFill>
                      </w14:textFill>
                    </w:rPr>
                    <w:t>国家</w:t>
                  </w:r>
                  <w:r>
                    <w:rPr>
                      <w:rFonts w:hint="default" w:ascii="Times New Roman" w:hAnsi="Times New Roman" w:cs="Times New Roman"/>
                      <w:bCs/>
                      <w:color w:val="000000" w:themeColor="text1"/>
                      <w:sz w:val="21"/>
                      <w:szCs w:val="21"/>
                      <w:lang w:val="en-US" w:eastAsia="zh-CN"/>
                      <w14:textFill>
                        <w14:solidFill>
                          <w14:schemeClr w14:val="tx1"/>
                        </w14:solidFill>
                      </w14:textFill>
                    </w:rPr>
                    <w:t>地质公园</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w:t>
                  </w:r>
                  <w:r>
                    <w:rPr>
                      <w:rFonts w:hint="default" w:ascii="Times New Roman" w:hAnsi="Times New Roman" w:cs="Times New Roman"/>
                      <w:color w:val="000000" w:themeColor="text1"/>
                      <w:sz w:val="21"/>
                      <w:szCs w:val="21"/>
                      <w:lang w:val="en-US" w:eastAsia="zh-CN"/>
                      <w14:textFill>
                        <w14:solidFill>
                          <w14:schemeClr w14:val="tx1"/>
                        </w14:solidFill>
                      </w14:textFill>
                    </w:rPr>
                    <w:t>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地质遗迹</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ZK9-2与其最近，距离为</w:t>
                  </w:r>
                  <w:r>
                    <w:rPr>
                      <w:rFonts w:hint="eastAsia" w:cs="Times New Roman"/>
                      <w:color w:val="000000" w:themeColor="text1"/>
                      <w:sz w:val="21"/>
                      <w:szCs w:val="21"/>
                      <w:lang w:val="en-US" w:eastAsia="zh-CN"/>
                      <w14:textFill>
                        <w14:solidFill>
                          <w14:schemeClr w14:val="tx1"/>
                        </w14:solidFill>
                      </w14:textFill>
                    </w:rPr>
                    <w:t>28km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7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森林公园</w:t>
                  </w:r>
                </w:p>
              </w:tc>
              <w:tc>
                <w:tcPr>
                  <w:tcW w:w="115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内蒙古额济纳胡杨林国家森林公园</w:t>
                  </w:r>
                </w:p>
              </w:tc>
              <w:tc>
                <w:tcPr>
                  <w:tcW w:w="543"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胡杨林</w:t>
                  </w:r>
                </w:p>
              </w:tc>
              <w:tc>
                <w:tcPr>
                  <w:tcW w:w="6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E</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ZK0-7</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w:t>
                  </w:r>
                  <w:r>
                    <w:rPr>
                      <w:rFonts w:hint="eastAsia" w:cs="Times New Roman"/>
                      <w:color w:val="000000" w:themeColor="text1"/>
                      <w:sz w:val="21"/>
                      <w:szCs w:val="21"/>
                      <w:lang w:val="en-US" w:eastAsia="zh-CN"/>
                      <w14:textFill>
                        <w14:solidFill>
                          <w14:schemeClr w14:val="tx1"/>
                        </w14:solidFill>
                      </w14:textFill>
                    </w:rPr>
                    <w:t>37.2km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33" w:hRule="atLeast"/>
              </w:trPr>
              <w:tc>
                <w:tcPr>
                  <w:tcW w:w="342"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71" w:type="pct"/>
                  <w:vMerge w:val="restar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1156"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大漠胡杨景区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胡杨林</w:t>
                  </w:r>
                </w:p>
              </w:tc>
              <w:tc>
                <w:tcPr>
                  <w:tcW w:w="6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E</w:t>
                  </w:r>
                </w:p>
              </w:tc>
              <w:tc>
                <w:tcPr>
                  <w:tcW w:w="660" w:type="pct"/>
                  <w:vAlign w:val="center"/>
                </w:tcPr>
                <w:p>
                  <w:pPr>
                    <w:autoSpaceDE w:val="0"/>
                    <w:autoSpaceDN w:val="0"/>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ZK0-7</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w:t>
                  </w:r>
                  <w:r>
                    <w:rPr>
                      <w:rFonts w:hint="eastAsia" w:cs="Times New Roman"/>
                      <w:color w:val="000000" w:themeColor="text1"/>
                      <w:sz w:val="21"/>
                      <w:szCs w:val="21"/>
                      <w:lang w:val="en-US" w:eastAsia="zh-CN"/>
                      <w14:textFill>
                        <w14:solidFill>
                          <w14:schemeClr w14:val="tx1"/>
                        </w14:solidFill>
                      </w14:textFill>
                    </w:rPr>
                    <w:t>35.0km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7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黑城弱水胡杨风景区</w:t>
                  </w:r>
                </w:p>
              </w:tc>
              <w:tc>
                <w:tcPr>
                  <w:tcW w:w="543"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胡杨林</w:t>
                  </w:r>
                </w:p>
              </w:tc>
              <w:tc>
                <w:tcPr>
                  <w:tcW w:w="6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SE</w:t>
                  </w:r>
                </w:p>
              </w:tc>
              <w:tc>
                <w:tcPr>
                  <w:tcW w:w="660" w:type="pct"/>
                  <w:vAlign w:val="center"/>
                </w:tcPr>
                <w:p>
                  <w:pPr>
                    <w:autoSpaceDE w:val="0"/>
                    <w:autoSpaceDN w:val="0"/>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ZK0-7</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w:t>
                  </w:r>
                  <w:r>
                    <w:rPr>
                      <w:rFonts w:hint="eastAsia" w:cs="Times New Roman"/>
                      <w:color w:val="000000" w:themeColor="text1"/>
                      <w:sz w:val="21"/>
                      <w:szCs w:val="21"/>
                      <w:lang w:val="en-US" w:eastAsia="zh-CN"/>
                      <w14:textFill>
                        <w14:solidFill>
                          <w14:schemeClr w14:val="tx1"/>
                        </w14:solidFill>
                      </w14:textFill>
                    </w:rPr>
                    <w:t>30.4km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71"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重要湿地</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居延海湿地</w:t>
                  </w:r>
                </w:p>
              </w:tc>
              <w:tc>
                <w:tcPr>
                  <w:tcW w:w="543"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湿地</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ZK9-2</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w:t>
                  </w:r>
                  <w:r>
                    <w:rPr>
                      <w:rFonts w:hint="eastAsia" w:cs="Times New Roman"/>
                      <w:color w:val="000000" w:themeColor="text1"/>
                      <w:sz w:val="21"/>
                      <w:szCs w:val="21"/>
                      <w:lang w:val="en-US" w:eastAsia="zh-CN"/>
                      <w14:textFill>
                        <w14:solidFill>
                          <w14:schemeClr w14:val="tx1"/>
                        </w14:solidFill>
                      </w14:textFill>
                    </w:rPr>
                    <w:t>13.9km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潮水盆地勘查区</w:t>
                  </w:r>
                </w:p>
              </w:tc>
              <w:tc>
                <w:tcPr>
                  <w:tcW w:w="471"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黑河湿地国家级自然保护区</w:t>
                  </w:r>
                </w:p>
              </w:tc>
              <w:tc>
                <w:tcPr>
                  <w:tcW w:w="543" w:type="pct"/>
                  <w:vAlign w:val="center"/>
                </w:tcPr>
                <w:p>
                  <w:pPr>
                    <w:autoSpaceDE w:val="0"/>
                    <w:autoSpaceDN w:val="0"/>
                    <w:spacing w:line="240" w:lineRule="auto"/>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湿地和水域生态系统及生物多样性</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ZKD159-1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与其最近，距离为30.6km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甘肃东大山省级自然保护区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天然林</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ZKD240-1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与其最近，距离为27.6km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甘肃龙首山省级自然保护区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青海云杉林及岩羊等野生动物</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ZKD240-1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与其最近，距离为39.6km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甘肃芨芨泉省级自然保护区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荒漠生态系统及野生动植物</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ZKH0-2</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与其最近，距离为15.7km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民勤连古城国家自然保护区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荒漠生态系统</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SE</w:t>
                  </w:r>
                </w:p>
              </w:tc>
              <w:tc>
                <w:tcPr>
                  <w:tcW w:w="660"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ZKH0-1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与其最近，距离为3.8km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北山地区勘查区</w:t>
                  </w:r>
                </w:p>
              </w:tc>
              <w:tc>
                <w:tcPr>
                  <w:tcW w:w="471"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肃北马鬃山北山羊省级自然保护区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北山羊等野生动物</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restar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根据设计文件，该区域2022年度不设置钻孔，仅为地面调查；2023-2026年钻孔位置未确定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1"/>
                      <w:szCs w:val="21"/>
                      <w:lang w:val="en-US" w:eastAsia="zh-CN" w:bidi="ar-SA"/>
                      <w14:textFill>
                        <w14:solidFill>
                          <w14:schemeClr w14:val="tx1"/>
                        </w14:solidFill>
                      </w14:textFill>
                    </w:rPr>
                    <w:t>内蒙古额济纳旗马鬃山古生物化石地质遗迹自治区级自然保护区</w:t>
                  </w:r>
                </w:p>
              </w:tc>
              <w:tc>
                <w:tcPr>
                  <w:tcW w:w="543"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自治区级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恐龙骨架化石、恐龙足迹化石及其蛋花石</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1"/>
                      <w:szCs w:val="21"/>
                      <w:lang w:val="en-US" w:eastAsia="zh-CN" w:bidi="ar-SA"/>
                      <w14:textFill>
                        <w14:solidFill>
                          <w14:schemeClr w14:val="tx1"/>
                        </w14:solidFill>
                      </w14:textFill>
                    </w:rPr>
                    <w:t>内蒙古额济纳旗梭梭林自治区级自然保护区</w:t>
                  </w:r>
                </w:p>
              </w:tc>
              <w:tc>
                <w:tcPr>
                  <w:tcW w:w="543"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自治区级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荒漠生态系统及梭梭林、肉苁蓉等野生动植物</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肃北公婆泉恐龙地质公园</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化石</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走廊盆地勘查区</w:t>
                  </w:r>
                </w:p>
              </w:tc>
              <w:tc>
                <w:tcPr>
                  <w:tcW w:w="471"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甘肃安西县极旱荒漠国家级自然保护区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荒漠生态系统及珍稀动植物</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restar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根据设计文件，该区域2022年度不设置钻孔，仅为地面调查；2023-2026年钻孔位置未确定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甘肃敦煌西湖国家级自然保护区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野生动物及荒漠湿地</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甘肃敦煌阳关国家级自然保护区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湿地生态系统及候鸟</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甘肃盐池湾国家级自然保护区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白唇鹿、野牦牛、野驴等珍稀动物及其生境</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甘肃祁连山国家级自然保护区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森林及野生动物</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黑河湿地国家级自然保护区</w:t>
                  </w:r>
                </w:p>
              </w:tc>
              <w:tc>
                <w:tcPr>
                  <w:tcW w:w="543" w:type="pct"/>
                  <w:vAlign w:val="center"/>
                </w:tcPr>
                <w:p>
                  <w:pPr>
                    <w:autoSpaceDE w:val="0"/>
                    <w:autoSpaceDN w:val="0"/>
                    <w:spacing w:line="240" w:lineRule="auto"/>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湿地和水域生态系统及生物多样性</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甘肃安南坝野骆驼国家自然保护区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野骆驼、野驴等野生动物及荒漠草原</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甘肃瓜州县塘敦湖省级自然保护区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候鸟和湿地保护</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甘肃沙枣园子省级自然保护区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胡杨、柽柳、花棒、梭梭等天然林木；黄羊、天鹅、夜鹰等野生动物</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甘肃昌马河省级自然保护区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高山荒漠</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甘肃玉门南山省级自然保护区</w:t>
                  </w:r>
                </w:p>
              </w:tc>
              <w:tc>
                <w:tcPr>
                  <w:tcW w:w="543" w:type="pct"/>
                  <w:vAlign w:val="center"/>
                </w:tcPr>
                <w:p>
                  <w:pPr>
                    <w:autoSpaceDE w:val="0"/>
                    <w:autoSpaceDN w:val="0"/>
                    <w:spacing w:line="240" w:lineRule="auto"/>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野生动物及其生境</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甘肃干海子省级自然保护区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鸟类及其生境</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甘肃省疏勒河中下游省级自然保护区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生态系统及野生动物</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甘肃敦煌雅丹自然保护区</w:t>
                  </w:r>
                </w:p>
              </w:tc>
              <w:tc>
                <w:tcPr>
                  <w:tcW w:w="543"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雅丹地貌</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甘肃马鬃山自然保护区</w:t>
                  </w:r>
                </w:p>
              </w:tc>
              <w:tc>
                <w:tcPr>
                  <w:tcW w:w="543" w:type="pct"/>
                  <w:vAlign w:val="center"/>
                </w:tcPr>
                <w:p>
                  <w:pPr>
                    <w:autoSpaceDE w:val="0"/>
                    <w:autoSpaceDN w:val="0"/>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岩羊等野生动物</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森林公园</w:t>
                  </w:r>
                </w:p>
              </w:tc>
              <w:tc>
                <w:tcPr>
                  <w:tcW w:w="1156" w:type="pct"/>
                  <w:vAlign w:val="center"/>
                </w:tcPr>
                <w:p>
                  <w:pPr>
                    <w:autoSpaceDE w:val="0"/>
                    <w:autoSpaceDN w:val="0"/>
                    <w:jc w:val="center"/>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敦煌市阳关沙漠森林公园</w:t>
                  </w:r>
                </w:p>
              </w:tc>
              <w:tc>
                <w:tcPr>
                  <w:tcW w:w="543"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森林</w:t>
                  </w:r>
                </w:p>
              </w:tc>
              <w:tc>
                <w:tcPr>
                  <w:tcW w:w="632" w:type="pct"/>
                  <w:vAlign w:val="center"/>
                </w:tcPr>
                <w:p>
                  <w:pPr>
                    <w:autoSpaceDE w:val="0"/>
                    <w:autoSpaceDN w:val="0"/>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1156" w:type="pct"/>
                  <w:vAlign w:val="center"/>
                </w:tcPr>
                <w:p>
                  <w:pPr>
                    <w:autoSpaceDE w:val="0"/>
                    <w:autoSpaceDN w:val="0"/>
                    <w:jc w:val="center"/>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敦煌世界地质公园</w:t>
                  </w:r>
                </w:p>
              </w:tc>
              <w:tc>
                <w:tcPr>
                  <w:tcW w:w="543"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世界级</w:t>
                  </w:r>
                </w:p>
              </w:tc>
              <w:tc>
                <w:tcPr>
                  <w:tcW w:w="841"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ascii="Times New Roman" w:hAnsi="Times New Roman" w:cs="Times New Roman"/>
                      <w:bCs/>
                      <w:color w:val="000000" w:themeColor="text1"/>
                      <w:sz w:val="21"/>
                      <w:szCs w:val="21"/>
                      <w:lang w:val="en-US" w:eastAsia="zh-CN"/>
                      <w14:textFill>
                        <w14:solidFill>
                          <w14:schemeClr w14:val="tx1"/>
                        </w14:solidFill>
                      </w14:textFill>
                    </w:rPr>
                    <w:t>自然景观、文化遗址</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玉门硅化木省级地质公园</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硅化木</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金塔黑河省级</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质公园</w:t>
                  </w:r>
                </w:p>
              </w:tc>
              <w:tc>
                <w:tcPr>
                  <w:tcW w:w="543" w:type="pct"/>
                  <w:vAlign w:val="center"/>
                </w:tcPr>
                <w:p>
                  <w:pPr>
                    <w:autoSpaceDE w:val="0"/>
                    <w:autoSpaceDN w:val="0"/>
                    <w:spacing w:line="240" w:lineRule="auto"/>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地形地貌</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1156" w:type="pct"/>
                  <w:vAlign w:val="center"/>
                </w:tcPr>
                <w:p>
                  <w:pPr>
                    <w:autoSpaceDE w:val="0"/>
                    <w:autoSpaceDN w:val="0"/>
                    <w:jc w:val="center"/>
                    <w:rPr>
                      <w:rFonts w:hint="eastAsia" w:cs="Times New Roman"/>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鸣沙山</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自然景观</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eastAsia" w:cs="Times New Roman"/>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月牙泉景区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自然景观</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水源保护地</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嘉峪关饮用水水源保护区</w:t>
                  </w:r>
                </w:p>
              </w:tc>
              <w:tc>
                <w:tcPr>
                  <w:tcW w:w="543" w:type="pct"/>
                  <w:vMerge w:val="restart"/>
                  <w:vAlign w:val="center"/>
                </w:tcPr>
                <w:p>
                  <w:pPr>
                    <w:autoSpaceDE w:val="0"/>
                    <w:autoSpaceDN w:val="0"/>
                    <w:jc w:val="both"/>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集中式生活饮用水水源地</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地下水水质</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北大河饮用水水源保护区</w:t>
                  </w:r>
                </w:p>
              </w:tc>
              <w:tc>
                <w:tcPr>
                  <w:tcW w:w="543" w:type="pct"/>
                  <w:vMerge w:val="continue"/>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地下水水质</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文化遗产</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甘肃敦煌</w:t>
                  </w:r>
                  <w:r>
                    <w:rPr>
                      <w:rFonts w:hint="eastAsia" w:ascii="Times New Roman" w:hAnsi="Times New Roman" w:cs="Times New Roman"/>
                      <w:bCs/>
                      <w:color w:val="000000" w:themeColor="text1"/>
                      <w:sz w:val="21"/>
                      <w:szCs w:val="21"/>
                      <w:lang w:val="en-US" w:eastAsia="zh-CN"/>
                      <w14:textFill>
                        <w14:solidFill>
                          <w14:schemeClr w14:val="tx1"/>
                        </w14:solidFill>
                      </w14:textFill>
                    </w:rPr>
                    <w:t>莫高窟</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ascii="Times New Roman" w:hAnsi="Times New Roman" w:cs="Times New Roman"/>
                      <w:bCs/>
                      <w:color w:val="000000" w:themeColor="text1"/>
                      <w:sz w:val="21"/>
                      <w:szCs w:val="21"/>
                      <w:lang w:val="en-US" w:eastAsia="zh-CN"/>
                      <w14:textFill>
                        <w14:solidFill>
                          <w14:schemeClr w14:val="tx1"/>
                        </w14:solidFill>
                      </w14:textFill>
                    </w:rPr>
                    <w:t>世界级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文化自然遗产</w:t>
                  </w:r>
                </w:p>
              </w:tc>
              <w:tc>
                <w:tcPr>
                  <w:tcW w:w="6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eastAsia" w:ascii="Times New Roman" w:hAnsi="Times New Roman"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甘肃嘉峪关关城</w:t>
                  </w:r>
                </w:p>
              </w:tc>
              <w:tc>
                <w:tcPr>
                  <w:tcW w:w="543" w:type="pct"/>
                  <w:vAlign w:val="center"/>
                </w:tcPr>
                <w:p>
                  <w:pPr>
                    <w:autoSpaceDE w:val="0"/>
                    <w:autoSpaceDN w:val="0"/>
                    <w:jc w:val="center"/>
                    <w:rPr>
                      <w:rFonts w:hint="eastAsia" w:ascii="Times New Roman" w:hAnsi="Times New Roman" w:cs="Times New Roman"/>
                      <w:bCs/>
                      <w:color w:val="000000" w:themeColor="text1"/>
                      <w:sz w:val="21"/>
                      <w:szCs w:val="21"/>
                      <w:lang w:val="en-US" w:eastAsia="zh-CN"/>
                      <w14:textFill>
                        <w14:solidFill>
                          <w14:schemeClr w14:val="tx1"/>
                        </w14:solidFill>
                      </w14:textFill>
                    </w:rPr>
                  </w:pPr>
                  <w:r>
                    <w:rPr>
                      <w:rFonts w:hint="eastAsia" w:ascii="Times New Roman" w:hAnsi="Times New Roman" w:cs="Times New Roman"/>
                      <w:bCs/>
                      <w:color w:val="000000" w:themeColor="text1"/>
                      <w:sz w:val="21"/>
                      <w:szCs w:val="21"/>
                      <w:lang w:val="en-US" w:eastAsia="zh-CN"/>
                      <w14:textFill>
                        <w14:solidFill>
                          <w14:schemeClr w14:val="tx1"/>
                        </w14:solidFill>
                      </w14:textFill>
                    </w:rPr>
                    <w:t>世界级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文化自然遗产</w:t>
                  </w:r>
                </w:p>
              </w:tc>
              <w:tc>
                <w:tcPr>
                  <w:tcW w:w="6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350" w:type="pct"/>
                  <w:vAlign w:val="center"/>
                </w:tcPr>
                <w:p>
                  <w:pPr>
                    <w:autoSpaceDE w:val="0"/>
                    <w:autoSpaceDN w:val="0"/>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武腾盆地勘查区</w:t>
                  </w:r>
                </w:p>
              </w:tc>
              <w:tc>
                <w:tcPr>
                  <w:tcW w:w="471"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甘肃祁连山国家级自然保护区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森林及野生动物</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restar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根据设计文件，该</w:t>
                  </w: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2022年度不设置钻孔，仅为地面调查；2023-2026年钻孔位置未确定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民勤连古城国家自然保护区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国家级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荒漠生态系统</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甘肃干海子省级自然保护区</w:t>
                  </w:r>
                </w:p>
              </w:tc>
              <w:tc>
                <w:tcPr>
                  <w:tcW w:w="543"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鸟类及其生境</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内蒙古腾格里沙漠自治区级自然保护区</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cs="Times New Roman"/>
                      <w:bCs/>
                      <w:color w:val="000000" w:themeColor="text1"/>
                      <w:sz w:val="21"/>
                      <w:szCs w:val="21"/>
                      <w:lang w:val="en-US" w:eastAsia="zh-CN"/>
                      <w14:textFill>
                        <w14:solidFill>
                          <w14:schemeClr w14:val="tx1"/>
                        </w14:solidFill>
                      </w14:textFill>
                    </w:rPr>
                    <w:t>自治区级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沙冬青、霸王、鹅喉羚、荒漠猫、金雕、大天鹅等</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restar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内蒙古阿拉善沙漠世界地质公园</w:t>
                  </w:r>
                </w:p>
              </w:tc>
              <w:tc>
                <w:tcPr>
                  <w:tcW w:w="543"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世界级</w:t>
                  </w:r>
                </w:p>
              </w:tc>
              <w:tc>
                <w:tcPr>
                  <w:tcW w:w="841"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古遗址</w:t>
                  </w:r>
                </w:p>
              </w:tc>
              <w:tc>
                <w:tcPr>
                  <w:tcW w:w="6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342"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7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156" w:type="pct"/>
                  <w:vAlign w:val="center"/>
                </w:tcPr>
                <w:p>
                  <w:pPr>
                    <w:autoSpaceDE w:val="0"/>
                    <w:autoSpaceDN w:val="0"/>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永昌县北海子湿地省级地质公园</w:t>
                  </w:r>
                </w:p>
              </w:tc>
              <w:tc>
                <w:tcPr>
                  <w:tcW w:w="543"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省级</w:t>
                  </w:r>
                </w:p>
              </w:tc>
              <w:tc>
                <w:tcPr>
                  <w:tcW w:w="841"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湿地生态及其自然景观</w:t>
                  </w:r>
                </w:p>
              </w:tc>
              <w:tc>
                <w:tcPr>
                  <w:tcW w:w="6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350"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660" w:type="pct"/>
                  <w:vMerge w:val="continue"/>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r>
          </w:tbl>
          <w:p>
            <w:pPr>
              <w:pStyle w:val="1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环境保护目标</w:t>
            </w:r>
          </w:p>
          <w:bookmarkEnd w:id="11"/>
          <w:p>
            <w:pPr>
              <w:pStyle w:val="9"/>
              <w:spacing w:after="0" w:line="360" w:lineRule="auto"/>
              <w:ind w:left="0" w:leftChars="0" w:firstLine="480" w:firstLineChars="200"/>
              <w:rPr>
                <w:rFonts w:hAnsi="宋体"/>
                <w:color w:val="000000" w:themeColor="text1"/>
                <w:sz w:val="24"/>
                <w14:textFill>
                  <w14:solidFill>
                    <w14:schemeClr w14:val="tx1"/>
                  </w14:solidFill>
                </w14:textFill>
              </w:rPr>
            </w:pPr>
            <w:r>
              <w:rPr>
                <w:rFonts w:hint="eastAsia" w:hAnsi="宋体"/>
                <w:color w:val="000000" w:themeColor="text1"/>
                <w:sz w:val="24"/>
                <w14:textFill>
                  <w14:solidFill>
                    <w14:schemeClr w14:val="tx1"/>
                  </w14:solidFill>
                </w14:textFill>
              </w:rPr>
              <w:t>本项目噪声评价范围内无敏感点，环境空气、地表水环境、声环境、辐射环境各要素主要环境保护目标见表5</w:t>
            </w:r>
            <w:r>
              <w:rPr>
                <w:rFonts w:hAnsi="宋体"/>
                <w:color w:val="000000" w:themeColor="text1"/>
                <w:sz w:val="24"/>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7</w:t>
            </w:r>
            <w:r>
              <w:rPr>
                <w:rFonts w:hint="eastAsia" w:hAnsi="宋体"/>
                <w:color w:val="000000" w:themeColor="text1"/>
                <w:sz w:val="24"/>
                <w14:textFill>
                  <w14:solidFill>
                    <w14:schemeClr w14:val="tx1"/>
                  </w14:solidFill>
                </w14:textFill>
              </w:rPr>
              <w:t>，</w:t>
            </w:r>
            <w:bookmarkStart w:id="12" w:name="_Hlk36127139"/>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主要</w:t>
            </w:r>
            <w:r>
              <w:rPr>
                <w:rFonts w:hint="eastAsia" w:hAnsi="宋体"/>
                <w:color w:val="000000" w:themeColor="text1"/>
                <w:sz w:val="24"/>
                <w:lang w:val="en-US" w:eastAsia="zh-CN"/>
                <w14:textFill>
                  <w14:solidFill>
                    <w14:schemeClr w14:val="tx1"/>
                  </w14:solidFill>
                </w14:textFill>
              </w:rPr>
              <w:t>环境保护目标</w:t>
            </w:r>
            <w:r>
              <w:rPr>
                <w:rFonts w:hint="eastAsia" w:hAnsi="宋体"/>
                <w:color w:val="000000" w:themeColor="text1"/>
                <w:sz w:val="24"/>
                <w14:textFill>
                  <w14:solidFill>
                    <w14:schemeClr w14:val="tx1"/>
                  </w14:solidFill>
                </w14:textFill>
              </w:rPr>
              <w:t>分布</w:t>
            </w:r>
            <w:bookmarkEnd w:id="12"/>
            <w:r>
              <w:rPr>
                <w:rFonts w:hint="eastAsia" w:hAnsi="宋体"/>
                <w:color w:val="000000" w:themeColor="text1"/>
                <w:sz w:val="24"/>
                <w14:textFill>
                  <w14:solidFill>
                    <w14:schemeClr w14:val="tx1"/>
                  </w14:solidFill>
                </w14:textFill>
              </w:rPr>
              <w:t>见</w:t>
            </w:r>
            <w:bookmarkStart w:id="13" w:name="_Hlk36127144"/>
            <w:r>
              <w:rPr>
                <w:rFonts w:hint="eastAsia" w:hAnsi="宋体"/>
                <w:color w:val="000000" w:themeColor="text1"/>
                <w:sz w:val="24"/>
                <w:szCs w:val="24"/>
                <w14:textFill>
                  <w14:solidFill>
                    <w14:schemeClr w14:val="tx1"/>
                  </w14:solidFill>
                </w14:textFill>
              </w:rPr>
              <w:t>附图</w:t>
            </w:r>
            <w:bookmarkEnd w:id="13"/>
            <w:r>
              <w:rPr>
                <w:rFonts w:hint="eastAsia" w:hAnsi="宋体"/>
                <w:color w:val="000000" w:themeColor="text1"/>
                <w:sz w:val="24"/>
                <w:szCs w:val="24"/>
                <w:lang w:val="en-US" w:eastAsia="zh-CN"/>
                <w14:textFill>
                  <w14:solidFill>
                    <w14:schemeClr w14:val="tx1"/>
                  </w14:solidFill>
                </w14:textFill>
              </w:rPr>
              <w:t>7</w:t>
            </w:r>
            <w:r>
              <w:rPr>
                <w:rFonts w:hint="eastAsia" w:hAnsi="宋体"/>
                <w:color w:val="000000" w:themeColor="text1"/>
                <w:sz w:val="24"/>
                <w:szCs w:val="24"/>
                <w14:textFill>
                  <w14:solidFill>
                    <w14:schemeClr w14:val="tx1"/>
                  </w14:solidFill>
                </w14:textFill>
              </w:rPr>
              <w:t>。</w:t>
            </w:r>
          </w:p>
          <w:p>
            <w:pPr>
              <w:spacing w:line="240" w:lineRule="auto"/>
              <w:jc w:val="center"/>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表5-7  主要环境保护目标表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445"/>
              <w:gridCol w:w="596"/>
              <w:gridCol w:w="1150"/>
              <w:gridCol w:w="148"/>
              <w:gridCol w:w="480"/>
              <w:gridCol w:w="782"/>
              <w:gridCol w:w="2330"/>
              <w:gridCol w:w="1713"/>
              <w:gridCol w:w="183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restar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eastAsia="zh-CN"/>
                      <w14:textFill>
                        <w14:solidFill>
                          <w14:schemeClr w14:val="tx1"/>
                        </w14:solidFill>
                      </w14:textFill>
                    </w:rPr>
                    <w:t>勘查区</w:t>
                  </w: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要素</w:t>
                  </w:r>
                </w:p>
              </w:tc>
              <w:tc>
                <w:tcPr>
                  <w:tcW w:w="684" w:type="pct"/>
                  <w:gridSpan w:val="2"/>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保护目标</w:t>
                  </w:r>
                </w:p>
              </w:tc>
              <w:tc>
                <w:tcPr>
                  <w:tcW w:w="665"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相对方位</w:t>
                  </w:r>
                </w:p>
              </w:tc>
              <w:tc>
                <w:tcPr>
                  <w:tcW w:w="1227"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保护目标基本情况</w:t>
                  </w:r>
                </w:p>
              </w:tc>
              <w:tc>
                <w:tcPr>
                  <w:tcW w:w="903"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w:t>
                  </w:r>
                  <w:r>
                    <w:rPr>
                      <w:color w:val="000000" w:themeColor="text1"/>
                      <w:szCs w:val="21"/>
                      <w14:textFill>
                        <w14:solidFill>
                          <w14:schemeClr w14:val="tx1"/>
                        </w14:solidFill>
                      </w14:textFill>
                    </w:rPr>
                    <w:t>功能区</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（保护级别、要求）</w:t>
                  </w:r>
                </w:p>
              </w:tc>
              <w:tc>
                <w:tcPr>
                  <w:tcW w:w="96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25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方位</w:t>
                  </w:r>
                </w:p>
              </w:tc>
              <w:tc>
                <w:tcPr>
                  <w:tcW w:w="41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距离</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km</w:t>
                  </w:r>
                </w:p>
              </w:tc>
              <w:tc>
                <w:tcPr>
                  <w:tcW w:w="1227"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restart"/>
                  <w:tcBorders>
                    <w:tl2br w:val="nil"/>
                    <w:tr2bl w:val="nil"/>
                  </w:tcBorders>
                  <w:tcMar>
                    <w:top w:w="15" w:type="dxa"/>
                    <w:left w:w="15" w:type="dxa"/>
                    <w:bottom w:w="0" w:type="dxa"/>
                    <w:right w:w="15" w:type="dxa"/>
                  </w:tcMar>
                  <w:vAlign w:val="center"/>
                </w:tcPr>
                <w:p>
                  <w:pPr>
                    <w:autoSpaceDE w:val="0"/>
                    <w:autoSpaceDN w:val="0"/>
                    <w:jc w:val="center"/>
                    <w:rPr>
                      <w:rFonts w:hint="default"/>
                      <w:color w:val="000000" w:themeColor="text1"/>
                      <w:szCs w:val="21"/>
                      <w:lang w:val="en-US"/>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巴丹吉林盆地勘查区</w:t>
                  </w: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环境空气</w:t>
                  </w:r>
                </w:p>
              </w:tc>
              <w:tc>
                <w:tcPr>
                  <w:tcW w:w="684" w:type="pct"/>
                  <w:gridSpan w:val="2"/>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额济纳旗</w:t>
                  </w:r>
                </w:p>
              </w:tc>
              <w:tc>
                <w:tcPr>
                  <w:tcW w:w="253"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41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1227"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旗</w:t>
                  </w:r>
                  <w:r>
                    <w:rPr>
                      <w:color w:val="000000" w:themeColor="text1"/>
                      <w:szCs w:val="21"/>
                      <w14:textFill>
                        <w14:solidFill>
                          <w14:schemeClr w14:val="tx1"/>
                        </w14:solidFill>
                      </w14:textFill>
                    </w:rPr>
                    <w:t>县级</w:t>
                  </w:r>
                  <w:r>
                    <w:rPr>
                      <w:rFonts w:hint="eastAsia"/>
                      <w:color w:val="000000" w:themeColor="text1"/>
                      <w:szCs w:val="21"/>
                      <w14:textFill>
                        <w14:solidFill>
                          <w14:schemeClr w14:val="tx1"/>
                        </w14:solidFill>
                      </w14:textFill>
                    </w:rPr>
                    <w:t>（内蒙古）</w:t>
                  </w:r>
                </w:p>
              </w:tc>
              <w:tc>
                <w:tcPr>
                  <w:tcW w:w="903"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《环境空气质量标准》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GB3095-2012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中的二级标准</w:t>
                  </w:r>
                </w:p>
              </w:tc>
              <w:tc>
                <w:tcPr>
                  <w:tcW w:w="96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金塔县</w:t>
                  </w:r>
                </w:p>
              </w:tc>
              <w:tc>
                <w:tcPr>
                  <w:tcW w:w="253"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红星大队</w:t>
                  </w:r>
                </w:p>
              </w:tc>
              <w:tc>
                <w:tcPr>
                  <w:tcW w:w="253"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t>
                  </w:r>
                </w:p>
              </w:tc>
              <w:tc>
                <w:tcPr>
                  <w:tcW w:w="412"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3.12</w:t>
                  </w:r>
                </w:p>
              </w:tc>
              <w:tc>
                <w:tcPr>
                  <w:tcW w:w="1227"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村庄</w:t>
                  </w:r>
                </w:p>
              </w:tc>
              <w:tc>
                <w:tcPr>
                  <w:tcW w:w="903"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与ZK0-7钻孔最近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684" w:type="pct"/>
                  <w:gridSpan w:val="2"/>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黑河</w:t>
                  </w:r>
                </w:p>
              </w:tc>
              <w:tc>
                <w:tcPr>
                  <w:tcW w:w="253"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勘查区内长约25.6km</w:t>
                  </w:r>
                </w:p>
              </w:tc>
              <w:tc>
                <w:tcPr>
                  <w:tcW w:w="903" w:type="pct"/>
                  <w:vMerge w:val="restar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《地表水环境质量标准》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GB3838-2002</w:t>
                  </w:r>
                  <w:r>
                    <w:rPr>
                      <w:rFonts w:hint="eastAsia"/>
                      <w:color w:val="000000" w:themeColor="text1"/>
                      <w:szCs w:val="21"/>
                      <w:lang w:eastAsia="zh-CN"/>
                      <w14:textFill>
                        <w14:solidFill>
                          <w14:schemeClr w14:val="tx1"/>
                        </w14:solidFill>
                      </w14:textFill>
                    </w:rPr>
                    <w:t>）</w:t>
                  </w:r>
                </w:p>
              </w:tc>
              <w:tc>
                <w:tcPr>
                  <w:tcW w:w="969"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东河</w:t>
                  </w:r>
                </w:p>
              </w:tc>
              <w:tc>
                <w:tcPr>
                  <w:tcW w:w="253"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勘查区内长约16.4km</w:t>
                  </w:r>
                </w:p>
              </w:tc>
              <w:tc>
                <w:tcPr>
                  <w:tcW w:w="903"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苏泊淖尔</w:t>
                  </w:r>
                </w:p>
              </w:tc>
              <w:tc>
                <w:tcPr>
                  <w:tcW w:w="253"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w:t>
                  </w:r>
                </w:p>
              </w:tc>
              <w:tc>
                <w:tcPr>
                  <w:tcW w:w="412"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14.2</w:t>
                  </w:r>
                </w:p>
              </w:tc>
              <w:tc>
                <w:tcPr>
                  <w:tcW w:w="1227"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903"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ZK9-2</w:t>
                  </w:r>
                  <w:r>
                    <w:rPr>
                      <w:rFonts w:hint="eastAsia" w:cs="Times New Roman"/>
                      <w:color w:val="000000" w:themeColor="text1"/>
                      <w:sz w:val="21"/>
                      <w:szCs w:val="21"/>
                      <w:lang w:val="en-US" w:eastAsia="zh-CN"/>
                      <w14:textFill>
                        <w14:solidFill>
                          <w14:schemeClr w14:val="tx1"/>
                        </w14:solidFill>
                      </w14:textFill>
                    </w:rPr>
                    <w:t>钻孔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嘎顺淖尔</w:t>
                  </w:r>
                </w:p>
              </w:tc>
              <w:tc>
                <w:tcPr>
                  <w:tcW w:w="253"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SE</w:t>
                  </w:r>
                </w:p>
              </w:tc>
              <w:tc>
                <w:tcPr>
                  <w:tcW w:w="412"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36.9</w:t>
                  </w:r>
                </w:p>
              </w:tc>
              <w:tc>
                <w:tcPr>
                  <w:tcW w:w="1227"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903"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ZK9-1</w:t>
                  </w:r>
                  <w:r>
                    <w:rPr>
                      <w:rFonts w:hint="eastAsia" w:cs="Times New Roman"/>
                      <w:color w:val="000000" w:themeColor="text1"/>
                      <w:sz w:val="21"/>
                      <w:szCs w:val="21"/>
                      <w:lang w:val="en-US" w:eastAsia="zh-CN"/>
                      <w14:textFill>
                        <w14:solidFill>
                          <w14:schemeClr w14:val="tx1"/>
                        </w14:solidFill>
                      </w14:textFill>
                    </w:rPr>
                    <w:t>钻孔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额日央川吉音淖尔</w:t>
                  </w:r>
                </w:p>
              </w:tc>
              <w:tc>
                <w:tcPr>
                  <w:tcW w:w="253"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74.5</w:t>
                  </w:r>
                </w:p>
              </w:tc>
              <w:tc>
                <w:tcPr>
                  <w:tcW w:w="1227"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903"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ZK0-7</w:t>
                  </w:r>
                  <w:r>
                    <w:rPr>
                      <w:rFonts w:hint="eastAsia" w:cs="Times New Roman"/>
                      <w:color w:val="000000" w:themeColor="text1"/>
                      <w:sz w:val="21"/>
                      <w:szCs w:val="21"/>
                      <w:lang w:val="en-US" w:eastAsia="zh-CN"/>
                      <w14:textFill>
                        <w14:solidFill>
                          <w14:schemeClr w14:val="tx1"/>
                        </w14:solidFill>
                      </w14:textFill>
                    </w:rPr>
                    <w:t>钻孔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河西新湖</w:t>
                  </w:r>
                </w:p>
              </w:tc>
              <w:tc>
                <w:tcPr>
                  <w:tcW w:w="253"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SE</w:t>
                  </w:r>
                </w:p>
              </w:tc>
              <w:tc>
                <w:tcPr>
                  <w:tcW w:w="412"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71</w:t>
                  </w:r>
                </w:p>
              </w:tc>
              <w:tc>
                <w:tcPr>
                  <w:tcW w:w="1227"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面积约为9.3km</w:t>
                  </w:r>
                  <w:r>
                    <w:rPr>
                      <w:rFonts w:hint="eastAsia"/>
                      <w:color w:val="000000" w:themeColor="text1"/>
                      <w:szCs w:val="21"/>
                      <w:vertAlign w:val="superscript"/>
                      <w:lang w:val="en-US" w:eastAsia="zh-CN"/>
                      <w14:textFill>
                        <w14:solidFill>
                          <w14:schemeClr w14:val="tx1"/>
                        </w14:solidFill>
                      </w14:textFill>
                    </w:rPr>
                    <w:t>2</w:t>
                  </w:r>
                </w:p>
              </w:tc>
              <w:tc>
                <w:tcPr>
                  <w:tcW w:w="903"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ZK7-1</w:t>
                  </w:r>
                  <w:r>
                    <w:rPr>
                      <w:rFonts w:hint="eastAsia" w:cs="Times New Roman"/>
                      <w:color w:val="000000" w:themeColor="text1"/>
                      <w:sz w:val="21"/>
                      <w:szCs w:val="21"/>
                      <w:lang w:val="en-US" w:eastAsia="zh-CN"/>
                      <w14:textFill>
                        <w14:solidFill>
                          <w14:schemeClr w14:val="tx1"/>
                        </w14:solidFill>
                      </w14:textFill>
                    </w:rPr>
                    <w:t>钻孔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gridSpan w:val="2"/>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居延海</w:t>
                  </w:r>
                </w:p>
              </w:tc>
              <w:tc>
                <w:tcPr>
                  <w:tcW w:w="253"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S</w:t>
                  </w:r>
                </w:p>
              </w:tc>
              <w:tc>
                <w:tcPr>
                  <w:tcW w:w="412"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13.9</w:t>
                  </w:r>
                </w:p>
              </w:tc>
              <w:tc>
                <w:tcPr>
                  <w:tcW w:w="1227" w:type="pct"/>
                  <w:tcBorders>
                    <w:tl2br w:val="nil"/>
                    <w:tr2bl w:val="nil"/>
                  </w:tcBorders>
                  <w:tcMar>
                    <w:top w:w="15" w:type="dxa"/>
                    <w:left w:w="15" w:type="dxa"/>
                    <w:bottom w:w="0" w:type="dxa"/>
                    <w:right w:w="15" w:type="dxa"/>
                  </w:tcMar>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面积约33000</w:t>
                  </w:r>
                  <w:r>
                    <w:rPr>
                      <w:rFonts w:hint="eastAsia" w:cs="Times New Roman"/>
                      <w:color w:val="000000" w:themeColor="text1"/>
                      <w:kern w:val="2"/>
                      <w:sz w:val="21"/>
                      <w:szCs w:val="21"/>
                      <w:lang w:val="en-US" w:eastAsia="zh-CN" w:bidi="ar-SA"/>
                      <w14:textFill>
                        <w14:solidFill>
                          <w14:schemeClr w14:val="tx1"/>
                        </w14:solidFill>
                      </w14:textFill>
                    </w:rPr>
                    <w:t>公顷</w:t>
                  </w:r>
                </w:p>
              </w:tc>
              <w:tc>
                <w:tcPr>
                  <w:tcW w:w="903" w:type="pct"/>
                  <w:vMerge w:val="continue"/>
                  <w:tcBorders>
                    <w:tl2br w:val="nil"/>
                    <w:tr2bl w:val="nil"/>
                  </w:tcBorders>
                  <w:tcMar>
                    <w:top w:w="15" w:type="dxa"/>
                    <w:left w:w="15" w:type="dxa"/>
                    <w:bottom w:w="0" w:type="dxa"/>
                    <w:right w:w="15" w:type="dxa"/>
                  </w:tcMar>
                  <w:vAlign w:val="center"/>
                </w:tcPr>
                <w:p>
                  <w:pPr>
                    <w:autoSpaceDE w:val="0"/>
                    <w:autoSpaceDN w:val="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ZK9-2</w:t>
                  </w:r>
                  <w:r>
                    <w:rPr>
                      <w:rFonts w:hint="eastAsia" w:cs="Times New Roman"/>
                      <w:color w:val="000000" w:themeColor="text1"/>
                      <w:sz w:val="21"/>
                      <w:szCs w:val="21"/>
                      <w:lang w:val="en-US" w:eastAsia="zh-CN"/>
                      <w14:textFill>
                        <w14:solidFill>
                          <w14:schemeClr w14:val="tx1"/>
                        </w14:solidFill>
                      </w14:textFill>
                    </w:rPr>
                    <w:t>钻孔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辐射环境</w:t>
                  </w:r>
                </w:p>
              </w:tc>
              <w:tc>
                <w:tcPr>
                  <w:tcW w:w="2577" w:type="pct"/>
                  <w:gridSpan w:val="5"/>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铀矿地质钻探场地500m评价范围内居民</w:t>
                  </w:r>
                </w:p>
              </w:tc>
              <w:tc>
                <w:tcPr>
                  <w:tcW w:w="903"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eastAsia="zh-CN"/>
                      <w14:textFill>
                        <w14:solidFill>
                          <w14:schemeClr w14:val="tx1"/>
                        </w14:solidFill>
                      </w14:textFill>
                    </w:rPr>
                    <w:t>未</w:t>
                  </w:r>
                  <w:r>
                    <w:rPr>
                      <w:rFonts w:ascii="Times New Roman" w:hAnsi="Times New Roman" w:cs="Times New Roman"/>
                      <w:color w:val="000000" w:themeColor="text1"/>
                      <w:sz w:val="21"/>
                      <w:szCs w:val="21"/>
                      <w:lang w:eastAsia="zh-CN"/>
                      <w14:textFill>
                        <w14:solidFill>
                          <w14:schemeClr w14:val="tx1"/>
                        </w14:solidFill>
                      </w14:textFill>
                    </w:rPr>
                    <w:t>设置公众剂量</w:t>
                  </w:r>
                  <w:r>
                    <w:rPr>
                      <w:rFonts w:hint="eastAsia" w:ascii="Times New Roman" w:hAnsi="Times New Roman" w:cs="Times New Roman"/>
                      <w:color w:val="000000" w:themeColor="text1"/>
                      <w:sz w:val="21"/>
                      <w:szCs w:val="21"/>
                      <w:lang w:eastAsia="zh-CN"/>
                      <w14:textFill>
                        <w14:solidFill>
                          <w14:schemeClr w14:val="tx1"/>
                        </w14:solidFill>
                      </w14:textFill>
                    </w:rPr>
                    <w:t>约束值，作业过程中应</w:t>
                  </w:r>
                  <w:r>
                    <w:rPr>
                      <w:rFonts w:hint="eastAsia" w:ascii="Times New Roman" w:cs="Times New Roman"/>
                      <w:color w:val="000000" w:themeColor="text1"/>
                      <w:lang w:eastAsia="zh-CN"/>
                      <w14:textFill>
                        <w14:solidFill>
                          <w14:schemeClr w14:val="tx1"/>
                        </w14:solidFill>
                      </w14:textFill>
                    </w:rPr>
                    <w:t>确保不对公众造成影响</w:t>
                  </w:r>
                </w:p>
              </w:tc>
              <w:tc>
                <w:tcPr>
                  <w:tcW w:w="969"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restart"/>
                  <w:tcBorders>
                    <w:tl2br w:val="nil"/>
                    <w:tr2bl w:val="nil"/>
                  </w:tcBorders>
                  <w:tcMar>
                    <w:top w:w="15" w:type="dxa"/>
                    <w:left w:w="15" w:type="dxa"/>
                    <w:bottom w:w="0" w:type="dxa"/>
                    <w:right w:w="15" w:type="dxa"/>
                  </w:tcMar>
                  <w:vAlign w:val="center"/>
                </w:tcPr>
                <w:p>
                  <w:pPr>
                    <w:autoSpaceDE w:val="0"/>
                    <w:autoSpaceDN w:val="0"/>
                    <w:jc w:val="center"/>
                    <w:rPr>
                      <w:color w:val="000000" w:themeColor="text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潮水盆地勘查区</w:t>
                  </w: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环境空气</w:t>
                  </w:r>
                </w:p>
              </w:tc>
              <w:tc>
                <w:tcPr>
                  <w:tcW w:w="606"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阿拉善右旗</w:t>
                  </w:r>
                </w:p>
              </w:tc>
              <w:tc>
                <w:tcPr>
                  <w:tcW w:w="331" w:type="pct"/>
                  <w:gridSpan w:val="2"/>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NE</w:t>
                  </w:r>
                </w:p>
              </w:tc>
              <w:tc>
                <w:tcPr>
                  <w:tcW w:w="412" w:type="pct"/>
                  <w:tcBorders>
                    <w:tl2br w:val="nil"/>
                    <w:tr2bl w:val="nil"/>
                  </w:tcBorders>
                  <w:vAlign w:val="center"/>
                </w:tcPr>
                <w:p>
                  <w:pPr>
                    <w:jc w:val="center"/>
                    <w:rPr>
                      <w:rFonts w:hint="default"/>
                      <w:color w:val="000000" w:themeColor="text1"/>
                      <w:szCs w:val="2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16</w:t>
                  </w:r>
                </w:p>
              </w:tc>
              <w:tc>
                <w:tcPr>
                  <w:tcW w:w="122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旗</w:t>
                  </w:r>
                  <w:r>
                    <w:rPr>
                      <w:color w:val="000000" w:themeColor="text1"/>
                      <w:szCs w:val="21"/>
                      <w14:textFill>
                        <w14:solidFill>
                          <w14:schemeClr w14:val="tx1"/>
                        </w14:solidFill>
                      </w14:textFill>
                    </w:rPr>
                    <w:t>县级</w:t>
                  </w:r>
                  <w:r>
                    <w:rPr>
                      <w:rFonts w:hint="eastAsia"/>
                      <w:color w:val="000000" w:themeColor="text1"/>
                      <w:szCs w:val="21"/>
                      <w14:textFill>
                        <w14:solidFill>
                          <w14:schemeClr w14:val="tx1"/>
                        </w14:solidFill>
                      </w14:textFill>
                    </w:rPr>
                    <w:t>（内蒙古）</w:t>
                  </w:r>
                </w:p>
              </w:tc>
              <w:tc>
                <w:tcPr>
                  <w:tcW w:w="903" w:type="pct"/>
                  <w:vMerge w:val="restart"/>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《环境空气质量标准》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GB3095-2012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中的二级标准</w:t>
                  </w:r>
                </w:p>
              </w:tc>
              <w:tc>
                <w:tcPr>
                  <w:tcW w:w="969"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sz w:val="21"/>
                      <w:szCs w:val="21"/>
                      <w14:textFill>
                        <w14:solidFill>
                          <w14:schemeClr w14:val="tx1"/>
                        </w14:solidFill>
                      </w14:textFill>
                    </w:rPr>
                    <w:t>ZKA62-2</w:t>
                  </w:r>
                  <w:r>
                    <w:rPr>
                      <w:rFonts w:hint="eastAsia" w:cs="Times New Roman"/>
                      <w:color w:val="000000" w:themeColor="text1"/>
                      <w:sz w:val="21"/>
                      <w:szCs w:val="21"/>
                      <w:lang w:val="en-US" w:eastAsia="zh-CN"/>
                      <w14:textFill>
                        <w14:solidFill>
                          <w14:schemeClr w14:val="tx1"/>
                        </w14:solidFill>
                      </w14:textFill>
                    </w:rPr>
                    <w:t>钻孔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红砂岗镇</w:t>
                  </w:r>
                </w:p>
              </w:tc>
              <w:tc>
                <w:tcPr>
                  <w:tcW w:w="331" w:type="pct"/>
                  <w:gridSpan w:val="2"/>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412"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7.8</w:t>
                  </w:r>
                </w:p>
              </w:tc>
              <w:tc>
                <w:tcPr>
                  <w:tcW w:w="1227"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乡镇</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sz w:val="21"/>
                      <w:szCs w:val="21"/>
                      <w14:textFill>
                        <w14:solidFill>
                          <w14:schemeClr w14:val="tx1"/>
                        </w14:solidFill>
                      </w14:textFill>
                    </w:rPr>
                    <w:t>ZKH0-2</w:t>
                  </w:r>
                  <w:r>
                    <w:rPr>
                      <w:rFonts w:hint="eastAsia" w:cs="Times New Roman"/>
                      <w:color w:val="000000" w:themeColor="text1"/>
                      <w:sz w:val="21"/>
                      <w:szCs w:val="21"/>
                      <w:lang w:val="en-US" w:eastAsia="zh-CN"/>
                      <w14:textFill>
                        <w14:solidFill>
                          <w14:schemeClr w14:val="tx1"/>
                        </w14:solidFill>
                      </w14:textFill>
                    </w:rPr>
                    <w:t>钻孔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民勤县</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金川区</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市辖区</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临泽县</w:t>
                  </w:r>
                </w:p>
              </w:tc>
              <w:tc>
                <w:tcPr>
                  <w:tcW w:w="628" w:type="dxa"/>
                  <w:gridSpan w:val="2"/>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782"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甘州区</w:t>
                  </w:r>
                </w:p>
              </w:tc>
              <w:tc>
                <w:tcPr>
                  <w:tcW w:w="628" w:type="dxa"/>
                  <w:gridSpan w:val="2"/>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782"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市辖区</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山丹县</w:t>
                  </w:r>
                </w:p>
              </w:tc>
              <w:tc>
                <w:tcPr>
                  <w:tcW w:w="628" w:type="dxa"/>
                  <w:gridSpan w:val="2"/>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782"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25"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606"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黑河</w:t>
                  </w:r>
                </w:p>
              </w:tc>
              <w:tc>
                <w:tcPr>
                  <w:tcW w:w="331" w:type="pct"/>
                  <w:gridSpan w:val="2"/>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勘查区内长约3.7km</w:t>
                  </w:r>
                </w:p>
              </w:tc>
              <w:tc>
                <w:tcPr>
                  <w:tcW w:w="903" w:type="pct"/>
                  <w:vMerge w:val="restar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《地表水环境质量标准》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GB3838-2002</w:t>
                  </w:r>
                  <w:r>
                    <w:rPr>
                      <w:rFonts w:hint="eastAsia"/>
                      <w:color w:val="000000" w:themeColor="text1"/>
                      <w:szCs w:val="21"/>
                      <w:lang w:eastAsia="zh-CN"/>
                      <w14:textFill>
                        <w14:solidFill>
                          <w14:schemeClr w14:val="tx1"/>
                        </w14:solidFill>
                      </w14:textFill>
                    </w:rPr>
                    <w:t>）</w:t>
                  </w:r>
                </w:p>
              </w:tc>
              <w:tc>
                <w:tcPr>
                  <w:tcW w:w="969" w:type="pct"/>
                  <w:vMerge w:val="restar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25"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石羊河</w:t>
                  </w:r>
                </w:p>
              </w:tc>
              <w:tc>
                <w:tcPr>
                  <w:tcW w:w="331" w:type="pct"/>
                  <w:gridSpan w:val="2"/>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c>
                <w:tcPr>
                  <w:tcW w:w="412"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勘查区内长约120.1km</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辐射环境</w:t>
                  </w:r>
                </w:p>
              </w:tc>
              <w:tc>
                <w:tcPr>
                  <w:tcW w:w="2577" w:type="pct"/>
                  <w:gridSpan w:val="5"/>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铀矿地质钻探场地500m评价范围内居民</w:t>
                  </w:r>
                </w:p>
              </w:tc>
              <w:tc>
                <w:tcPr>
                  <w:tcW w:w="903" w:type="pct"/>
                  <w:tcBorders>
                    <w:tl2br w:val="nil"/>
                    <w:tr2bl w:val="nil"/>
                  </w:tcBorders>
                  <w:tcMar>
                    <w:top w:w="15" w:type="dxa"/>
                    <w:left w:w="15" w:type="dxa"/>
                    <w:bottom w:w="0" w:type="dxa"/>
                    <w:right w:w="15" w:type="dxa"/>
                  </w:tcMar>
                  <w:vAlign w:val="center"/>
                </w:tcPr>
                <w:p>
                  <w:pPr>
                    <w:jc w:val="left"/>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eastAsia="zh-CN"/>
                      <w14:textFill>
                        <w14:solidFill>
                          <w14:schemeClr w14:val="tx1"/>
                        </w14:solidFill>
                      </w14:textFill>
                    </w:rPr>
                    <w:t>未</w:t>
                  </w:r>
                  <w:r>
                    <w:rPr>
                      <w:rFonts w:ascii="Times New Roman" w:hAnsi="Times New Roman" w:cs="Times New Roman"/>
                      <w:color w:val="000000" w:themeColor="text1"/>
                      <w:sz w:val="21"/>
                      <w:szCs w:val="21"/>
                      <w:lang w:eastAsia="zh-CN"/>
                      <w14:textFill>
                        <w14:solidFill>
                          <w14:schemeClr w14:val="tx1"/>
                        </w14:solidFill>
                      </w14:textFill>
                    </w:rPr>
                    <w:t>设置公众剂量</w:t>
                  </w:r>
                  <w:r>
                    <w:rPr>
                      <w:rFonts w:hint="eastAsia" w:ascii="Times New Roman" w:hAnsi="Times New Roman" w:cs="Times New Roman"/>
                      <w:color w:val="000000" w:themeColor="text1"/>
                      <w:sz w:val="21"/>
                      <w:szCs w:val="21"/>
                      <w:lang w:eastAsia="zh-CN"/>
                      <w14:textFill>
                        <w14:solidFill>
                          <w14:schemeClr w14:val="tx1"/>
                        </w14:solidFill>
                      </w14:textFill>
                    </w:rPr>
                    <w:t>约束值，作业过程中应</w:t>
                  </w:r>
                  <w:r>
                    <w:rPr>
                      <w:rFonts w:hint="eastAsia" w:ascii="Times New Roman" w:cs="Times New Roman"/>
                      <w:color w:val="000000" w:themeColor="text1"/>
                      <w:lang w:eastAsia="zh-CN"/>
                      <w14:textFill>
                        <w14:solidFill>
                          <w14:schemeClr w14:val="tx1"/>
                        </w14:solidFill>
                      </w14:textFill>
                    </w:rPr>
                    <w:t>确保不对公众造成影响</w:t>
                  </w:r>
                </w:p>
              </w:tc>
              <w:tc>
                <w:tcPr>
                  <w:tcW w:w="969" w:type="pc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restart"/>
                  <w:tcBorders>
                    <w:tl2br w:val="nil"/>
                    <w:tr2bl w:val="nil"/>
                  </w:tcBorders>
                  <w:tcMar>
                    <w:top w:w="15" w:type="dxa"/>
                    <w:left w:w="15" w:type="dxa"/>
                    <w:bottom w:w="0" w:type="dxa"/>
                    <w:right w:w="15" w:type="dxa"/>
                  </w:tcMar>
                  <w:vAlign w:val="center"/>
                </w:tcPr>
                <w:p>
                  <w:pPr>
                    <w:autoSpaceDE w:val="0"/>
                    <w:autoSpaceDN w:val="0"/>
                    <w:jc w:val="center"/>
                    <w:rPr>
                      <w:color w:val="000000" w:themeColor="text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北山地区勘查区</w:t>
                  </w: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环境空气</w:t>
                  </w:r>
                </w:p>
              </w:tc>
              <w:tc>
                <w:tcPr>
                  <w:tcW w:w="606"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肃北蒙古族自治县</w:t>
                  </w:r>
                </w:p>
              </w:tc>
              <w:tc>
                <w:tcPr>
                  <w:tcW w:w="331" w:type="pct"/>
                  <w:gridSpan w:val="2"/>
                  <w:tcBorders>
                    <w:tl2br w:val="nil"/>
                    <w:tr2bl w:val="nil"/>
                  </w:tcBorders>
                  <w:vAlign w:val="center"/>
                </w:tcPr>
                <w:p>
                  <w:pPr>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自治县</w:t>
                  </w:r>
                </w:p>
              </w:tc>
              <w:tc>
                <w:tcPr>
                  <w:tcW w:w="903" w:type="pct"/>
                  <w:vMerge w:val="restart"/>
                  <w:tcBorders>
                    <w:tl2br w:val="nil"/>
                    <w:tr2bl w:val="nil"/>
                  </w:tcBorders>
                  <w:tcMar>
                    <w:top w:w="15" w:type="dxa"/>
                    <w:left w:w="15" w:type="dxa"/>
                    <w:bottom w:w="0" w:type="dxa"/>
                    <w:right w:w="15" w:type="dxa"/>
                  </w:tcMar>
                  <w:vAlign w:val="center"/>
                </w:tcPr>
                <w:p>
                  <w:pPr>
                    <w:jc w:val="left"/>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《环境空气质量标准》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GB3095-2012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中的二级标准</w:t>
                  </w:r>
                </w:p>
              </w:tc>
              <w:tc>
                <w:tcPr>
                  <w:tcW w:w="96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额济纳旗</w:t>
                  </w:r>
                </w:p>
              </w:tc>
              <w:tc>
                <w:tcPr>
                  <w:tcW w:w="331" w:type="pct"/>
                  <w:gridSpan w:val="2"/>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旗</w:t>
                  </w:r>
                  <w:r>
                    <w:rPr>
                      <w:color w:val="000000" w:themeColor="text1"/>
                      <w:szCs w:val="21"/>
                      <w14:textFill>
                        <w14:solidFill>
                          <w14:schemeClr w14:val="tx1"/>
                        </w14:solidFill>
                      </w14:textFill>
                    </w:rPr>
                    <w:t>县级</w:t>
                  </w:r>
                  <w:r>
                    <w:rPr>
                      <w:rFonts w:hint="eastAsia"/>
                      <w:color w:val="000000" w:themeColor="text1"/>
                      <w:szCs w:val="21"/>
                      <w14:textFill>
                        <w14:solidFill>
                          <w14:schemeClr w14:val="tx1"/>
                        </w14:solidFill>
                      </w14:textFill>
                    </w:rPr>
                    <w:t>（内蒙古）</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2577" w:type="pct"/>
                  <w:gridSpan w:val="5"/>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903" w:type="pc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《地表水环境质量标准》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GB3838-2002</w:t>
                  </w:r>
                  <w:r>
                    <w:rPr>
                      <w:rFonts w:hint="eastAsia"/>
                      <w:color w:val="000000" w:themeColor="text1"/>
                      <w:szCs w:val="21"/>
                      <w:lang w:eastAsia="zh-CN"/>
                      <w14:textFill>
                        <w14:solidFill>
                          <w14:schemeClr w14:val="tx1"/>
                        </w14:solidFill>
                      </w14:textFill>
                    </w:rPr>
                    <w:t>）</w:t>
                  </w:r>
                </w:p>
              </w:tc>
              <w:tc>
                <w:tcPr>
                  <w:tcW w:w="969"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辐射环境</w:t>
                  </w:r>
                </w:p>
              </w:tc>
              <w:tc>
                <w:tcPr>
                  <w:tcW w:w="2577" w:type="pct"/>
                  <w:gridSpan w:val="5"/>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铀矿地质钻探场地500m评价范围内居民</w:t>
                  </w:r>
                </w:p>
              </w:tc>
              <w:tc>
                <w:tcPr>
                  <w:tcW w:w="903" w:type="pct"/>
                  <w:tcBorders>
                    <w:tl2br w:val="nil"/>
                    <w:tr2bl w:val="nil"/>
                  </w:tcBorders>
                  <w:tcMar>
                    <w:top w:w="15" w:type="dxa"/>
                    <w:left w:w="15" w:type="dxa"/>
                    <w:bottom w:w="0" w:type="dxa"/>
                    <w:right w:w="15" w:type="dxa"/>
                  </w:tcMar>
                  <w:vAlign w:val="center"/>
                </w:tcPr>
                <w:p>
                  <w:pPr>
                    <w:jc w:val="left"/>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eastAsia="zh-CN"/>
                      <w14:textFill>
                        <w14:solidFill>
                          <w14:schemeClr w14:val="tx1"/>
                        </w14:solidFill>
                      </w14:textFill>
                    </w:rPr>
                    <w:t>未</w:t>
                  </w:r>
                  <w:r>
                    <w:rPr>
                      <w:rFonts w:ascii="Times New Roman" w:hAnsi="Times New Roman" w:cs="Times New Roman"/>
                      <w:color w:val="000000" w:themeColor="text1"/>
                      <w:sz w:val="21"/>
                      <w:szCs w:val="21"/>
                      <w:lang w:eastAsia="zh-CN"/>
                      <w14:textFill>
                        <w14:solidFill>
                          <w14:schemeClr w14:val="tx1"/>
                        </w14:solidFill>
                      </w14:textFill>
                    </w:rPr>
                    <w:t>设置公众剂量</w:t>
                  </w:r>
                  <w:r>
                    <w:rPr>
                      <w:rFonts w:hint="eastAsia" w:ascii="Times New Roman" w:hAnsi="Times New Roman" w:cs="Times New Roman"/>
                      <w:color w:val="000000" w:themeColor="text1"/>
                      <w:sz w:val="21"/>
                      <w:szCs w:val="21"/>
                      <w:lang w:eastAsia="zh-CN"/>
                      <w14:textFill>
                        <w14:solidFill>
                          <w14:schemeClr w14:val="tx1"/>
                        </w14:solidFill>
                      </w14:textFill>
                    </w:rPr>
                    <w:t>约束值，作业过程中应</w:t>
                  </w:r>
                  <w:r>
                    <w:rPr>
                      <w:rFonts w:hint="eastAsia" w:ascii="Times New Roman" w:cs="Times New Roman"/>
                      <w:color w:val="000000" w:themeColor="text1"/>
                      <w:lang w:eastAsia="zh-CN"/>
                      <w14:textFill>
                        <w14:solidFill>
                          <w14:schemeClr w14:val="tx1"/>
                        </w14:solidFill>
                      </w14:textFill>
                    </w:rPr>
                    <w:t>确保不对公众造成影响</w:t>
                  </w:r>
                </w:p>
              </w:tc>
              <w:tc>
                <w:tcPr>
                  <w:tcW w:w="969" w:type="pc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04" w:hRule="atLeast"/>
                <w:jc w:val="center"/>
              </w:trPr>
              <w:tc>
                <w:tcPr>
                  <w:tcW w:w="235" w:type="pct"/>
                  <w:vMerge w:val="restart"/>
                  <w:tcBorders>
                    <w:tl2br w:val="nil"/>
                    <w:tr2bl w:val="nil"/>
                  </w:tcBorders>
                  <w:tcMar>
                    <w:top w:w="15" w:type="dxa"/>
                    <w:left w:w="15" w:type="dxa"/>
                    <w:bottom w:w="0" w:type="dxa"/>
                    <w:right w:w="15" w:type="dxa"/>
                  </w:tcMar>
                  <w:vAlign w:val="center"/>
                </w:tcPr>
                <w:p>
                  <w:pPr>
                    <w:autoSpaceDE w:val="0"/>
                    <w:autoSpaceDN w:val="0"/>
                    <w:jc w:val="center"/>
                    <w:rPr>
                      <w:color w:val="000000" w:themeColor="text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走廊盆地勘查区</w:t>
                  </w: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环境空气</w:t>
                  </w:r>
                </w:p>
              </w:tc>
              <w:tc>
                <w:tcPr>
                  <w:tcW w:w="606"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嘉峪关市</w:t>
                  </w:r>
                </w:p>
              </w:tc>
              <w:tc>
                <w:tcPr>
                  <w:tcW w:w="331" w:type="pct"/>
                  <w:gridSpan w:val="2"/>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color w:val="000000" w:themeColor="text1"/>
                      <w14:textFill>
                        <w14:solidFill>
                          <w14:schemeClr w14:val="tx1"/>
                        </w14:solidFill>
                      </w14:textFill>
                    </w:rPr>
                    <w:t>地级市</w:t>
                  </w:r>
                </w:p>
              </w:tc>
              <w:tc>
                <w:tcPr>
                  <w:tcW w:w="903" w:type="pct"/>
                  <w:vMerge w:val="restart"/>
                  <w:tcBorders>
                    <w:tl2br w:val="nil"/>
                    <w:tr2bl w:val="nil"/>
                  </w:tcBorders>
                  <w:tcMar>
                    <w:top w:w="15" w:type="dxa"/>
                    <w:left w:w="15" w:type="dxa"/>
                    <w:bottom w:w="0" w:type="dxa"/>
                    <w:right w:w="15" w:type="dxa"/>
                  </w:tcMar>
                  <w:vAlign w:val="center"/>
                </w:tcPr>
                <w:p>
                  <w:pPr>
                    <w:jc w:val="left"/>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《环境空气质量标准》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GB3095-2012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中的二级标准</w:t>
                  </w:r>
                </w:p>
              </w:tc>
              <w:tc>
                <w:tcPr>
                  <w:tcW w:w="96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36"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阿克塞哈萨克族自治县</w:t>
                  </w:r>
                </w:p>
              </w:tc>
              <w:tc>
                <w:tcPr>
                  <w:tcW w:w="331" w:type="pct"/>
                  <w:gridSpan w:val="2"/>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自治县</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36"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敦煌市</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县级市</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36"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瓜州县</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36"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玉门市</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县级市</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36"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金塔县</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36"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高台县</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606"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疏勒河</w:t>
                  </w:r>
                </w:p>
              </w:tc>
              <w:tc>
                <w:tcPr>
                  <w:tcW w:w="331"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勘查区内长约269.9km</w:t>
                  </w:r>
                </w:p>
              </w:tc>
              <w:tc>
                <w:tcPr>
                  <w:tcW w:w="903" w:type="pct"/>
                  <w:vMerge w:val="restar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《地表水环境质量标准》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GB3838-2002</w:t>
                  </w:r>
                  <w:r>
                    <w:rPr>
                      <w:rFonts w:hint="eastAsia"/>
                      <w:color w:val="000000" w:themeColor="text1"/>
                      <w:szCs w:val="21"/>
                      <w:lang w:eastAsia="zh-CN"/>
                      <w14:textFill>
                        <w14:solidFill>
                          <w14:schemeClr w14:val="tx1"/>
                        </w14:solidFill>
                      </w14:textFill>
                    </w:rPr>
                    <w:t>）</w:t>
                  </w:r>
                </w:p>
              </w:tc>
              <w:tc>
                <w:tcPr>
                  <w:tcW w:w="96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北大河</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勘查区内长约128.2km</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党河</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勘查区内长约14.0km</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黑河</w:t>
                  </w:r>
                </w:p>
              </w:tc>
              <w:tc>
                <w:tcPr>
                  <w:tcW w:w="331" w:type="pct"/>
                  <w:gridSpan w:val="2"/>
                  <w:tcBorders>
                    <w:tl2br w:val="nil"/>
                    <w:tr2bl w:val="nil"/>
                  </w:tcBorders>
                  <w:vAlign w:val="center"/>
                </w:tcPr>
                <w:p>
                  <w:pPr>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勘查区内长约76.8km</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辐射环境</w:t>
                  </w:r>
                </w:p>
              </w:tc>
              <w:tc>
                <w:tcPr>
                  <w:tcW w:w="2577" w:type="pct"/>
                  <w:gridSpan w:val="5"/>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铀矿地质钻探场地500m评价范围内居民</w:t>
                  </w:r>
                </w:p>
              </w:tc>
              <w:tc>
                <w:tcPr>
                  <w:tcW w:w="903"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eastAsia="zh-CN"/>
                      <w14:textFill>
                        <w14:solidFill>
                          <w14:schemeClr w14:val="tx1"/>
                        </w14:solidFill>
                      </w14:textFill>
                    </w:rPr>
                    <w:t>未</w:t>
                  </w:r>
                  <w:r>
                    <w:rPr>
                      <w:rFonts w:ascii="Times New Roman" w:hAnsi="Times New Roman" w:cs="Times New Roman"/>
                      <w:color w:val="000000" w:themeColor="text1"/>
                      <w:sz w:val="21"/>
                      <w:szCs w:val="21"/>
                      <w:lang w:eastAsia="zh-CN"/>
                      <w14:textFill>
                        <w14:solidFill>
                          <w14:schemeClr w14:val="tx1"/>
                        </w14:solidFill>
                      </w14:textFill>
                    </w:rPr>
                    <w:t>设置公众剂量</w:t>
                  </w:r>
                  <w:r>
                    <w:rPr>
                      <w:rFonts w:hint="eastAsia" w:ascii="Times New Roman" w:hAnsi="Times New Roman" w:cs="Times New Roman"/>
                      <w:color w:val="000000" w:themeColor="text1"/>
                      <w:sz w:val="21"/>
                      <w:szCs w:val="21"/>
                      <w:lang w:eastAsia="zh-CN"/>
                      <w14:textFill>
                        <w14:solidFill>
                          <w14:schemeClr w14:val="tx1"/>
                        </w14:solidFill>
                      </w14:textFill>
                    </w:rPr>
                    <w:t>约束值，作业过程中应</w:t>
                  </w:r>
                  <w:r>
                    <w:rPr>
                      <w:rFonts w:hint="eastAsia" w:ascii="Times New Roman" w:cs="Times New Roman"/>
                      <w:color w:val="000000" w:themeColor="text1"/>
                      <w:lang w:eastAsia="zh-CN"/>
                      <w14:textFill>
                        <w14:solidFill>
                          <w14:schemeClr w14:val="tx1"/>
                        </w14:solidFill>
                      </w14:textFill>
                    </w:rPr>
                    <w:t>确保不对公众造成影响</w:t>
                  </w:r>
                </w:p>
              </w:tc>
              <w:tc>
                <w:tcPr>
                  <w:tcW w:w="969" w:type="pc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restart"/>
                  <w:tcBorders>
                    <w:tl2br w:val="nil"/>
                    <w:tr2bl w:val="nil"/>
                  </w:tcBorders>
                  <w:tcMar>
                    <w:top w:w="15" w:type="dxa"/>
                    <w:left w:w="15" w:type="dxa"/>
                    <w:bottom w:w="0" w:type="dxa"/>
                    <w:right w:w="15" w:type="dxa"/>
                  </w:tcMar>
                  <w:vAlign w:val="center"/>
                </w:tcPr>
                <w:p>
                  <w:pPr>
                    <w:autoSpaceDE w:val="0"/>
                    <w:autoSpaceDN w:val="0"/>
                    <w:jc w:val="center"/>
                    <w:rPr>
                      <w:color w:val="000000" w:themeColor="text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武腾盆地勘查区</w:t>
                  </w: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环境空气</w:t>
                  </w:r>
                </w:p>
              </w:tc>
              <w:tc>
                <w:tcPr>
                  <w:tcW w:w="606"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eastAsia="宋体"/>
                      <w:color w:val="000000" w:themeColor="text1"/>
                      <w:szCs w:val="21"/>
                      <w:lang w:val="en-US" w:eastAsia="zh-CN"/>
                      <w14:textFill>
                        <w14:solidFill>
                          <w14:schemeClr w14:val="tx1"/>
                        </w14:solidFill>
                      </w14:textFill>
                    </w:rPr>
                    <w:t>永昌县</w:t>
                  </w:r>
                </w:p>
              </w:tc>
              <w:tc>
                <w:tcPr>
                  <w:tcW w:w="331" w:type="pct"/>
                  <w:gridSpan w:val="2"/>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eastAsia="宋体"/>
                      <w:color w:val="000000" w:themeColor="text1"/>
                      <w:lang w:val="en-US" w:eastAsia="zh-CN"/>
                      <w14:textFill>
                        <w14:solidFill>
                          <w14:schemeClr w14:val="tx1"/>
                        </w14:solidFill>
                      </w14:textFill>
                    </w:rPr>
                    <w:t>县级</w:t>
                  </w:r>
                </w:p>
              </w:tc>
              <w:tc>
                <w:tcPr>
                  <w:tcW w:w="903" w:type="pct"/>
                  <w:vMerge w:val="restart"/>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《环境空气质量标准》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GB3095-2012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中的二级标准</w:t>
                  </w:r>
                </w:p>
              </w:tc>
              <w:tc>
                <w:tcPr>
                  <w:tcW w:w="96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民勤县</w:t>
                  </w:r>
                </w:p>
              </w:tc>
              <w:tc>
                <w:tcPr>
                  <w:tcW w:w="331" w:type="pct"/>
                  <w:gridSpan w:val="2"/>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p>
              </w:tc>
              <w:tc>
                <w:tcPr>
                  <w:tcW w:w="412"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eastAsia="宋体"/>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凉州区</w:t>
                  </w:r>
                </w:p>
              </w:tc>
              <w:tc>
                <w:tcPr>
                  <w:tcW w:w="331" w:type="pct"/>
                  <w:gridSpan w:val="2"/>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t>市辖区</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en-US" w:eastAsia="zh-CN"/>
                      <w14:textFill>
                        <w14:solidFill>
                          <w14:schemeClr w14:val="tx1"/>
                        </w14:solidFill>
                      </w14:textFill>
                    </w:rPr>
                    <w:t>古浪县</w:t>
                  </w:r>
                </w:p>
              </w:tc>
              <w:tc>
                <w:tcPr>
                  <w:tcW w:w="628" w:type="dxa"/>
                  <w:gridSpan w:val="2"/>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782" w:type="dxa"/>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eastAsia="宋体"/>
                      <w:color w:val="000000" w:themeColor="text1"/>
                      <w:lang w:val="en-US" w:eastAsia="zh-CN"/>
                      <w14:textFill>
                        <w14:solidFill>
                          <w14:schemeClr w14:val="tx1"/>
                        </w14:solidFill>
                      </w14:textFill>
                    </w:rPr>
                    <w:t>县级</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7"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阿拉善左旗</w:t>
                  </w:r>
                </w:p>
              </w:tc>
              <w:tc>
                <w:tcPr>
                  <w:tcW w:w="331" w:type="pct"/>
                  <w:gridSpan w:val="2"/>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旗</w:t>
                  </w:r>
                  <w:r>
                    <w:rPr>
                      <w:color w:val="000000" w:themeColor="text1"/>
                      <w:szCs w:val="21"/>
                      <w14:textFill>
                        <w14:solidFill>
                          <w14:schemeClr w14:val="tx1"/>
                        </w14:solidFill>
                      </w14:textFill>
                    </w:rPr>
                    <w:t>县级</w:t>
                  </w:r>
                  <w:r>
                    <w:rPr>
                      <w:rFonts w:hint="eastAsia"/>
                      <w:color w:val="000000" w:themeColor="text1"/>
                      <w:szCs w:val="21"/>
                      <w14:textFill>
                        <w14:solidFill>
                          <w14:schemeClr w14:val="tx1"/>
                        </w14:solidFill>
                      </w14:textFill>
                    </w:rPr>
                    <w:t>（内蒙古）</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9"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606"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石羊大河</w:t>
                  </w:r>
                </w:p>
              </w:tc>
              <w:tc>
                <w:tcPr>
                  <w:tcW w:w="331" w:type="pct"/>
                  <w:gridSpan w:val="2"/>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勘查区内长约66.2km</w:t>
                  </w:r>
                </w:p>
              </w:tc>
              <w:tc>
                <w:tcPr>
                  <w:tcW w:w="903" w:type="pct"/>
                  <w:vMerge w:val="restar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《地表水环境质量标准》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GB3838-2002</w:t>
                  </w:r>
                  <w:r>
                    <w:rPr>
                      <w:rFonts w:hint="eastAsia"/>
                      <w:color w:val="000000" w:themeColor="text1"/>
                      <w:szCs w:val="21"/>
                      <w:lang w:eastAsia="zh-CN"/>
                      <w14:textFill>
                        <w14:solidFill>
                          <w14:schemeClr w14:val="tx1"/>
                        </w14:solidFill>
                      </w14:textFill>
                    </w:rPr>
                    <w:t>）</w:t>
                  </w:r>
                </w:p>
              </w:tc>
              <w:tc>
                <w:tcPr>
                  <w:tcW w:w="96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9"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314"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06"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洪水河</w:t>
                  </w:r>
                </w:p>
              </w:tc>
              <w:tc>
                <w:tcPr>
                  <w:tcW w:w="331" w:type="pct"/>
                  <w:gridSpan w:val="2"/>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7" w:type="pct"/>
                  <w:tcBorders>
                    <w:tl2br w:val="nil"/>
                    <w:tr2bl w:val="nil"/>
                  </w:tcBorders>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勘查区内长约57.63km</w:t>
                  </w:r>
                </w:p>
              </w:tc>
              <w:tc>
                <w:tcPr>
                  <w:tcW w:w="90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969"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3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31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辐射环境</w:t>
                  </w:r>
                </w:p>
              </w:tc>
              <w:tc>
                <w:tcPr>
                  <w:tcW w:w="2577" w:type="pct"/>
                  <w:gridSpan w:val="5"/>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铀矿地质钻探场地500m评价范围内居民</w:t>
                  </w:r>
                </w:p>
              </w:tc>
              <w:tc>
                <w:tcPr>
                  <w:tcW w:w="903"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eastAsia="zh-CN"/>
                      <w14:textFill>
                        <w14:solidFill>
                          <w14:schemeClr w14:val="tx1"/>
                        </w14:solidFill>
                      </w14:textFill>
                    </w:rPr>
                    <w:t>未</w:t>
                  </w:r>
                  <w:r>
                    <w:rPr>
                      <w:rFonts w:ascii="Times New Roman" w:hAnsi="Times New Roman" w:cs="Times New Roman"/>
                      <w:color w:val="000000" w:themeColor="text1"/>
                      <w:sz w:val="21"/>
                      <w:szCs w:val="21"/>
                      <w:lang w:eastAsia="zh-CN"/>
                      <w14:textFill>
                        <w14:solidFill>
                          <w14:schemeClr w14:val="tx1"/>
                        </w14:solidFill>
                      </w14:textFill>
                    </w:rPr>
                    <w:t>设置公众剂量</w:t>
                  </w:r>
                  <w:r>
                    <w:rPr>
                      <w:rFonts w:hint="eastAsia" w:ascii="Times New Roman" w:hAnsi="Times New Roman" w:cs="Times New Roman"/>
                      <w:color w:val="000000" w:themeColor="text1"/>
                      <w:sz w:val="21"/>
                      <w:szCs w:val="21"/>
                      <w:lang w:eastAsia="zh-CN"/>
                      <w14:textFill>
                        <w14:solidFill>
                          <w14:schemeClr w14:val="tx1"/>
                        </w14:solidFill>
                      </w14:textFill>
                    </w:rPr>
                    <w:t>约束值，作业过程中应</w:t>
                  </w:r>
                  <w:r>
                    <w:rPr>
                      <w:rFonts w:hint="eastAsia" w:ascii="Times New Roman" w:cs="Times New Roman"/>
                      <w:color w:val="000000" w:themeColor="text1"/>
                      <w:lang w:eastAsia="zh-CN"/>
                      <w14:textFill>
                        <w14:solidFill>
                          <w14:schemeClr w14:val="tx1"/>
                        </w14:solidFill>
                      </w14:textFill>
                    </w:rPr>
                    <w:t>确保不对公众造成影响</w:t>
                  </w:r>
                </w:p>
              </w:tc>
              <w:tc>
                <w:tcPr>
                  <w:tcW w:w="969" w:type="pc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bl>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pStyle w:val="9"/>
              <w:spacing w:after="0" w:line="360" w:lineRule="auto"/>
              <w:ind w:left="0" w:leftChars="0" w:firstLine="0" w:firstLineChars="0"/>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14" w:name="_Toc3795901"/>
      <w:r>
        <w:rPr>
          <w:rFonts w:hint="eastAsia" w:eastAsia="黑体"/>
          <w:color w:val="000000" w:themeColor="text1"/>
          <w:w w:val="95"/>
          <w:sz w:val="32"/>
          <w:lang w:val="en-US" w:eastAsia="zh-CN"/>
          <w14:textFill>
            <w14:solidFill>
              <w14:schemeClr w14:val="tx1"/>
            </w14:solidFill>
          </w14:textFill>
        </w:rPr>
        <w:t>六、</w:t>
      </w:r>
      <w:r>
        <w:rPr>
          <w:rFonts w:eastAsia="黑体"/>
          <w:color w:val="000000" w:themeColor="text1"/>
          <w:w w:val="95"/>
          <w:sz w:val="32"/>
          <w14:textFill>
            <w14:solidFill>
              <w14:schemeClr w14:val="tx1"/>
            </w14:solidFill>
          </w14:textFill>
        </w:rPr>
        <w:t>建设项目工程分析</w:t>
      </w:r>
      <w:bookmarkEnd w:id="14"/>
    </w:p>
    <w:tbl>
      <w:tblPr>
        <w:tblStyle w:val="11"/>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工艺流程及产污环节简述</w:t>
            </w:r>
          </w:p>
          <w:p>
            <w:pPr>
              <w:widowControl/>
              <w:spacing w:line="360" w:lineRule="auto"/>
              <w:ind w:firstLine="480" w:firstLineChars="200"/>
              <w:rPr>
                <w:color w:val="000000" w:themeColor="text1"/>
                <w:kern w:val="0"/>
                <w:sz w:val="24"/>
                <w:lang w:bidi="ar"/>
                <w14:textFill>
                  <w14:solidFill>
                    <w14:schemeClr w14:val="tx1"/>
                  </w14:solidFill>
                </w14:textFill>
              </w:rPr>
            </w:pPr>
            <w:r>
              <w:rPr>
                <w:color w:val="000000" w:themeColor="text1"/>
                <w:kern w:val="0"/>
                <w:sz w:val="24"/>
                <w:lang w:bidi="ar"/>
                <w14:textFill>
                  <w14:solidFill>
                    <w14:schemeClr w14:val="tx1"/>
                  </w14:solidFill>
                </w14:textFill>
              </w:rPr>
              <w:t>本项目钻探工程主要为地质孔钻探</w:t>
            </w:r>
            <w:r>
              <w:rPr>
                <w:rFonts w:hint="eastAsia"/>
                <w:color w:val="000000" w:themeColor="text1"/>
                <w:kern w:val="0"/>
                <w:sz w:val="24"/>
                <w:lang w:eastAsia="zh-CN" w:bidi="ar"/>
                <w14:textFill>
                  <w14:solidFill>
                    <w14:schemeClr w14:val="tx1"/>
                  </w14:solidFill>
                </w14:textFill>
              </w:rPr>
              <w:t>，</w:t>
            </w:r>
            <w:r>
              <w:rPr>
                <w:color w:val="000000" w:themeColor="text1"/>
                <w:kern w:val="0"/>
                <w:sz w:val="24"/>
                <w:lang w:bidi="ar"/>
                <w14:textFill>
                  <w14:solidFill>
                    <w14:schemeClr w14:val="tx1"/>
                  </w14:solidFill>
                </w14:textFill>
              </w:rPr>
              <w:t>依据钻孔设计特点，结合勘查区地质情况和以往施工经验，施工工艺流程如下：</w:t>
            </w:r>
          </w:p>
          <w:p>
            <w:pPr>
              <w:widowControl/>
              <w:autoSpaceDE/>
              <w:autoSpaceDN/>
              <w:spacing w:line="360" w:lineRule="auto"/>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1、钻探施工工艺</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（1）钻前准备</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前准备工作包括钻孔测量定位、平整场地、孔位复合、设备进场安装、开孔前技术交底、安全检查、设备试运行等工作，本项目采用了无毒无害或毒性极小的水基钻井液，不使用油基钻井液，钻井液主要成分为水、钠基膨润土、腐殖酸钾、纤维素等。</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（2）钻井施工</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孔用水基泥浆作冲洗液用普通回转钻进方法施工，一般钻孔第四系沉积层采用Φ132全面钻进钻头钻穿第四系进入稳定基岩深度达1～3m后，下入表层套管隔离松散层，然后换用取心钻头钻进至设计深度。钻探机组以柴油发电机组作为动力，带动钻机、泥浆泵钻进钻孔，带动泥浆搅拌机搅拌钻进钻孔用的泥浆，带动除砂器清除泥浆中的岩渣。</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）取芯测样</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提取岩芯后，按先后顺序摆放在岩芯箱内，进行全孔岩芯编录，非矿段岩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填埋，矿段岩芯放置在岩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库内，后期带回分析、化验。</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4</w:t>
            </w:r>
            <w:r>
              <w:rPr>
                <w:rFonts w:hint="eastAsia"/>
                <w:color w:val="000000" w:themeColor="text1"/>
                <w:sz w:val="24"/>
                <w:lang w:eastAsia="zh-CN"/>
                <w14:textFill>
                  <w14:solidFill>
                    <w14:schemeClr w14:val="tx1"/>
                  </w14:solidFill>
                </w14:textFill>
              </w:rPr>
              <w:t>）孔内测试</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终孔后进行简易水文观测，并进行物探综合测井。</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5</w:t>
            </w:r>
            <w:r>
              <w:rPr>
                <w:rFonts w:hint="eastAsia"/>
                <w:color w:val="000000" w:themeColor="text1"/>
                <w:sz w:val="24"/>
                <w:lang w:eastAsia="zh-CN"/>
                <w14:textFill>
                  <w14:solidFill>
                    <w14:schemeClr w14:val="tx1"/>
                  </w14:solidFill>
                </w14:textFill>
              </w:rPr>
              <w:t>）水泥封孔</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全部测试工作完成后进行封孔，为防止含矿含水层与其上下的含水层贯通，采用高标号4</w:t>
            </w:r>
            <w:r>
              <w:rPr>
                <w:color w:val="000000" w:themeColor="text1"/>
                <w:sz w:val="24"/>
                <w:lang w:eastAsia="zh-CN"/>
                <w14:textFill>
                  <w14:solidFill>
                    <w14:schemeClr w14:val="tx1"/>
                  </w14:solidFill>
                </w14:textFill>
              </w:rPr>
              <w:t>25</w:t>
            </w:r>
            <w:r>
              <w:rPr>
                <w:rFonts w:hint="eastAsia"/>
                <w:color w:val="000000" w:themeColor="text1"/>
                <w:sz w:val="24"/>
                <w:lang w:eastAsia="zh-CN"/>
                <w14:textFill>
                  <w14:solidFill>
                    <w14:schemeClr w14:val="tx1"/>
                  </w14:solidFill>
                </w14:textFill>
              </w:rPr>
              <w:t>#水泥进行全孔封闭，水泥水灰比为 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1，将注浆管下至距封闭孔段底部</w:t>
            </w:r>
            <w:r>
              <w:rPr>
                <w:color w:val="000000" w:themeColor="text1"/>
                <w:sz w:val="24"/>
                <w:lang w:eastAsia="zh-CN"/>
                <w14:textFill>
                  <w14:solidFill>
                    <w14:schemeClr w14:val="tx1"/>
                  </w14:solidFill>
                </w14:textFill>
              </w:rPr>
              <w:t>1m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2m</w:t>
            </w:r>
            <w:r>
              <w:rPr>
                <w:rFonts w:hint="eastAsia"/>
                <w:color w:val="000000" w:themeColor="text1"/>
                <w:sz w:val="24"/>
                <w:lang w:eastAsia="zh-CN"/>
                <w14:textFill>
                  <w14:solidFill>
                    <w14:schemeClr w14:val="tx1"/>
                  </w14:solidFill>
                </w14:textFill>
              </w:rPr>
              <w:t>位置，将水泥经注浆管注入井内，水泥在通过泥浆泵的压力作用下，置换出钻孔内的钻井泥浆，完成固井封孔。</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（6）场地环境恢复</w:t>
            </w:r>
          </w:p>
          <w:p>
            <w:pPr>
              <w:widowControl/>
              <w:autoSpaceDE/>
              <w:autoSpaceDN/>
              <w:spacing w:line="360" w:lineRule="auto"/>
              <w:ind w:firstLine="480" w:firstLineChars="200"/>
              <w:jc w:val="both"/>
              <w:rPr>
                <w:color w:val="000000" w:themeColor="text1"/>
                <w:kern w:val="0"/>
                <w:sz w:val="24"/>
                <w14:textFill>
                  <w14:solidFill>
                    <w14:schemeClr w14:val="tx1"/>
                  </w14:solidFill>
                </w14:textFill>
              </w:rPr>
            </w:pPr>
            <w:r>
              <w:rPr>
                <w:rFonts w:hint="eastAsia"/>
                <w:color w:val="000000" w:themeColor="text1"/>
                <w:sz w:val="24"/>
                <w:lang w:eastAsia="zh-CN"/>
                <w14:textFill>
                  <w14:solidFill>
                    <w14:schemeClr w14:val="tx1"/>
                  </w14:solidFill>
                </w14:textFill>
              </w:rPr>
              <w:t>设备搬迁后，及时进行场地恢复工作，包括垃圾、废浆、油污清理，泥浆坑、循环槽填埋等。</w:t>
            </w:r>
          </w:p>
          <w:p>
            <w:pPr>
              <w:spacing w:line="360" w:lineRule="auto"/>
              <w:ind w:firstLine="480" w:firstLineChars="200"/>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项目工艺流程及产污环节见图6-1。</w:t>
            </w:r>
          </w:p>
          <w:p>
            <w:pPr>
              <w:spacing w:line="360" w:lineRule="auto"/>
              <w:jc w:val="center"/>
              <w:rPr>
                <w:color w:val="000000" w:themeColor="text1"/>
                <w14:textFill>
                  <w14:solidFill>
                    <w14:schemeClr w14:val="tx1"/>
                  </w14:solidFill>
                </w14:textFill>
              </w:rPr>
            </w:pPr>
            <w:r>
              <w:rPr>
                <w:color w:val="000000" w:themeColor="text1"/>
                <w:lang w:eastAsia="zh-CN"/>
                <w14:textFill>
                  <w14:solidFill>
                    <w14:schemeClr w14:val="tx1"/>
                  </w14:solidFill>
                </w14:textFill>
              </w:rPr>
              <w:object>
                <v:shape id="_x0000_i1025" o:spt="75" type="#_x0000_t75" style="height:454.7pt;width:236pt;" o:ole="t" filled="f" o:preferrelative="t" stroked="f" coordsize="21600,21600">
                  <v:path/>
                  <v:fill on="f" focussize="0,0"/>
                  <v:stroke on="f"/>
                  <v:imagedata r:id="rId15" o:title=""/>
                  <o:lock v:ext="edit" aspectratio="f"/>
                  <w10:wrap type="none"/>
                  <w10:anchorlock/>
                </v:shape>
                <o:OLEObject Type="Embed" ProgID="Visio.Drawing.11" ShapeID="_x0000_i1025" DrawAspect="Content" ObjectID="_1468075725" r:id="rId14">
                  <o:LockedField>false</o:LockedField>
                </o:OLEObject>
              </w:object>
            </w:r>
          </w:p>
          <w:p>
            <w:pPr>
              <w:pStyle w:val="2"/>
              <w:jc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b w:val="0"/>
                <w:bCs/>
                <w:color w:val="000000" w:themeColor="text1"/>
                <w:sz w:val="24"/>
                <w14:textFill>
                  <w14:solidFill>
                    <w14:schemeClr w14:val="tx1"/>
                  </w14:solidFill>
                </w14:textFill>
              </w:rPr>
              <w:t>图6-1  钻井工艺流程及</w:t>
            </w:r>
            <w:r>
              <w:rPr>
                <w:rFonts w:hint="default" w:ascii="Times New Roman" w:hAnsi="Times New Roman" w:cs="Times New Roman"/>
                <w:b w:val="0"/>
                <w:bCs/>
                <w:color w:val="000000" w:themeColor="text1"/>
                <w:sz w:val="24"/>
                <w:lang w:val="en-US" w:eastAsia="zh-CN"/>
                <w14:textFill>
                  <w14:solidFill>
                    <w14:schemeClr w14:val="tx1"/>
                  </w14:solidFill>
                </w14:textFill>
              </w:rPr>
              <w:t>产污</w:t>
            </w:r>
            <w:r>
              <w:rPr>
                <w:rFonts w:hint="default" w:ascii="Times New Roman" w:hAnsi="Times New Roman" w:cs="Times New Roman"/>
                <w:b w:val="0"/>
                <w:bCs/>
                <w:color w:val="000000" w:themeColor="text1"/>
                <w:sz w:val="24"/>
                <w14:textFill>
                  <w14:solidFill>
                    <w14:schemeClr w14:val="tx1"/>
                  </w14:solidFill>
                </w14:textFill>
              </w:rPr>
              <w:t>环节示意图</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bCs/>
                <w:color w:val="000000" w:themeColor="text1"/>
                <w:kern w:val="2"/>
                <w:sz w:val="24"/>
                <w:szCs w:val="24"/>
                <w:lang w:eastAsia="zh-CN"/>
                <w14:textFill>
                  <w14:solidFill>
                    <w14:schemeClr w14:val="tx1"/>
                  </w14:solidFill>
                </w14:textFill>
              </w:rPr>
            </w:pPr>
            <w:r>
              <w:rPr>
                <w:rFonts w:ascii="Times New Roman" w:hAnsi="Times New Roman" w:cs="Times New Roman"/>
                <w:bCs/>
                <w:color w:val="000000" w:themeColor="text1"/>
                <w:kern w:val="2"/>
                <w:sz w:val="24"/>
                <w:szCs w:val="24"/>
                <w:lang w:eastAsia="zh-CN"/>
                <w14:textFill>
                  <w14:solidFill>
                    <w14:schemeClr w14:val="tx1"/>
                  </w14:solidFill>
                </w14:textFill>
              </w:rPr>
              <w:t>本项目产污环节情况详见表6-</w:t>
            </w:r>
            <w:r>
              <w:rPr>
                <w:rFonts w:hint="eastAsia" w:ascii="Times New Roman" w:hAnsi="Times New Roman" w:cs="Times New Roman"/>
                <w:bCs/>
                <w:color w:val="000000" w:themeColor="text1"/>
                <w:kern w:val="2"/>
                <w:sz w:val="24"/>
                <w:szCs w:val="24"/>
                <w:lang w:eastAsia="zh-CN"/>
                <w14:textFill>
                  <w14:solidFill>
                    <w14:schemeClr w14:val="tx1"/>
                  </w14:solidFill>
                </w14:textFill>
              </w:rPr>
              <w:t>1</w:t>
            </w:r>
            <w:r>
              <w:rPr>
                <w:rFonts w:ascii="Times New Roman" w:hAnsi="Times New Roman" w:cs="Times New Roman"/>
                <w:bCs/>
                <w:color w:val="000000" w:themeColor="text1"/>
                <w:kern w:val="2"/>
                <w:sz w:val="24"/>
                <w:szCs w:val="24"/>
                <w:lang w:eastAsia="zh-CN"/>
                <w14:textFill>
                  <w14:solidFill>
                    <w14:schemeClr w14:val="tx1"/>
                  </w14:solidFill>
                </w14:textFill>
              </w:rPr>
              <w:t>：</w:t>
            </w:r>
          </w:p>
          <w:p>
            <w:pPr>
              <w:adjustRightInd w:val="0"/>
              <w:spacing w:line="240" w:lineRule="auto"/>
              <w:jc w:val="center"/>
              <w:textAlignment w:val="baseline"/>
              <w:rPr>
                <w:rFonts w:ascii="Times New Roman" w:hAnsi="Times New Roman" w:cs="Times New Roman"/>
                <w:b w:val="0"/>
                <w:bCs/>
                <w:color w:val="000000" w:themeColor="text1"/>
                <w:kern w:val="2"/>
                <w:sz w:val="24"/>
                <w:szCs w:val="24"/>
                <w14:textFill>
                  <w14:solidFill>
                    <w14:schemeClr w14:val="tx1"/>
                  </w14:solidFill>
                </w14:textFill>
              </w:rPr>
            </w:pPr>
            <w:r>
              <w:rPr>
                <w:rFonts w:ascii="Times New Roman" w:hAnsi="Times New Roman" w:cs="Times New Roman"/>
                <w:b w:val="0"/>
                <w:bCs/>
                <w:color w:val="000000" w:themeColor="text1"/>
                <w:kern w:val="2"/>
                <w:sz w:val="24"/>
                <w:szCs w:val="24"/>
                <w14:textFill>
                  <w14:solidFill>
                    <w14:schemeClr w14:val="tx1"/>
                  </w14:solidFill>
                </w14:textFill>
              </w:rPr>
              <w:t>表6-</w:t>
            </w:r>
            <w:r>
              <w:rPr>
                <w:rFonts w:hint="eastAsia" w:ascii="Times New Roman" w:hAnsi="Times New Roman" w:cs="Times New Roman"/>
                <w:b w:val="0"/>
                <w:bCs/>
                <w:color w:val="000000" w:themeColor="text1"/>
                <w:kern w:val="2"/>
                <w:sz w:val="24"/>
                <w:szCs w:val="24"/>
                <w:lang w:eastAsia="zh-CN"/>
                <w14:textFill>
                  <w14:solidFill>
                    <w14:schemeClr w14:val="tx1"/>
                  </w14:solidFill>
                </w14:textFill>
              </w:rPr>
              <w:t>1</w:t>
            </w:r>
            <w:r>
              <w:rPr>
                <w:rFonts w:ascii="Times New Roman" w:hAnsi="Times New Roman" w:cs="Times New Roman"/>
                <w:b w:val="0"/>
                <w:bCs/>
                <w:color w:val="000000" w:themeColor="text1"/>
                <w:kern w:val="2"/>
                <w:sz w:val="24"/>
                <w:szCs w:val="24"/>
                <w14:textFill>
                  <w14:solidFill>
                    <w14:schemeClr w14:val="tx1"/>
                  </w14:solidFill>
                </w14:textFill>
              </w:rPr>
              <w:t xml:space="preserve">  主要产污环节一览表</w:t>
            </w:r>
          </w:p>
          <w:tbl>
            <w:tblPr>
              <w:tblStyle w:val="11"/>
              <w:tblW w:w="497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287"/>
              <w:gridCol w:w="3759"/>
              <w:gridCol w:w="2799"/>
              <w:gridCol w:w="165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污染类型</w:t>
                  </w:r>
                </w:p>
              </w:tc>
              <w:tc>
                <w:tcPr>
                  <w:tcW w:w="1977"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产污工序</w:t>
                  </w:r>
                </w:p>
              </w:tc>
              <w:tc>
                <w:tcPr>
                  <w:tcW w:w="1472"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污染物种类</w:t>
                  </w:r>
                </w:p>
              </w:tc>
              <w:tc>
                <w:tcPr>
                  <w:tcW w:w="872"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产生方式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废气</w:t>
                  </w:r>
                </w:p>
              </w:tc>
              <w:tc>
                <w:tcPr>
                  <w:tcW w:w="1977"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平整场地</w:t>
                  </w:r>
                </w:p>
              </w:tc>
              <w:tc>
                <w:tcPr>
                  <w:tcW w:w="1472"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扬尘</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柴油发电机</w:t>
                  </w:r>
                </w:p>
              </w:tc>
              <w:tc>
                <w:tcPr>
                  <w:tcW w:w="14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烟尘、NOx、SO</w:t>
                  </w:r>
                  <w:r>
                    <w:rPr>
                      <w:rFonts w:ascii="Times New Roman" w:hAnsi="Times New Roman" w:cs="Times New Roman"/>
                      <w:bCs/>
                      <w:color w:val="000000" w:themeColor="text1"/>
                      <w:kern w:val="2"/>
                      <w:sz w:val="21"/>
                      <w:szCs w:val="21"/>
                      <w:vertAlign w:val="subscript"/>
                      <w14:textFill>
                        <w14:solidFill>
                          <w14:schemeClr w14:val="tx1"/>
                        </w14:solidFill>
                      </w14:textFill>
                    </w:rPr>
                    <w:t>2</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CO</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总烃</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废水</w:t>
                  </w: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4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生活污水</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噪声</w:t>
                  </w:r>
                </w:p>
              </w:tc>
              <w:tc>
                <w:tcPr>
                  <w:tcW w:w="1977" w:type="pct"/>
                  <w:noWrap w:val="0"/>
                  <w:vAlign w:val="center"/>
                </w:tcPr>
                <w:p>
                  <w:pPr>
                    <w:adjustRightInd w:val="0"/>
                    <w:jc w:val="center"/>
                    <w:textAlignment w:val="baseline"/>
                    <w:rPr>
                      <w:rFonts w:hint="eastAsia" w:ascii="Times New Roman" w:hAnsi="Times New Roman" w:cs="Times New Roman"/>
                      <w:color w:val="000000" w:themeColor="text1"/>
                      <w:kern w:val="2"/>
                      <w:sz w:val="21"/>
                      <w:szCs w:val="21"/>
                      <w:lang w:eastAsia="zh-CN"/>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钻探机组</w:t>
                  </w:r>
                  <w:r>
                    <w:rPr>
                      <w:rFonts w:hint="eastAsia" w:ascii="Times New Roman" w:hAnsi="Times New Roman" w:cs="Times New Roman"/>
                      <w:color w:val="000000" w:themeColor="text1"/>
                      <w:kern w:val="2"/>
                      <w:sz w:val="21"/>
                      <w:szCs w:val="21"/>
                      <w:lang w:eastAsia="zh-CN"/>
                      <w14:textFill>
                        <w14:solidFill>
                          <w14:schemeClr w14:val="tx1"/>
                        </w14:solidFill>
                      </w14:textFill>
                    </w:rPr>
                    <w:t>、柴油发电机、除砂器、</w:t>
                  </w:r>
                </w:p>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除砂器</w:t>
                  </w:r>
                  <w:r>
                    <w:rPr>
                      <w:rFonts w:ascii="Times New Roman" w:hAnsi="Times New Roman" w:cs="Times New Roman"/>
                      <w:color w:val="000000" w:themeColor="text1"/>
                      <w:kern w:val="2"/>
                      <w:sz w:val="21"/>
                      <w:szCs w:val="21"/>
                      <w:lang w:eastAsia="zh-CN"/>
                      <w14:textFill>
                        <w14:solidFill>
                          <w14:schemeClr w14:val="tx1"/>
                        </w14:solidFill>
                      </w14:textFill>
                    </w:rPr>
                    <w:t>及泥浆搅拌机</w:t>
                  </w:r>
                </w:p>
              </w:tc>
              <w:tc>
                <w:tcPr>
                  <w:tcW w:w="14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等效声级</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固体废物</w:t>
                  </w: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钻孔、封孔</w:t>
                  </w:r>
                </w:p>
              </w:tc>
              <w:tc>
                <w:tcPr>
                  <w:tcW w:w="14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钻孔泥浆</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取芯测试</w:t>
                  </w:r>
                </w:p>
              </w:tc>
              <w:tc>
                <w:tcPr>
                  <w:tcW w:w="1472"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矿段</w:t>
                  </w:r>
                  <w:r>
                    <w:rPr>
                      <w:rFonts w:ascii="Times New Roman" w:hAnsi="Times New Roman" w:cs="Times New Roman"/>
                      <w:color w:val="000000" w:themeColor="text1"/>
                      <w:kern w:val="2"/>
                      <w:sz w:val="21"/>
                      <w:szCs w:val="21"/>
                      <w:lang w:eastAsia="zh-CN"/>
                      <w14:textFill>
                        <w14:solidFill>
                          <w14:schemeClr w14:val="tx1"/>
                        </w14:solidFill>
                      </w14:textFill>
                    </w:rPr>
                    <w:t>岩芯</w:t>
                  </w:r>
                  <w:r>
                    <w:rPr>
                      <w:rFonts w:hint="eastAsia" w:ascii="Times New Roman" w:hAnsi="Times New Roman" w:cs="Times New Roman"/>
                      <w:color w:val="000000" w:themeColor="text1"/>
                      <w:kern w:val="2"/>
                      <w:sz w:val="21"/>
                      <w:szCs w:val="21"/>
                      <w:lang w:eastAsia="zh-CN"/>
                      <w14:textFill>
                        <w14:solidFill>
                          <w14:schemeClr w14:val="tx1"/>
                        </w14:solidFill>
                      </w14:textFill>
                    </w:rPr>
                    <w:t>及非矿段岩芯</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设备维护</w:t>
                  </w:r>
                </w:p>
              </w:tc>
              <w:tc>
                <w:tcPr>
                  <w:tcW w:w="14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废机油</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4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生活垃圾</w:t>
                  </w:r>
                </w:p>
              </w:tc>
              <w:tc>
                <w:tcPr>
                  <w:tcW w:w="872"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bl>
          <w:p>
            <w:pPr>
              <w:widowControl/>
              <w:autoSpaceDE/>
              <w:autoSpaceDN/>
              <w:spacing w:line="360" w:lineRule="auto"/>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2、主要原辅材料清单</w:t>
            </w:r>
          </w:p>
          <w:p>
            <w:pPr>
              <w:adjustRightInd w:val="0"/>
              <w:spacing w:line="360" w:lineRule="auto"/>
              <w:ind w:firstLine="480" w:firstLineChars="200"/>
              <w:jc w:val="left"/>
              <w:textAlignment w:val="baseline"/>
              <w:rPr>
                <w:rFonts w:ascii="Times New Roman" w:hAnsi="Times New Roman" w:cs="Times New Roman"/>
                <w:b/>
                <w:color w:val="000000" w:themeColor="text1"/>
                <w:kern w:val="2"/>
                <w:szCs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本项目原辅材料消耗见表6-2。</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表6-2  本项目原辅材料消耗一览表</w:t>
            </w:r>
          </w:p>
          <w:tbl>
            <w:tblPr>
              <w:tblStyle w:val="11"/>
              <w:tblW w:w="4995"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579"/>
              <w:gridCol w:w="849"/>
              <w:gridCol w:w="2856"/>
              <w:gridCol w:w="1788"/>
              <w:gridCol w:w="1542"/>
              <w:gridCol w:w="191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tcBorders>
                    <w:tl2br w:val="nil"/>
                    <w:tr2bl w:val="nil"/>
                  </w:tcBorders>
                  <w:vAlign w:val="center"/>
                </w:tcPr>
                <w:p>
                  <w:pPr>
                    <w:pStyle w:val="17"/>
                    <w:adjustRightInd/>
                    <w:jc w:val="center"/>
                    <w:rPr>
                      <w:color w:val="000000" w:themeColor="text1"/>
                      <w:sz w:val="22"/>
                      <w14:textFill>
                        <w14:solidFill>
                          <w14:schemeClr w14:val="tx1"/>
                        </w14:solidFill>
                      </w14:textFill>
                    </w:rPr>
                  </w:pPr>
                  <w:r>
                    <w:rPr>
                      <w:rFonts w:hAnsi="宋体"/>
                      <w:color w:val="000000" w:themeColor="text1"/>
                      <w:sz w:val="22"/>
                      <w14:textFill>
                        <w14:solidFill>
                          <w14:schemeClr w14:val="tx1"/>
                        </w14:solidFill>
                      </w14:textFill>
                    </w:rPr>
                    <w:t>序号</w:t>
                  </w:r>
                </w:p>
              </w:tc>
              <w:tc>
                <w:tcPr>
                  <w:tcW w:w="1942"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名称</w:t>
                  </w:r>
                </w:p>
              </w:tc>
              <w:tc>
                <w:tcPr>
                  <w:tcW w:w="937" w:type="pct"/>
                  <w:tcBorders>
                    <w:tl2br w:val="nil"/>
                    <w:tr2bl w:val="nil"/>
                  </w:tcBorders>
                  <w:vAlign w:val="center"/>
                </w:tcPr>
                <w:p>
                  <w:pPr>
                    <w:widowControl/>
                    <w:jc w:val="center"/>
                    <w:rPr>
                      <w:rFonts w:hint="default" w:eastAsia="宋体"/>
                      <w:color w:val="000000" w:themeColor="text1"/>
                      <w:sz w:val="22"/>
                      <w:lang w:val="en-US" w:eastAsia="zh-CN"/>
                      <w14:textFill>
                        <w14:solidFill>
                          <w14:schemeClr w14:val="tx1"/>
                        </w14:solidFill>
                      </w14:textFill>
                    </w:rPr>
                  </w:pPr>
                  <w:r>
                    <w:rPr>
                      <w:rFonts w:hint="eastAsia" w:hAnsi="宋体"/>
                      <w:color w:val="000000" w:themeColor="text1"/>
                      <w:kern w:val="0"/>
                      <w:szCs w:val="21"/>
                      <w:lang w:val="en-US" w:eastAsia="zh-CN" w:bidi="ar"/>
                      <w14:textFill>
                        <w14:solidFill>
                          <w14:schemeClr w14:val="tx1"/>
                        </w14:solidFill>
                      </w14:textFill>
                    </w:rPr>
                    <w:t>单位消耗量</w:t>
                  </w:r>
                </w:p>
              </w:tc>
              <w:tc>
                <w:tcPr>
                  <w:tcW w:w="808" w:type="pct"/>
                  <w:tcBorders>
                    <w:tl2br w:val="nil"/>
                    <w:tr2bl w:val="nil"/>
                  </w:tcBorders>
                  <w:vAlign w:val="center"/>
                </w:tcPr>
                <w:p>
                  <w:pPr>
                    <w:widowControl/>
                    <w:jc w:val="center"/>
                    <w:rPr>
                      <w:color w:val="000000" w:themeColor="text1"/>
                      <w:kern w:val="0"/>
                      <w:szCs w:val="21"/>
                      <w:lang w:bidi="ar"/>
                      <w14:textFill>
                        <w14:solidFill>
                          <w14:schemeClr w14:val="tx1"/>
                        </w14:solidFill>
                      </w14:textFill>
                    </w:rPr>
                  </w:pPr>
                  <w:r>
                    <w:rPr>
                      <w:color w:val="000000" w:themeColor="text1"/>
                      <w:kern w:val="0"/>
                      <w:szCs w:val="21"/>
                      <w:lang w:bidi="ar"/>
                      <w14:textFill>
                        <w14:solidFill>
                          <w14:schemeClr w14:val="tx1"/>
                        </w14:solidFill>
                      </w14:textFill>
                    </w:rPr>
                    <w:t>202</w:t>
                  </w:r>
                  <w:r>
                    <w:rPr>
                      <w:rFonts w:hint="eastAsia"/>
                      <w:color w:val="000000" w:themeColor="text1"/>
                      <w:kern w:val="0"/>
                      <w:szCs w:val="21"/>
                      <w:lang w:val="en-US" w:eastAsia="zh-CN" w:bidi="ar"/>
                      <w14:textFill>
                        <w14:solidFill>
                          <w14:schemeClr w14:val="tx1"/>
                        </w14:solidFill>
                      </w14:textFill>
                    </w:rPr>
                    <w:t>2</w:t>
                  </w:r>
                  <w:r>
                    <w:rPr>
                      <w:rFonts w:hAnsi="宋体"/>
                      <w:color w:val="000000" w:themeColor="text1"/>
                      <w:kern w:val="0"/>
                      <w:szCs w:val="21"/>
                      <w:lang w:bidi="ar"/>
                      <w14:textFill>
                        <w14:solidFill>
                          <w14:schemeClr w14:val="tx1"/>
                        </w14:solidFill>
                      </w14:textFill>
                    </w:rPr>
                    <w:t>年度</w:t>
                  </w:r>
                </w:p>
              </w:tc>
              <w:tc>
                <w:tcPr>
                  <w:tcW w:w="1006" w:type="pct"/>
                  <w:tcBorders>
                    <w:tl2br w:val="nil"/>
                    <w:tr2bl w:val="nil"/>
                  </w:tcBorders>
                  <w:vAlign w:val="center"/>
                </w:tcPr>
                <w:p>
                  <w:pPr>
                    <w:widowControl/>
                    <w:jc w:val="center"/>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2023年-2026年度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vMerge w:val="restart"/>
                  <w:tcBorders>
                    <w:tl2br w:val="nil"/>
                    <w:tr2bl w:val="nil"/>
                  </w:tcBorders>
                  <w:vAlign w:val="center"/>
                </w:tcPr>
                <w:p>
                  <w:pPr>
                    <w:pStyle w:val="17"/>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1</w:t>
                  </w:r>
                </w:p>
              </w:tc>
              <w:tc>
                <w:tcPr>
                  <w:tcW w:w="1942" w:type="pct"/>
                  <w:gridSpan w:val="2"/>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钻井液</w:t>
                  </w:r>
                </w:p>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（包括膨润土、</w:t>
                  </w:r>
                  <w:r>
                    <w:rPr>
                      <w:rFonts w:hint="eastAsia" w:hAnsi="宋体"/>
                      <w:color w:val="000000" w:themeColor="text1"/>
                      <w:kern w:val="0"/>
                      <w:szCs w:val="21"/>
                      <w:lang w:bidi="ar"/>
                      <w14:textFill>
                        <w14:solidFill>
                          <w14:schemeClr w14:val="tx1"/>
                        </w14:solidFill>
                      </w14:textFill>
                    </w:rPr>
                    <w:t>腐植酸钾</w:t>
                  </w:r>
                  <w:r>
                    <w:rPr>
                      <w:rFonts w:hAnsi="宋体"/>
                      <w:color w:val="000000" w:themeColor="text1"/>
                      <w:kern w:val="0"/>
                      <w:szCs w:val="21"/>
                      <w:lang w:bidi="ar"/>
                      <w14:textFill>
                        <w14:solidFill>
                          <w14:schemeClr w14:val="tx1"/>
                        </w14:solidFill>
                      </w14:textFill>
                    </w:rPr>
                    <w:t>、纤维素）</w:t>
                  </w:r>
                </w:p>
              </w:tc>
              <w:tc>
                <w:tcPr>
                  <w:tcW w:w="937"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0.535kg/m</w:t>
                  </w:r>
                </w:p>
              </w:tc>
              <w:tc>
                <w:tcPr>
                  <w:tcW w:w="80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8.56</w:t>
                  </w:r>
                  <w:r>
                    <w:rPr>
                      <w:rFonts w:hint="eastAsia" w:cs="Times New Roman"/>
                      <w:i w:val="0"/>
                      <w:color w:val="000000" w:themeColor="text1"/>
                      <w:kern w:val="0"/>
                      <w:sz w:val="21"/>
                      <w:szCs w:val="21"/>
                      <w:u w:val="none"/>
                      <w:lang w:val="en-US" w:eastAsia="zh-CN" w:bidi="ar"/>
                      <w14:textFill>
                        <w14:solidFill>
                          <w14:schemeClr w14:val="tx1"/>
                        </w14:solidFill>
                      </w14:textFill>
                    </w:rPr>
                    <w:t>t</w:t>
                  </w:r>
                </w:p>
              </w:tc>
              <w:tc>
                <w:tcPr>
                  <w:tcW w:w="1006"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54.035t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vMerge w:val="continue"/>
                  <w:tcBorders>
                    <w:tl2br w:val="nil"/>
                    <w:tr2bl w:val="nil"/>
                  </w:tcBorders>
                  <w:vAlign w:val="center"/>
                </w:tcPr>
                <w:p>
                  <w:pPr>
                    <w:pStyle w:val="17"/>
                    <w:adjustRightInd/>
                    <w:jc w:val="center"/>
                    <w:rPr>
                      <w:color w:val="000000" w:themeColor="text1"/>
                      <w:sz w:val="22"/>
                      <w14:textFill>
                        <w14:solidFill>
                          <w14:schemeClr w14:val="tx1"/>
                        </w14:solidFill>
                      </w14:textFill>
                    </w:rPr>
                  </w:pPr>
                </w:p>
              </w:tc>
              <w:tc>
                <w:tcPr>
                  <w:tcW w:w="445" w:type="pct"/>
                  <w:vMerge w:val="restart"/>
                  <w:tcBorders>
                    <w:tl2br w:val="nil"/>
                    <w:tr2bl w:val="nil"/>
                  </w:tcBorders>
                  <w:vAlign w:val="center"/>
                </w:tcPr>
                <w:p>
                  <w:pPr>
                    <w:widowControl/>
                    <w:jc w:val="center"/>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钻井液</w:t>
                  </w:r>
                </w:p>
              </w:tc>
              <w:tc>
                <w:tcPr>
                  <w:tcW w:w="1497"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膨润土</w:t>
                  </w:r>
                </w:p>
              </w:tc>
              <w:tc>
                <w:tcPr>
                  <w:tcW w:w="9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0.487kg/m</w:t>
                  </w:r>
                </w:p>
              </w:tc>
              <w:tc>
                <w:tcPr>
                  <w:tcW w:w="80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7.792</w:t>
                  </w:r>
                  <w:r>
                    <w:rPr>
                      <w:rFonts w:hint="eastAsia" w:cs="Times New Roman"/>
                      <w:i w:val="0"/>
                      <w:color w:val="000000" w:themeColor="text1"/>
                      <w:kern w:val="0"/>
                      <w:sz w:val="21"/>
                      <w:szCs w:val="21"/>
                      <w:u w:val="none"/>
                      <w:lang w:val="en-US" w:eastAsia="zh-CN" w:bidi="ar"/>
                      <w14:textFill>
                        <w14:solidFill>
                          <w14:schemeClr w14:val="tx1"/>
                        </w14:solidFill>
                      </w14:textFill>
                    </w:rPr>
                    <w:t>t</w:t>
                  </w:r>
                </w:p>
              </w:tc>
              <w:tc>
                <w:tcPr>
                  <w:tcW w:w="1006"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49.187t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vMerge w:val="continue"/>
                  <w:tcBorders>
                    <w:tl2br w:val="nil"/>
                    <w:tr2bl w:val="nil"/>
                  </w:tcBorders>
                  <w:vAlign w:val="center"/>
                </w:tcPr>
                <w:p>
                  <w:pPr>
                    <w:pStyle w:val="17"/>
                    <w:adjustRightInd/>
                    <w:jc w:val="center"/>
                    <w:rPr>
                      <w:color w:val="000000" w:themeColor="text1"/>
                      <w:sz w:val="22"/>
                      <w14:textFill>
                        <w14:solidFill>
                          <w14:schemeClr w14:val="tx1"/>
                        </w14:solidFill>
                      </w14:textFill>
                    </w:rPr>
                  </w:pPr>
                </w:p>
              </w:tc>
              <w:tc>
                <w:tcPr>
                  <w:tcW w:w="445"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497" w:type="pct"/>
                  <w:tcBorders>
                    <w:tl2br w:val="nil"/>
                    <w:tr2bl w:val="nil"/>
                  </w:tcBorders>
                  <w:vAlign w:val="center"/>
                </w:tcPr>
                <w:p>
                  <w:pPr>
                    <w:widowControl/>
                    <w:jc w:val="center"/>
                    <w:rPr>
                      <w:rFonts w:hint="eastAsia" w:hAnsi="宋体"/>
                      <w:color w:val="000000" w:themeColor="text1"/>
                      <w:kern w:val="0"/>
                      <w:szCs w:val="21"/>
                      <w:lang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腐植酸钾</w:t>
                  </w:r>
                </w:p>
              </w:tc>
              <w:tc>
                <w:tcPr>
                  <w:tcW w:w="9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0.041kg/m</w:t>
                  </w:r>
                </w:p>
              </w:tc>
              <w:tc>
                <w:tcPr>
                  <w:tcW w:w="80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0.656</w:t>
                  </w:r>
                  <w:r>
                    <w:rPr>
                      <w:rFonts w:hint="eastAsia" w:cs="Times New Roman"/>
                      <w:i w:val="0"/>
                      <w:color w:val="000000" w:themeColor="text1"/>
                      <w:kern w:val="0"/>
                      <w:sz w:val="21"/>
                      <w:szCs w:val="21"/>
                      <w:u w:val="none"/>
                      <w:lang w:val="en-US" w:eastAsia="zh-CN" w:bidi="ar"/>
                      <w14:textFill>
                        <w14:solidFill>
                          <w14:schemeClr w14:val="tx1"/>
                        </w14:solidFill>
                      </w14:textFill>
                    </w:rPr>
                    <w:t>t</w:t>
                  </w:r>
                </w:p>
              </w:tc>
              <w:tc>
                <w:tcPr>
                  <w:tcW w:w="1006"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4.141t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vMerge w:val="continue"/>
                  <w:tcBorders>
                    <w:tl2br w:val="nil"/>
                    <w:tr2bl w:val="nil"/>
                  </w:tcBorders>
                  <w:vAlign w:val="center"/>
                </w:tcPr>
                <w:p>
                  <w:pPr>
                    <w:pStyle w:val="17"/>
                    <w:adjustRightInd/>
                    <w:jc w:val="center"/>
                    <w:rPr>
                      <w:color w:val="000000" w:themeColor="text1"/>
                      <w:sz w:val="22"/>
                      <w14:textFill>
                        <w14:solidFill>
                          <w14:schemeClr w14:val="tx1"/>
                        </w14:solidFill>
                      </w14:textFill>
                    </w:rPr>
                  </w:pPr>
                </w:p>
              </w:tc>
              <w:tc>
                <w:tcPr>
                  <w:tcW w:w="445"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497"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纤维素</w:t>
                  </w:r>
                </w:p>
              </w:tc>
              <w:tc>
                <w:tcPr>
                  <w:tcW w:w="9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0.007kg/m</w:t>
                  </w:r>
                </w:p>
              </w:tc>
              <w:tc>
                <w:tcPr>
                  <w:tcW w:w="80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0.112</w:t>
                  </w:r>
                  <w:r>
                    <w:rPr>
                      <w:rFonts w:hint="eastAsia" w:cs="Times New Roman"/>
                      <w:i w:val="0"/>
                      <w:color w:val="000000" w:themeColor="text1"/>
                      <w:kern w:val="0"/>
                      <w:sz w:val="21"/>
                      <w:szCs w:val="21"/>
                      <w:u w:val="none"/>
                      <w:lang w:val="en-US" w:eastAsia="zh-CN" w:bidi="ar"/>
                      <w14:textFill>
                        <w14:solidFill>
                          <w14:schemeClr w14:val="tx1"/>
                        </w14:solidFill>
                      </w14:textFill>
                    </w:rPr>
                    <w:t>t</w:t>
                  </w:r>
                </w:p>
              </w:tc>
              <w:tc>
                <w:tcPr>
                  <w:tcW w:w="1006"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0.707t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tcBorders>
                    <w:tl2br w:val="nil"/>
                    <w:tr2bl w:val="nil"/>
                  </w:tcBorders>
                  <w:vAlign w:val="center"/>
                </w:tcPr>
                <w:p>
                  <w:pPr>
                    <w:pStyle w:val="17"/>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2</w:t>
                  </w:r>
                </w:p>
              </w:tc>
              <w:tc>
                <w:tcPr>
                  <w:tcW w:w="1942"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水泥</w:t>
                  </w:r>
                </w:p>
              </w:tc>
              <w:tc>
                <w:tcPr>
                  <w:tcW w:w="937"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1</w:t>
                  </w:r>
                  <w:r>
                    <w:rPr>
                      <w:rFonts w:hint="eastAsia"/>
                      <w:bCs/>
                      <w:color w:val="000000" w:themeColor="text1"/>
                      <w:kern w:val="0"/>
                      <w:szCs w:val="21"/>
                      <w:lang w:val="en-US" w:eastAsia="zh-CN" w:bidi="ar"/>
                      <w14:textFill>
                        <w14:solidFill>
                          <w14:schemeClr w14:val="tx1"/>
                        </w14:solidFill>
                      </w14:textFill>
                    </w:rPr>
                    <w:t>0</w:t>
                  </w:r>
                  <w:r>
                    <w:rPr>
                      <w:bCs/>
                      <w:color w:val="000000" w:themeColor="text1"/>
                      <w:kern w:val="0"/>
                      <w:szCs w:val="21"/>
                      <w:lang w:bidi="ar"/>
                      <w14:textFill>
                        <w14:solidFill>
                          <w14:schemeClr w14:val="tx1"/>
                        </w14:solidFill>
                      </w14:textFill>
                    </w:rPr>
                    <w:t>kg/m</w:t>
                  </w:r>
                </w:p>
              </w:tc>
              <w:tc>
                <w:tcPr>
                  <w:tcW w:w="80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bCs/>
                      <w:color w:val="000000" w:themeColor="text1"/>
                      <w:kern w:val="0"/>
                      <w:sz w:val="21"/>
                      <w:szCs w:val="21"/>
                      <w:lang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160</w:t>
                  </w:r>
                  <w:r>
                    <w:rPr>
                      <w:rFonts w:hint="eastAsia" w:cs="Times New Roman"/>
                      <w:i w:val="0"/>
                      <w:color w:val="000000" w:themeColor="text1"/>
                      <w:kern w:val="0"/>
                      <w:sz w:val="21"/>
                      <w:szCs w:val="21"/>
                      <w:u w:val="none"/>
                      <w:lang w:val="en-US" w:eastAsia="zh-CN" w:bidi="ar"/>
                      <w14:textFill>
                        <w14:solidFill>
                          <w14:schemeClr w14:val="tx1"/>
                        </w14:solidFill>
                      </w14:textFill>
                    </w:rPr>
                    <w:t>t</w:t>
                  </w:r>
                </w:p>
              </w:tc>
              <w:tc>
                <w:tcPr>
                  <w:tcW w:w="1006"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1010t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tcBorders>
                    <w:tl2br w:val="nil"/>
                    <w:tr2bl w:val="nil"/>
                  </w:tcBorders>
                  <w:vAlign w:val="center"/>
                </w:tcPr>
                <w:p>
                  <w:pPr>
                    <w:pStyle w:val="17"/>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3</w:t>
                  </w:r>
                </w:p>
              </w:tc>
              <w:tc>
                <w:tcPr>
                  <w:tcW w:w="1942"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柴油</w:t>
                  </w:r>
                </w:p>
              </w:tc>
              <w:tc>
                <w:tcPr>
                  <w:tcW w:w="937"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3.6L/m</w:t>
                  </w:r>
                </w:p>
              </w:tc>
              <w:tc>
                <w:tcPr>
                  <w:tcW w:w="80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57600L</w:t>
                  </w:r>
                </w:p>
              </w:tc>
              <w:tc>
                <w:tcPr>
                  <w:tcW w:w="1006"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363600L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04" w:type="pct"/>
                  <w:tcBorders>
                    <w:tl2br w:val="nil"/>
                    <w:tr2bl w:val="nil"/>
                  </w:tcBorders>
                  <w:vAlign w:val="center"/>
                </w:tcPr>
                <w:p>
                  <w:pPr>
                    <w:pStyle w:val="17"/>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4</w:t>
                  </w:r>
                </w:p>
              </w:tc>
              <w:tc>
                <w:tcPr>
                  <w:tcW w:w="1942" w:type="pct"/>
                  <w:gridSpan w:val="2"/>
                  <w:tcBorders>
                    <w:tl2br w:val="nil"/>
                    <w:tr2bl w:val="nil"/>
                  </w:tcBorders>
                  <w:vAlign w:val="center"/>
                </w:tcPr>
                <w:p>
                  <w:pPr>
                    <w:widowControl/>
                    <w:jc w:val="center"/>
                    <w:rPr>
                      <w:rFonts w:hint="eastAsia" w:hAnsi="宋体" w:eastAsia="宋体"/>
                      <w:color w:val="000000" w:themeColor="text1"/>
                      <w:kern w:val="0"/>
                      <w:szCs w:val="21"/>
                      <w:lang w:eastAsia="zh-CN"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防渗膜（HDPE膜</w:t>
                  </w:r>
                  <w:r>
                    <w:rPr>
                      <w:rFonts w:hint="eastAsia" w:hAnsi="宋体"/>
                      <w:color w:val="000000" w:themeColor="text1"/>
                      <w:kern w:val="0"/>
                      <w:szCs w:val="21"/>
                      <w:lang w:eastAsia="zh-CN" w:bidi="ar"/>
                      <w14:textFill>
                        <w14:solidFill>
                          <w14:schemeClr w14:val="tx1"/>
                        </w14:solidFill>
                      </w14:textFill>
                    </w:rPr>
                    <w:t>）</w:t>
                  </w:r>
                </w:p>
              </w:tc>
              <w:tc>
                <w:tcPr>
                  <w:tcW w:w="9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70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r>
                    <w:rPr>
                      <w:bCs/>
                      <w:color w:val="000000" w:themeColor="text1"/>
                      <w:kern w:val="0"/>
                      <w:szCs w:val="21"/>
                      <w:lang w:bidi="ar"/>
                      <w14:textFill>
                        <w14:solidFill>
                          <w14:schemeClr w14:val="tx1"/>
                        </w14:solidFill>
                      </w14:textFill>
                    </w:rPr>
                    <w:t>/</w:t>
                  </w:r>
                  <w:r>
                    <w:rPr>
                      <w:rFonts w:hint="eastAsia"/>
                      <w:bCs/>
                      <w:color w:val="000000" w:themeColor="text1"/>
                      <w:kern w:val="0"/>
                      <w:szCs w:val="21"/>
                      <w:lang w:bidi="ar"/>
                      <w14:textFill>
                        <w14:solidFill>
                          <w14:schemeClr w14:val="tx1"/>
                        </w14:solidFill>
                      </w14:textFill>
                    </w:rPr>
                    <w:t>单井</w:t>
                  </w:r>
                </w:p>
              </w:tc>
              <w:tc>
                <w:tcPr>
                  <w:tcW w:w="80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eastAsia" w:eastAsia="等线" w:cs="Times New Roman"/>
                      <w:color w:val="000000" w:themeColor="text1"/>
                      <w:sz w:val="21"/>
                      <w:szCs w:val="21"/>
                      <w:lang w:val="en-US" w:eastAsia="zh-CN"/>
                      <w14:textFill>
                        <w14:solidFill>
                          <w14:schemeClr w14:val="tx1"/>
                        </w14:solidFill>
                      </w14:textFill>
                    </w:rPr>
                    <w:t>2170m</w:t>
                  </w:r>
                  <w:r>
                    <w:rPr>
                      <w:rFonts w:hint="eastAsia" w:eastAsia="等线" w:cs="Times New Roman"/>
                      <w:color w:val="000000" w:themeColor="text1"/>
                      <w:sz w:val="21"/>
                      <w:szCs w:val="21"/>
                      <w:vertAlign w:val="superscript"/>
                      <w:lang w:val="en-US" w:eastAsia="zh-CN"/>
                      <w14:textFill>
                        <w14:solidFill>
                          <w14:schemeClr w14:val="tx1"/>
                        </w14:solidFill>
                      </w14:textFill>
                    </w:rPr>
                    <w:t>2</w:t>
                  </w:r>
                </w:p>
              </w:tc>
              <w:tc>
                <w:tcPr>
                  <w:tcW w:w="1006"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eastAsia" w:eastAsia="等线" w:cs="Times New Roman"/>
                      <w:color w:val="000000" w:themeColor="text1"/>
                      <w:sz w:val="21"/>
                      <w:szCs w:val="21"/>
                      <w:lang w:val="en-US" w:eastAsia="zh-CN"/>
                      <w14:textFill>
                        <w14:solidFill>
                          <w14:schemeClr w14:val="tx1"/>
                        </w14:solidFill>
                      </w14:textFill>
                    </w:rPr>
                    <w:t>14910m</w:t>
                  </w:r>
                  <w:r>
                    <w:rPr>
                      <w:rFonts w:hint="eastAsia" w:eastAsia="等线" w:cs="Times New Roman"/>
                      <w:color w:val="000000" w:themeColor="text1"/>
                      <w:sz w:val="21"/>
                      <w:szCs w:val="21"/>
                      <w:vertAlign w:val="superscript"/>
                      <w:lang w:val="en-US" w:eastAsia="zh-CN"/>
                      <w14:textFill>
                        <w14:solidFill>
                          <w14:schemeClr w14:val="tx1"/>
                        </w14:solidFill>
                      </w14:textFill>
                    </w:rPr>
                    <w:t>2</w:t>
                  </w:r>
                </w:p>
              </w:tc>
            </w:tr>
          </w:tbl>
          <w:p>
            <w:pP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备注：</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①2023年-2026年度钻探预估工作量</w:t>
            </w:r>
            <w:r>
              <w:rPr>
                <w:rFonts w:hint="eastAsia" w:cs="Times New Roman"/>
                <w:color w:val="000000" w:themeColor="text1"/>
                <w:sz w:val="21"/>
                <w:szCs w:val="21"/>
                <w:lang w:val="en-US" w:eastAsia="zh-CN"/>
                <w14:textFill>
                  <w14:solidFill>
                    <w14:schemeClr w14:val="tx1"/>
                  </w14:solidFill>
                </w14:textFill>
              </w:rPr>
              <w:t>101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000m/</w:t>
            </w:r>
            <w:r>
              <w:rPr>
                <w:rFonts w:hint="eastAsia" w:cs="Times New Roman"/>
                <w:color w:val="000000" w:themeColor="text1"/>
                <w:sz w:val="21"/>
                <w:szCs w:val="21"/>
                <w:lang w:val="en-US" w:eastAsia="zh-CN"/>
                <w14:textFill>
                  <w14:solidFill>
                    <w14:schemeClr w14:val="tx1"/>
                  </w14:solidFill>
                </w14:textFill>
              </w:rPr>
              <w:t>213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孔；②本项目采用无毒无害的水基钻井液。</w:t>
            </w:r>
          </w:p>
          <w:p>
            <w:pPr>
              <w:widowControl/>
              <w:autoSpaceDE/>
              <w:autoSpaceDN/>
              <w:spacing w:line="360" w:lineRule="auto"/>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3、水平衡</w:t>
            </w:r>
          </w:p>
          <w:p>
            <w:pPr>
              <w:spacing w:line="360" w:lineRule="auto"/>
              <w:ind w:firstLine="480" w:firstLineChars="200"/>
              <w:rPr>
                <w:rFonts w:hint="default" w:ascii="宋体" w:hAnsi="宋体" w:cs="宋体"/>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（1）给水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项目部</w:t>
            </w:r>
            <w:r>
              <w:rPr>
                <w:rFonts w:hint="eastAsia"/>
                <w:color w:val="000000" w:themeColor="text1"/>
                <w:sz w:val="24"/>
                <w:lang w:val="en-GB"/>
                <w14:textFill>
                  <w14:solidFill>
                    <w14:schemeClr w14:val="tx1"/>
                  </w14:solidFill>
                </w14:textFill>
              </w:rPr>
              <w:t>生活用水依托</w:t>
            </w:r>
            <w:r>
              <w:rPr>
                <w:rFonts w:hint="eastAsia"/>
                <w:color w:val="000000" w:themeColor="text1"/>
                <w:sz w:val="24"/>
                <w:lang w:val="en-US" w:eastAsia="zh-CN"/>
                <w14:textFill>
                  <w14:solidFill>
                    <w14:schemeClr w14:val="tx1"/>
                  </w14:solidFill>
                </w14:textFill>
              </w:rPr>
              <w:t>附近</w:t>
            </w:r>
            <w:r>
              <w:rPr>
                <w:rFonts w:hint="eastAsia"/>
                <w:color w:val="000000" w:themeColor="text1"/>
                <w:sz w:val="24"/>
                <w:lang w:val="en-GB"/>
                <w14:textFill>
                  <w14:solidFill>
                    <w14:schemeClr w14:val="tx1"/>
                  </w14:solidFill>
                </w14:textFill>
              </w:rPr>
              <w:t>村庄，钻探施工及生活用水采用水车从附近村庄拉运。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①2022年度</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2022年度该项目</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16</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31</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生产用水主要为配置钻井液用水以及封井水泥用水</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根据类比调查估算，202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年度钻井液用水均为</w:t>
            </w:r>
            <w:r>
              <w:rPr>
                <w:rFonts w:hint="eastAsia"/>
                <w:color w:val="000000" w:themeColor="text1"/>
                <w:sz w:val="24"/>
                <w:lang w:val="en-US" w:eastAsia="zh-CN"/>
                <w14:textFill>
                  <w14:solidFill>
                    <w14:schemeClr w14:val="tx1"/>
                  </w14:solidFill>
                </w14:textFill>
              </w:rPr>
              <w:t>16</w:t>
            </w:r>
            <w:r>
              <w:rPr>
                <w:rFonts w:hint="eastAsia"/>
                <w:color w:val="000000" w:themeColor="text1"/>
                <w:sz w:val="24"/>
                <w:lang w:eastAsia="zh-CN"/>
                <w14:textFill>
                  <w14:solidFill>
                    <w14:schemeClr w14:val="tx1"/>
                  </w14:solidFill>
                </w14:textFill>
              </w:rPr>
              <w:t>0m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/100m），</w:t>
            </w:r>
            <w:r>
              <w:rPr>
                <w:rFonts w:hint="eastAsia"/>
                <w:color w:val="000000" w:themeColor="text1"/>
                <w:sz w:val="24"/>
                <w:lang w:val="en-US" w:eastAsia="zh-CN"/>
                <w14:textFill>
                  <w14:solidFill>
                    <w14:schemeClr w14:val="tx1"/>
                  </w14:solidFill>
                </w14:textFill>
              </w:rPr>
              <w:t>即0.8</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/d；封井水泥用水量为</w:t>
            </w:r>
            <w:r>
              <w:rPr>
                <w:rFonts w:hint="eastAsia"/>
                <w:color w:val="000000" w:themeColor="text1"/>
                <w:sz w:val="24"/>
                <w:lang w:val="en-US" w:eastAsia="zh-CN"/>
                <w14:textFill>
                  <w14:solidFill>
                    <w14:schemeClr w14:val="tx1"/>
                  </w14:solidFill>
                </w14:textFill>
              </w:rPr>
              <w:t>80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/a（水灰比例1:2），</w:t>
            </w:r>
            <w:r>
              <w:rPr>
                <w:rFonts w:hint="eastAsia"/>
                <w:color w:val="000000" w:themeColor="text1"/>
                <w:sz w:val="24"/>
                <w:lang w:val="en-US" w:eastAsia="zh-CN"/>
                <w14:textFill>
                  <w14:solidFill>
                    <w14:schemeClr w14:val="tx1"/>
                  </w14:solidFill>
                </w14:textFill>
              </w:rPr>
              <w:t>即0.4</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/d；完井后</w:t>
            </w:r>
            <w:r>
              <w:rPr>
                <w:color w:val="000000" w:themeColor="text1"/>
                <w:sz w:val="24"/>
                <w:lang w:eastAsia="zh-CN"/>
                <w14:textFill>
                  <w14:solidFill>
                    <w14:schemeClr w14:val="tx1"/>
                  </w14:solidFill>
                </w14:textFill>
              </w:rPr>
              <w:t>钻具等冲洗水用</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46.5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color w:val="000000" w:themeColor="text1"/>
                <w:sz w:val="24"/>
                <w:lang w:eastAsia="zh-CN"/>
                <w14:textFill>
                  <w14:solidFill>
                    <w14:schemeClr w14:val="tx1"/>
                  </w14:solidFill>
                </w14:textFill>
              </w:rPr>
              <w:t>/单井</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即0.23</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年度勘查所需人员为</w:t>
            </w:r>
            <w:r>
              <w:rPr>
                <w:rFonts w:hint="eastAsia"/>
                <w:color w:val="000000" w:themeColor="text1"/>
                <w:sz w:val="24"/>
                <w:lang w:val="en-US" w:eastAsia="zh-CN"/>
                <w14:textFill>
                  <w14:solidFill>
                    <w14:schemeClr w14:val="tx1"/>
                  </w14:solidFill>
                </w14:textFill>
              </w:rPr>
              <w:t>40</w:t>
            </w:r>
            <w:r>
              <w:rPr>
                <w:rFonts w:hint="eastAsia"/>
                <w:color w:val="000000" w:themeColor="text1"/>
                <w:sz w:val="24"/>
                <w:lang w:eastAsia="zh-CN"/>
                <w14:textFill>
                  <w14:solidFill>
                    <w14:schemeClr w14:val="tx1"/>
                  </w14:solidFill>
                </w14:textFill>
              </w:rPr>
              <w:t>人，</w:t>
            </w:r>
            <w:r>
              <w:rPr>
                <w:rFonts w:hint="eastAsia"/>
                <w:color w:val="000000" w:themeColor="text1"/>
                <w:sz w:val="24"/>
                <w:lang w:val="en-GB"/>
                <w14:textFill>
                  <w14:solidFill>
                    <w14:schemeClr w14:val="tx1"/>
                  </w14:solidFill>
                </w14:textFill>
              </w:rPr>
              <w:t>参考《内蒙古自治区行业用水定额（2019年版）》中“农村居民”用水定额，本次环评按</w:t>
            </w:r>
            <w:r>
              <w:rPr>
                <w:rFonts w:hint="default" w:ascii="Times New Roman" w:hAnsi="Times New Roman" w:cs="Times New Roman"/>
                <w:color w:val="000000" w:themeColor="text1"/>
                <w:sz w:val="24"/>
                <w:lang w:val="en-GB"/>
                <w14:textFill>
                  <w14:solidFill>
                    <w14:schemeClr w14:val="tx1"/>
                  </w14:solidFill>
                </w14:textFill>
              </w:rPr>
              <w:t>60L/人·d</w:t>
            </w:r>
            <w:r>
              <w:rPr>
                <w:rFonts w:hint="eastAsia"/>
                <w:color w:val="000000" w:themeColor="text1"/>
                <w:sz w:val="24"/>
                <w:lang w:val="en-GB"/>
                <w14:textFill>
                  <w14:solidFill>
                    <w14:schemeClr w14:val="tx1"/>
                  </w14:solidFill>
                </w14:textFill>
              </w:rPr>
              <w:t>计，</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年度项目生活用水量约</w:t>
            </w:r>
            <w:r>
              <w:rPr>
                <w:rFonts w:hint="eastAsia"/>
                <w:color w:val="000000" w:themeColor="text1"/>
                <w:sz w:val="24"/>
                <w:lang w:val="en-US" w:eastAsia="zh-CN"/>
                <w14:textFill>
                  <w14:solidFill>
                    <w14:schemeClr w14:val="tx1"/>
                  </w14:solidFill>
                </w14:textFill>
              </w:rPr>
              <w:t>2.4</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/d（勘查期约为200天，则</w:t>
            </w:r>
            <w:r>
              <w:rPr>
                <w:rFonts w:hint="eastAsia"/>
                <w:color w:val="000000" w:themeColor="text1"/>
                <w:sz w:val="24"/>
                <w:lang w:val="en-US" w:eastAsia="zh-CN"/>
                <w14:textFill>
                  <w14:solidFill>
                    <w14:schemeClr w14:val="tx1"/>
                  </w14:solidFill>
                </w14:textFill>
              </w:rPr>
              <w:t>480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fldChar w:fldCharType="begin"/>
            </w:r>
            <w:r>
              <w:rPr>
                <w:rFonts w:hint="eastAsia"/>
                <w:color w:val="000000" w:themeColor="text1"/>
                <w:sz w:val="24"/>
                <w:lang w:val="en-GB" w:eastAsia="zh-CN"/>
                <w14:textFill>
                  <w14:solidFill>
                    <w14:schemeClr w14:val="tx1"/>
                  </w14:solidFill>
                </w14:textFill>
              </w:rPr>
              <w:instrText xml:space="preserve"> = 2 \* GB3 \* MERGEFORMAT </w:instrText>
            </w:r>
            <w:r>
              <w:rPr>
                <w:rFonts w:hint="eastAsia"/>
                <w:color w:val="000000" w:themeColor="text1"/>
                <w:sz w:val="24"/>
                <w:lang w:val="en-GB" w:eastAsia="zh-CN"/>
                <w14:textFill>
                  <w14:solidFill>
                    <w14:schemeClr w14:val="tx1"/>
                  </w14:solidFill>
                </w14:textFill>
              </w:rPr>
              <w:fldChar w:fldCharType="separate"/>
            </w:r>
            <w:r>
              <w:rPr>
                <w:rFonts w:hint="eastAsia"/>
                <w:color w:val="000000" w:themeColor="text1"/>
                <w:sz w:val="24"/>
                <w:lang w:val="en-GB"/>
                <w14:textFill>
                  <w14:solidFill>
                    <w14:schemeClr w14:val="tx1"/>
                  </w14:solidFill>
                </w14:textFill>
              </w:rPr>
              <w:t>②</w:t>
            </w:r>
            <w:r>
              <w:rPr>
                <w:rFonts w:hint="eastAsia"/>
                <w:color w:val="000000" w:themeColor="text1"/>
                <w:sz w:val="24"/>
                <w:lang w:val="en-GB"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2023-2026年度</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2023-2026年度该项目预估</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工作量101</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213</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生产用水主要为配置钻井液用水以及封井水泥用水</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根据类比调查估算，202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年度钻井液用水均为</w:t>
            </w:r>
            <w:r>
              <w:rPr>
                <w:rFonts w:hint="eastAsia"/>
                <w:color w:val="000000" w:themeColor="text1"/>
                <w:sz w:val="24"/>
                <w:lang w:val="en-US" w:eastAsia="zh-CN"/>
                <w14:textFill>
                  <w14:solidFill>
                    <w14:schemeClr w14:val="tx1"/>
                  </w14:solidFill>
                </w14:textFill>
              </w:rPr>
              <w:t>1010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/100m），</w:t>
            </w:r>
            <w:r>
              <w:rPr>
                <w:rFonts w:hint="eastAsia"/>
                <w:color w:val="000000" w:themeColor="text1"/>
                <w:sz w:val="24"/>
                <w:lang w:val="en-US" w:eastAsia="zh-CN"/>
                <w14:textFill>
                  <w14:solidFill>
                    <w14:schemeClr w14:val="tx1"/>
                  </w14:solidFill>
                </w14:textFill>
              </w:rPr>
              <w:t>即1.26</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/d；封井水泥用水量均为</w:t>
            </w:r>
            <w:r>
              <w:rPr>
                <w:rFonts w:hint="eastAsia"/>
                <w:color w:val="000000" w:themeColor="text1"/>
                <w:sz w:val="24"/>
                <w:lang w:val="en-US" w:eastAsia="zh-CN"/>
                <w14:textFill>
                  <w14:solidFill>
                    <w14:schemeClr w14:val="tx1"/>
                  </w14:solidFill>
                </w14:textFill>
              </w:rPr>
              <w:t>505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/a（水灰比例1:2），</w:t>
            </w:r>
            <w:r>
              <w:rPr>
                <w:rFonts w:hint="eastAsia"/>
                <w:color w:val="000000" w:themeColor="text1"/>
                <w:sz w:val="24"/>
                <w:lang w:val="en-US" w:eastAsia="zh-CN"/>
                <w14:textFill>
                  <w14:solidFill>
                    <w14:schemeClr w14:val="tx1"/>
                  </w14:solidFill>
                </w14:textFill>
              </w:rPr>
              <w:t>即0.63</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/d；完井后</w:t>
            </w:r>
            <w:r>
              <w:rPr>
                <w:color w:val="000000" w:themeColor="text1"/>
                <w:sz w:val="24"/>
                <w:lang w:eastAsia="zh-CN"/>
                <w14:textFill>
                  <w14:solidFill>
                    <w14:schemeClr w14:val="tx1"/>
                  </w14:solidFill>
                </w14:textFill>
              </w:rPr>
              <w:t>钻具等冲洗水用</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319.5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color w:val="000000" w:themeColor="text1"/>
                <w:sz w:val="24"/>
                <w:lang w:eastAsia="zh-CN"/>
                <w14:textFill>
                  <w14:solidFill>
                    <w14:schemeClr w14:val="tx1"/>
                  </w14:solidFill>
                </w14:textFill>
              </w:rPr>
              <w:t>/单井</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即0.40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w:t>
            </w:r>
            <w:r>
              <w:rPr>
                <w:rFonts w:hint="eastAsia"/>
                <w:color w:val="000000" w:themeColor="text1"/>
                <w:sz w:val="24"/>
                <w:lang w:eastAsia="zh-CN"/>
                <w14:textFill>
                  <w14:solidFill>
                    <w14:schemeClr w14:val="tx1"/>
                  </w14:solidFill>
                </w14:textFill>
              </w:rPr>
              <w:t>勘查所需人员均为</w:t>
            </w:r>
            <w:r>
              <w:rPr>
                <w:rFonts w:hint="eastAsia"/>
                <w:color w:val="000000" w:themeColor="text1"/>
                <w:sz w:val="24"/>
                <w:lang w:val="en-US" w:eastAsia="zh-CN"/>
                <w14:textFill>
                  <w14:solidFill>
                    <w14:schemeClr w14:val="tx1"/>
                  </w14:solidFill>
                </w14:textFill>
              </w:rPr>
              <w:t>40</w:t>
            </w:r>
            <w:r>
              <w:rPr>
                <w:rFonts w:hint="eastAsia"/>
                <w:color w:val="000000" w:themeColor="text1"/>
                <w:sz w:val="24"/>
                <w:lang w:eastAsia="zh-CN"/>
                <w14:textFill>
                  <w14:solidFill>
                    <w14:schemeClr w14:val="tx1"/>
                  </w14:solidFill>
                </w14:textFill>
              </w:rPr>
              <w:t>人，</w:t>
            </w:r>
            <w:r>
              <w:rPr>
                <w:rFonts w:hint="eastAsia"/>
                <w:color w:val="000000" w:themeColor="text1"/>
                <w:sz w:val="24"/>
                <w:lang w:val="en-GB"/>
                <w14:textFill>
                  <w14:solidFill>
                    <w14:schemeClr w14:val="tx1"/>
                  </w14:solidFill>
                </w14:textFill>
              </w:rPr>
              <w:t>参考《内蒙古自治区行业用水定额（2019年版）》中“农村居民”用水定额，本次环评按</w:t>
            </w:r>
            <w:r>
              <w:rPr>
                <w:rFonts w:hint="default" w:ascii="Times New Roman" w:hAnsi="Times New Roman" w:cs="Times New Roman"/>
                <w:color w:val="000000" w:themeColor="text1"/>
                <w:sz w:val="24"/>
                <w:lang w:val="en-GB"/>
                <w14:textFill>
                  <w14:solidFill>
                    <w14:schemeClr w14:val="tx1"/>
                  </w14:solidFill>
                </w14:textFill>
              </w:rPr>
              <w:t>60L/人·d</w:t>
            </w:r>
            <w:r>
              <w:rPr>
                <w:rFonts w:hint="eastAsia"/>
                <w:color w:val="000000" w:themeColor="text1"/>
                <w:sz w:val="24"/>
                <w:lang w:val="en-GB"/>
                <w14:textFill>
                  <w14:solidFill>
                    <w14:schemeClr w14:val="tx1"/>
                  </w14:solidFill>
                </w14:textFill>
              </w:rPr>
              <w:t>计，</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年度项目生活用水量约</w:t>
            </w:r>
            <w:r>
              <w:rPr>
                <w:rFonts w:hint="eastAsia"/>
                <w:color w:val="000000" w:themeColor="text1"/>
                <w:sz w:val="24"/>
                <w:lang w:val="en-US" w:eastAsia="zh-CN"/>
                <w14:textFill>
                  <w14:solidFill>
                    <w14:schemeClr w14:val="tx1"/>
                  </w14:solidFill>
                </w14:textFill>
              </w:rPr>
              <w:t>2.4</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/d（勘查期约为</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eastAsia="zh-CN"/>
                <w14:textFill>
                  <w14:solidFill>
                    <w14:schemeClr w14:val="tx1"/>
                  </w14:solidFill>
                </w14:textFill>
              </w:rPr>
              <w:t>00天，则</w:t>
            </w:r>
            <w:r>
              <w:rPr>
                <w:rFonts w:hint="eastAsia"/>
                <w:color w:val="000000" w:themeColor="text1"/>
                <w:sz w:val="24"/>
                <w:lang w:val="en-US" w:eastAsia="zh-CN"/>
                <w14:textFill>
                  <w14:solidFill>
                    <w14:schemeClr w14:val="tx1"/>
                  </w14:solidFill>
                </w14:textFill>
              </w:rPr>
              <w:t>1920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spacing w:line="360" w:lineRule="auto"/>
              <w:ind w:firstLine="480" w:firstLineChars="200"/>
              <w:rPr>
                <w:rFonts w:hint="eastAsia"/>
                <w:color w:val="000000" w:themeColor="text1"/>
                <w:sz w:val="24"/>
                <w:lang w:val="en-GB"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2022年度用、排水量及水平衡分别见下表6-3和图6-2。</w:t>
            </w:r>
          </w:p>
          <w:p>
            <w:pPr>
              <w:spacing w:line="240" w:lineRule="auto"/>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表6-3  2022年度用、排水量及水平衡表</w:t>
            </w:r>
          </w:p>
          <w:tbl>
            <w:tblPr>
              <w:tblStyle w:val="11"/>
              <w:tblW w:w="494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1"/>
              <w:gridCol w:w="655"/>
              <w:gridCol w:w="1532"/>
              <w:gridCol w:w="1284"/>
              <w:gridCol w:w="1179"/>
              <w:gridCol w:w="1284"/>
              <w:gridCol w:w="1286"/>
              <w:gridCol w:w="15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58"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2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807"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58"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2.4</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2.4</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restar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年工作天数</w:t>
                  </w:r>
                  <w:r>
                    <w:rPr>
                      <w:rFonts w:hint="eastAsia"/>
                      <w:color w:val="000000" w:themeColor="text1"/>
                      <w:szCs w:val="21"/>
                      <w:lang w:val="en-US" w:eastAsia="zh-CN"/>
                      <w14:textFill>
                        <w14:solidFill>
                          <w14:schemeClr w14:val="tx1"/>
                        </w14:solidFill>
                      </w14:textFill>
                    </w:rPr>
                    <w:t>200</w:t>
                  </w:r>
                  <w:r>
                    <w:rPr>
                      <w:color w:val="000000" w:themeColor="text1"/>
                      <w:szCs w:val="21"/>
                      <w14:textFill>
                        <w14:solidFill>
                          <w14:schemeClr w14:val="tx1"/>
                        </w14:solidFill>
                      </w14:textFill>
                    </w:rPr>
                    <w:t>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7" w:type="pct"/>
                  <w:vMerge w:val="restar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施工作业用水</w:t>
                  </w:r>
                </w:p>
              </w:tc>
              <w:tc>
                <w:tcPr>
                  <w:tcW w:w="81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钻井液用水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7.09</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1.03</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6.06</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封井水泥用水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0.40</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0.40</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钻具冲洗用水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0.23</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0.23</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24" w:type="pct"/>
                  <w:gridSpan w:val="3"/>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1282" w:type="dxa"/>
                  <w:tcBorders>
                    <w:tl2br w:val="nil"/>
                    <w:tr2bl w:val="nil"/>
                  </w:tcBorders>
                  <w:vAlign w:val="center"/>
                </w:tcPr>
                <w:p>
                  <w:pPr>
                    <w:contextualSpacing/>
                    <w:jc w:val="center"/>
                    <w:rPr>
                      <w:rFonts w:hint="default" w:ascii="Times New Roman" w:hAnsi="Times New Roman"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t>10.12</w:t>
                  </w:r>
                </w:p>
              </w:tc>
              <w:tc>
                <w:tcPr>
                  <w:tcW w:w="1176" w:type="dxa"/>
                  <w:tcBorders>
                    <w:tl2br w:val="nil"/>
                    <w:tr2bl w:val="nil"/>
                  </w:tcBorders>
                  <w:vAlign w:val="center"/>
                </w:tcPr>
                <w:p>
                  <w:pPr>
                    <w:contextualSpacing/>
                    <w:jc w:val="center"/>
                    <w:rPr>
                      <w:rFonts w:hint="default" w:ascii="Times New Roman" w:hAnsi="Times New Roman"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t>4.06</w:t>
                  </w:r>
                </w:p>
              </w:tc>
              <w:tc>
                <w:tcPr>
                  <w:tcW w:w="1282" w:type="dxa"/>
                  <w:tcBorders>
                    <w:tl2br w:val="nil"/>
                    <w:tr2bl w:val="nil"/>
                  </w:tcBorders>
                  <w:vAlign w:val="center"/>
                </w:tcPr>
                <w:p>
                  <w:pPr>
                    <w:contextualSpacing/>
                    <w:jc w:val="center"/>
                    <w:rPr>
                      <w:rFonts w:hint="default" w:ascii="Times New Roman" w:hAnsi="Times New Roman"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t>6.06</w:t>
                  </w:r>
                </w:p>
              </w:tc>
              <w:tc>
                <w:tcPr>
                  <w:tcW w:w="681" w:type="pct"/>
                  <w:tcBorders>
                    <w:tl2br w:val="nil"/>
                    <w:tr2bl w:val="nil"/>
                  </w:tcBorders>
                  <w:vAlign w:val="center"/>
                </w:tcPr>
                <w:p>
                  <w:pPr>
                    <w:contextualSpacing/>
                    <w:jc w:val="cente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numPr>
                <w:ilvl w:val="0"/>
                <w:numId w:val="0"/>
              </w:numPr>
              <w:spacing w:line="360" w:lineRule="auto"/>
              <w:jc w:val="center"/>
              <w:rPr>
                <w:rFonts w:hint="eastAsia"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object>
                <v:shape id="_x0000_i1026" o:spt="75" type="#_x0000_t75" style="height:198.5pt;width:326.8pt;" o:ole="t" filled="f" o:preferrelative="t" stroked="f" coordsize="21600,21600">
                  <v:path/>
                  <v:fill on="f" focussize="0,0"/>
                  <v:stroke on="f"/>
                  <v:imagedata r:id="rId17" o:title=""/>
                  <o:lock v:ext="edit" aspectratio="f"/>
                  <w10:wrap type="none"/>
                  <w10:anchorlock/>
                </v:shape>
                <o:OLEObject Type="Embed" ProgID="Visio.Drawing.11" ShapeID="_x0000_i1026" DrawAspect="Content" ObjectID="_1468075726" r:id="rId16">
                  <o:LockedField>false</o:LockedField>
                </o:OLEObject>
              </w:objec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图6-2  项目水平衡图（2022年度）  单位：</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2023-2026年度用、排水量及水平衡分别见下表6-4和图6-3。</w:t>
            </w:r>
          </w:p>
          <w:p>
            <w:pPr>
              <w:spacing w:line="240" w:lineRule="auto"/>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表6-4  2023-2026年度用、排水量及水平衡表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1"/>
              <w:gridCol w:w="655"/>
              <w:gridCol w:w="1531"/>
              <w:gridCol w:w="1285"/>
              <w:gridCol w:w="1285"/>
              <w:gridCol w:w="1285"/>
              <w:gridCol w:w="1287"/>
              <w:gridCol w:w="152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45"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798"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45"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kern w:val="2"/>
                      <w:sz w:val="21"/>
                      <w:szCs w:val="21"/>
                      <w:lang w:val="en-US" w:eastAsia="zh-CN" w:bidi="ar-SA"/>
                      <w14:textFill>
                        <w14:solidFill>
                          <w14:schemeClr w14:val="tx1"/>
                        </w14:solidFill>
                      </w14:textFill>
                    </w:rPr>
                    <w:t>2.4</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kern w:val="2"/>
                      <w:sz w:val="21"/>
                      <w:szCs w:val="21"/>
                      <w:lang w:val="en-US" w:eastAsia="zh-CN" w:bidi="ar-SA"/>
                      <w14:textFill>
                        <w14:solidFill>
                          <w14:schemeClr w14:val="tx1"/>
                        </w14:solidFill>
                      </w14:textFill>
                    </w:rPr>
                    <w:t>2.4</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kern w:val="2"/>
                      <w:sz w:val="21"/>
                      <w:szCs w:val="21"/>
                      <w:lang w:val="en-US" w:eastAsia="zh-CN" w:bidi="ar-SA"/>
                      <w14:textFill>
                        <w14:solidFill>
                          <w14:schemeClr w14:val="tx1"/>
                        </w14:solidFill>
                      </w14:textFill>
                    </w:rPr>
                    <w:t>0</w:t>
                  </w:r>
                </w:p>
              </w:tc>
              <w:tc>
                <w:tcPr>
                  <w:tcW w:w="674"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0</w:t>
                  </w:r>
                </w:p>
              </w:tc>
              <w:tc>
                <w:tcPr>
                  <w:tcW w:w="798" w:type="pct"/>
                  <w:vMerge w:val="restar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年工作天数</w:t>
                  </w:r>
                  <w:r>
                    <w:rPr>
                      <w:rFonts w:hint="eastAsia"/>
                      <w:color w:val="000000" w:themeColor="text1"/>
                      <w:szCs w:val="21"/>
                      <w:lang w:val="en-US" w:eastAsia="zh-CN"/>
                      <w14:textFill>
                        <w14:solidFill>
                          <w14:schemeClr w14:val="tx1"/>
                        </w14:solidFill>
                      </w14:textFill>
                    </w:rPr>
                    <w:t>200</w:t>
                  </w:r>
                  <w:r>
                    <w:rPr>
                      <w:color w:val="000000" w:themeColor="text1"/>
                      <w:szCs w:val="21"/>
                      <w14:textFill>
                        <w14:solidFill>
                          <w14:schemeClr w14:val="tx1"/>
                        </w14:solidFill>
                      </w14:textFill>
                    </w:rPr>
                    <w:t>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3" w:type="pct"/>
                  <w:vMerge w:val="restar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施工作业用水</w:t>
                  </w: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钻井液用水</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11.42</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1.66</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9.76</w:t>
                  </w:r>
                </w:p>
              </w:tc>
              <w:tc>
                <w:tcPr>
                  <w:tcW w:w="674" w:type="pc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9"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3"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封井水泥用水</w:t>
                  </w:r>
                </w:p>
              </w:tc>
              <w:tc>
                <w:tcPr>
                  <w:tcW w:w="1282" w:type="dxa"/>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0.63</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0.63</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3"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钻具冲洗用水</w:t>
                  </w:r>
                </w:p>
              </w:tc>
              <w:tc>
                <w:tcPr>
                  <w:tcW w:w="1282" w:type="dxa"/>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0.4</w:t>
                  </w:r>
                  <w:r>
                    <w:rPr>
                      <w:rFonts w:hint="eastAsia" w:cs="Times New Roman"/>
                      <w:color w:val="000000" w:themeColor="text1"/>
                      <w:sz w:val="21"/>
                      <w:szCs w:val="21"/>
                      <w:lang w:val="en-US" w:eastAsia="zh-CN"/>
                      <w14:textFill>
                        <w14:solidFill>
                          <w14:schemeClr w14:val="tx1"/>
                        </w14:solidFill>
                      </w14:textFill>
                    </w:rPr>
                    <w:t>0</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0.4</w:t>
                  </w:r>
                  <w:r>
                    <w:rPr>
                      <w:rFonts w:hint="eastAsia" w:cs="Times New Roman"/>
                      <w:color w:val="000000" w:themeColor="text1"/>
                      <w:sz w:val="21"/>
                      <w:szCs w:val="21"/>
                      <w:lang w:val="en-US" w:eastAsia="zh-CN"/>
                      <w14:textFill>
                        <w14:solidFill>
                          <w14:schemeClr w14:val="tx1"/>
                        </w14:solidFill>
                      </w14:textFill>
                    </w:rPr>
                    <w:t>0</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7" w:type="pct"/>
                  <w:gridSpan w:val="3"/>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128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14.85</w:t>
                  </w:r>
                </w:p>
              </w:tc>
              <w:tc>
                <w:tcPr>
                  <w:tcW w:w="128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5.09</w:t>
                  </w:r>
                </w:p>
              </w:tc>
              <w:tc>
                <w:tcPr>
                  <w:tcW w:w="128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9.76</w:t>
                  </w:r>
                </w:p>
              </w:tc>
              <w:tc>
                <w:tcPr>
                  <w:tcW w:w="674" w:type="pc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pStyle w:val="4"/>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object>
                <v:shape id="_x0000_i1027" o:spt="75" type="#_x0000_t75" style="height:187.1pt;width:345.45pt;" o:ole="t" filled="f" o:preferrelative="t" stroked="f" coordsize="21600,21600">
                  <v:path/>
                  <v:fill on="f" focussize="0,0"/>
                  <v:stroke on="f"/>
                  <v:imagedata r:id="rId19" o:title=""/>
                  <o:lock v:ext="edit" aspectratio="f"/>
                  <w10:wrap type="none"/>
                  <w10:anchorlock/>
                </v:shape>
                <o:OLEObject Type="Embed" ProgID="Visio.Drawing.11" ShapeID="_x0000_i1027" DrawAspect="Content" ObjectID="_1468075727" r:id="rId18">
                  <o:LockedField>false</o:LockedField>
                </o:OLEObject>
              </w:object>
            </w:r>
          </w:p>
          <w:p>
            <w:pPr>
              <w:adjustRightInd w:val="0"/>
              <w:spacing w:line="360" w:lineRule="auto"/>
              <w:jc w:val="center"/>
              <w:textAlignment w:val="baseline"/>
              <w:rPr>
                <w:rFonts w:ascii="Times New Roman" w:hAnsi="Times New Roman" w:cs="Times New Roman"/>
                <w:b/>
                <w:color w:val="000000" w:themeColor="text1"/>
                <w:kern w:val="2"/>
                <w:sz w:val="24"/>
                <w:szCs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图6-3  项目水平衡图（2023-2026年度）  单位：</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adjustRightInd w:val="0"/>
              <w:spacing w:line="360" w:lineRule="auto"/>
              <w:jc w:val="center"/>
              <w:textAlignment w:val="baseline"/>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rFonts w:ascii="Times New Roman" w:hAnsi="Times New Roman" w:cs="Times New Roman"/>
                <w:b/>
                <w:color w:val="000000" w:themeColor="text1"/>
                <w:kern w:val="2"/>
                <w:sz w:val="24"/>
                <w:szCs w:val="24"/>
                <w:lang w:eastAsia="zh-CN"/>
                <w14:textFill>
                  <w14:solidFill>
                    <w14:schemeClr w14:val="tx1"/>
                  </w14:solidFill>
                </w14:textFill>
              </w:rPr>
            </w:pPr>
          </w:p>
          <w:p>
            <w:pPr>
              <w:rPr>
                <w:color w:val="000000" w:themeColor="text1"/>
                <w:lang w:eastAsia="zh-CN"/>
                <w14:textFill>
                  <w14:solidFill>
                    <w14:schemeClr w14:val="tx1"/>
                  </w14:solidFill>
                </w14:textFill>
              </w:rPr>
            </w:pPr>
          </w:p>
          <w:p>
            <w:pPr>
              <w:rPr>
                <w:rFonts w:ascii="Times New Roman" w:hAnsi="Times New Roman" w:cs="Times New Roman"/>
                <w:b/>
                <w:color w:val="000000" w:themeColor="text1"/>
                <w:kern w:val="2"/>
                <w:sz w:val="24"/>
                <w:szCs w:val="24"/>
                <w:lang w:eastAsia="zh-CN"/>
                <w14:textFill>
                  <w14:solidFill>
                    <w14:schemeClr w14:val="tx1"/>
                  </w14:solidFill>
                </w14:textFill>
              </w:rPr>
            </w:pPr>
          </w:p>
          <w:p>
            <w:pPr>
              <w:pStyle w:val="2"/>
              <w:rPr>
                <w:color w:val="000000" w:themeColor="text1"/>
                <w:lang w:eastAsia="zh-CN"/>
                <w14:textFill>
                  <w14:solidFill>
                    <w14:schemeClr w14:val="tx1"/>
                  </w14:solidFill>
                </w14:textFill>
              </w:rPr>
            </w:pPr>
          </w:p>
          <w:p>
            <w:pPr>
              <w:spacing w:line="360" w:lineRule="auto"/>
              <w:jc w:val="center"/>
              <w:rPr>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污染物的产生及治理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钻探平整场地、钻探施工对生态环境产生一定影响；施工作业产生少量施工废水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人员生活污水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施工机械废气及粉尘</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钻孔、发电机等</w:t>
            </w:r>
            <w:r>
              <w:rPr>
                <w:rFonts w:hint="eastAsia"/>
                <w:color w:val="000000" w:themeColor="text1"/>
                <w:sz w:val="24"/>
                <w:lang w:val="en-US" w:eastAsia="zh-CN"/>
                <w14:textFill>
                  <w14:solidFill>
                    <w14:schemeClr w14:val="tx1"/>
                  </w14:solidFill>
                </w14:textFill>
              </w:rPr>
              <w:t>设备运行产生</w:t>
            </w:r>
            <w:r>
              <w:rPr>
                <w:rFonts w:hint="eastAsia"/>
                <w:color w:val="000000" w:themeColor="text1"/>
                <w:sz w:val="24"/>
                <w14:textFill>
                  <w14:solidFill>
                    <w14:schemeClr w14:val="tx1"/>
                  </w14:solidFill>
                </w14:textFill>
              </w:rPr>
              <w:t>噪声。</w:t>
            </w:r>
          </w:p>
          <w:p>
            <w:pPr>
              <w:pStyle w:val="1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rFonts w:hint="eastAsia"/>
                <w:b/>
                <w:bCs/>
                <w:color w:val="000000" w:themeColor="text1"/>
                <w:sz w:val="24"/>
                <w14:textFill>
                  <w14:solidFill>
                    <w14:schemeClr w14:val="tx1"/>
                  </w14:solidFill>
                </w14:textFill>
              </w:rPr>
              <w:t>废气</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（1）钻井柴油机排放的大气污染物</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柴油机产生的燃油废气，主要污染物是颗粒物、SO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X</w:t>
            </w:r>
            <w:r>
              <w:rPr>
                <w:rFonts w:hint="eastAsia"/>
                <w:color w:val="000000" w:themeColor="text1"/>
                <w:sz w:val="24"/>
                <w14:textFill>
                  <w14:solidFill>
                    <w14:schemeClr w14:val="tx1"/>
                  </w14:solidFill>
                </w14:textFill>
              </w:rPr>
              <w:t>、CO、总烃等。根据类比调查，单井每百米进尺平均消耗柴油量360L</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根据工作量核算，</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16</w:t>
            </w:r>
            <w:r>
              <w:rPr>
                <w:rFonts w:hint="eastAsia"/>
                <w:color w:val="000000" w:themeColor="text1"/>
                <w:sz w:val="24"/>
                <w:szCs w:val="24"/>
                <w:lang w:eastAsia="zh-CN"/>
                <w14:textFill>
                  <w14:solidFill>
                    <w14:schemeClr w14:val="tx1"/>
                  </w14:solidFill>
                </w14:textFill>
              </w:rPr>
              <w:t>000m</w:t>
            </w:r>
            <w:r>
              <w:rPr>
                <w:rFonts w:hint="eastAsia"/>
                <w:color w:val="000000" w:themeColor="text1"/>
                <w:sz w:val="24"/>
                <w:szCs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则202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57600L</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3-2026</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101</w:t>
            </w:r>
            <w:r>
              <w:rPr>
                <w:rFonts w:hint="eastAsia"/>
                <w:color w:val="000000" w:themeColor="text1"/>
                <w:sz w:val="24"/>
                <w:szCs w:val="24"/>
                <w:lang w:eastAsia="zh-CN"/>
                <w14:textFill>
                  <w14:solidFill>
                    <w14:schemeClr w14:val="tx1"/>
                  </w14:solidFill>
                </w14:textFill>
              </w:rPr>
              <w:t>000m，则20</w:t>
            </w:r>
            <w:r>
              <w:rPr>
                <w:rFonts w:hint="eastAsia"/>
                <w:color w:val="000000" w:themeColor="text1"/>
                <w:sz w:val="24"/>
                <w:szCs w:val="24"/>
                <w:lang w:val="en-US" w:eastAsia="zh-CN"/>
                <w14:textFill>
                  <w14:solidFill>
                    <w14:schemeClr w14:val="tx1"/>
                  </w14:solidFill>
                </w14:textFill>
              </w:rPr>
              <w:t>23-2026</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363600L</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参照《环境影响评价工程师职业资格登记培训教材—社会区域类环境影响评价》中相关参数估算，柴油机烟气污染物排放量分别为</w:t>
            </w:r>
            <w:r>
              <w:rPr>
                <w:rFonts w:hint="eastAsia"/>
                <w:color w:val="000000" w:themeColor="text1"/>
                <w:sz w:val="24"/>
                <w:lang w:val="en-US" w:eastAsia="zh-CN"/>
                <w14:textFill>
                  <w14:solidFill>
                    <w14:schemeClr w14:val="tx1"/>
                  </w14:solidFill>
                </w14:textFill>
              </w:rPr>
              <w:t>颗粒物</w:t>
            </w:r>
            <w:r>
              <w:rPr>
                <w:rFonts w:hint="eastAsia"/>
                <w:color w:val="000000" w:themeColor="text1"/>
                <w:sz w:val="24"/>
                <w14:textFill>
                  <w14:solidFill>
                    <w14:schemeClr w14:val="tx1"/>
                  </w14:solidFill>
                </w14:textFill>
              </w:rPr>
              <w:t>0.714g/L柴油、SO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4g/L柴油、NOx2.56g/L 柴油、</w:t>
            </w:r>
            <w:r>
              <w:rPr>
                <w:rFonts w:hint="eastAsia"/>
                <w:color w:val="000000" w:themeColor="text1"/>
                <w:sz w:val="24"/>
                <w:lang w:val="en-US" w:eastAsia="zh-CN"/>
                <w14:textFill>
                  <w14:solidFill>
                    <w14:schemeClr w14:val="tx1"/>
                  </w14:solidFill>
                </w14:textFill>
              </w:rPr>
              <w:t>CO1.5</w:t>
            </w:r>
            <w:r>
              <w:rPr>
                <w:rFonts w:hint="eastAsia"/>
                <w:color w:val="000000" w:themeColor="text1"/>
                <w:sz w:val="24"/>
                <w14:textFill>
                  <w14:solidFill>
                    <w14:schemeClr w14:val="tx1"/>
                  </w14:solidFill>
                </w14:textFill>
              </w:rPr>
              <w:t>g/L柴油、</w:t>
            </w:r>
            <w:r>
              <w:rPr>
                <w:rFonts w:hint="eastAsia"/>
                <w:color w:val="000000" w:themeColor="text1"/>
                <w:sz w:val="24"/>
                <w:lang w:val="en-US" w:eastAsia="zh-CN"/>
                <w14:textFill>
                  <w14:solidFill>
                    <w14:schemeClr w14:val="tx1"/>
                  </w14:solidFill>
                </w14:textFill>
              </w:rPr>
              <w:t>总烃1.489</w:t>
            </w:r>
            <w:r>
              <w:rPr>
                <w:rFonts w:hint="eastAsia"/>
                <w:color w:val="000000" w:themeColor="text1"/>
                <w:sz w:val="24"/>
                <w14:textFill>
                  <w14:solidFill>
                    <w14:schemeClr w14:val="tx1"/>
                  </w14:solidFill>
                </w14:textFill>
              </w:rPr>
              <w:t>g/L柴油，</w:t>
            </w:r>
            <w:r>
              <w:rPr>
                <w:rFonts w:hint="eastAsia"/>
                <w:color w:val="000000" w:themeColor="text1"/>
                <w:sz w:val="24"/>
                <w:lang w:val="en-US" w:eastAsia="zh-CN"/>
                <w14:textFill>
                  <w14:solidFill>
                    <w14:schemeClr w14:val="tx1"/>
                  </w14:solidFill>
                </w14:textFill>
              </w:rPr>
              <w:t>污染物排放情况见下表6-5</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表6-</w:t>
            </w:r>
            <w:r>
              <w:rPr>
                <w:rFonts w:hint="eastAsia"/>
                <w:b w:val="0"/>
                <w:bCs w:val="0"/>
                <w:color w:val="000000" w:themeColor="text1"/>
                <w:sz w:val="24"/>
                <w:lang w:val="en-US" w:eastAsia="zh-CN"/>
                <w14:textFill>
                  <w14:solidFill>
                    <w14:schemeClr w14:val="tx1"/>
                  </w14:solidFill>
                </w14:textFill>
              </w:rPr>
              <w:t>5</w:t>
            </w:r>
            <w:r>
              <w:rPr>
                <w:b w:val="0"/>
                <w:bCs w:val="0"/>
                <w:color w:val="000000" w:themeColor="text1"/>
                <w:sz w:val="24"/>
                <w14:textFill>
                  <w14:solidFill>
                    <w14:schemeClr w14:val="tx1"/>
                  </w14:solidFill>
                </w14:textFill>
              </w:rPr>
              <w:t xml:space="preserve">  柴油发电机组污染物</w:t>
            </w:r>
            <w:r>
              <w:rPr>
                <w:rFonts w:hint="eastAsia"/>
                <w:b w:val="0"/>
                <w:bCs w:val="0"/>
                <w:color w:val="000000" w:themeColor="text1"/>
                <w:sz w:val="24"/>
                <w:lang w:val="en-US" w:eastAsia="zh-CN"/>
                <w14:textFill>
                  <w14:solidFill>
                    <w14:schemeClr w14:val="tx1"/>
                  </w14:solidFill>
                </w14:textFill>
              </w:rPr>
              <w:t>情况一览表</w:t>
            </w:r>
          </w:p>
          <w:tbl>
            <w:tblPr>
              <w:tblStyle w:val="11"/>
              <w:tblW w:w="4994"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745"/>
              <w:gridCol w:w="1022"/>
              <w:gridCol w:w="1024"/>
              <w:gridCol w:w="1025"/>
              <w:gridCol w:w="1025"/>
              <w:gridCol w:w="1025"/>
              <w:gridCol w:w="16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项目</w:t>
                  </w:r>
                </w:p>
              </w:tc>
              <w:tc>
                <w:tcPr>
                  <w:tcW w:w="536"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颗粒物</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SO</w:t>
                  </w:r>
                  <w:r>
                    <w:rPr>
                      <w:bCs/>
                      <w:color w:val="000000" w:themeColor="text1"/>
                      <w:szCs w:val="21"/>
                      <w:vertAlign w:val="subscript"/>
                      <w14:textFill>
                        <w14:solidFill>
                          <w14:schemeClr w14:val="tx1"/>
                        </w14:solidFill>
                      </w14:textFill>
                    </w:rPr>
                    <w:t>2</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NOx</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CO</w:t>
                  </w:r>
                </w:p>
              </w:tc>
              <w:tc>
                <w:tcPr>
                  <w:tcW w:w="537" w:type="pct"/>
                  <w:vAlign w:val="center"/>
                </w:tcPr>
                <w:p>
                  <w:pPr>
                    <w:jc w:val="center"/>
                    <w:rPr>
                      <w:rFonts w:hint="eastAsia"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总烃</w:t>
                  </w:r>
                </w:p>
              </w:tc>
              <w:tc>
                <w:tcPr>
                  <w:tcW w:w="873" w:type="pct"/>
                  <w:vMerge w:val="restar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柴油机废气（g/L柴油）</w:t>
                  </w:r>
                </w:p>
              </w:tc>
              <w:tc>
                <w:tcPr>
                  <w:tcW w:w="536"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0.714</w:t>
                  </w:r>
                </w:p>
              </w:tc>
              <w:tc>
                <w:tcPr>
                  <w:tcW w:w="537" w:type="pct"/>
                  <w:vAlign w:val="center"/>
                </w:tcPr>
                <w:p>
                  <w:pPr>
                    <w:jc w:val="center"/>
                    <w:rPr>
                      <w:rFonts w:hint="eastAsia" w:eastAsia="宋体"/>
                      <w:bCs/>
                      <w:color w:val="000000" w:themeColor="text1"/>
                      <w:szCs w:val="21"/>
                      <w:lang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4</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2.56</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1.5</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1.489</w:t>
                  </w:r>
                </w:p>
              </w:tc>
              <w:tc>
                <w:tcPr>
                  <w:tcW w:w="873" w:type="pct"/>
                  <w:vMerge w:val="continue"/>
                  <w:vAlign w:val="center"/>
                </w:tcPr>
                <w:p>
                  <w:pPr>
                    <w:jc w:val="center"/>
                    <w:rPr>
                      <w:bCs/>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202</w:t>
                  </w:r>
                  <w:r>
                    <w:rPr>
                      <w:rFonts w:hint="eastAsia"/>
                      <w:bCs/>
                      <w:color w:val="000000" w:themeColor="text1"/>
                      <w:szCs w:val="21"/>
                      <w:lang w:val="en-US" w:eastAsia="zh-CN"/>
                      <w14:textFill>
                        <w14:solidFill>
                          <w14:schemeClr w14:val="tx1"/>
                        </w14:solidFill>
                      </w14:textFill>
                    </w:rPr>
                    <w:t>2</w:t>
                  </w:r>
                  <w:r>
                    <w:rPr>
                      <w:bCs/>
                      <w:color w:val="000000" w:themeColor="text1"/>
                      <w:szCs w:val="21"/>
                      <w14:textFill>
                        <w14:solidFill>
                          <w14:schemeClr w14:val="tx1"/>
                        </w14:solidFill>
                      </w14:textFill>
                    </w:rPr>
                    <w:t>年总计（t）</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0.041</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0.230</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0.148</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0.086</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0.086</w:t>
                  </w:r>
                </w:p>
              </w:tc>
              <w:tc>
                <w:tcPr>
                  <w:tcW w:w="873" w:type="pct"/>
                  <w:vMerge w:val="restar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eastAsia="宋体"/>
                      <w:color w:val="000000" w:themeColor="text1"/>
                      <w:sz w:val="18"/>
                      <w:szCs w:val="18"/>
                      <w:lang w:val="zh-CN" w:eastAsia="zh-CN"/>
                      <w14:textFill>
                        <w14:solidFill>
                          <w14:schemeClr w14:val="tx1"/>
                        </w14:solidFill>
                      </w14:textFill>
                    </w:rPr>
                    <w:t>单位柴油燃烧产生污染物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202</w:t>
                  </w:r>
                  <w:r>
                    <w:rPr>
                      <w:rFonts w:hint="eastAsia"/>
                      <w:bCs/>
                      <w:color w:val="000000" w:themeColor="text1"/>
                      <w:szCs w:val="21"/>
                      <w:lang w:val="en-US" w:eastAsia="zh-CN"/>
                      <w14:textFill>
                        <w14:solidFill>
                          <w14:schemeClr w14:val="tx1"/>
                        </w14:solidFill>
                      </w14:textFill>
                    </w:rPr>
                    <w:t>3-2026</w:t>
                  </w:r>
                  <w:r>
                    <w:rPr>
                      <w:bCs/>
                      <w:color w:val="000000" w:themeColor="text1"/>
                      <w:szCs w:val="21"/>
                      <w14:textFill>
                        <w14:solidFill>
                          <w14:schemeClr w14:val="tx1"/>
                        </w14:solidFill>
                      </w14:textFill>
                    </w:rPr>
                    <w:t>年总计（t）</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0.260</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1.454</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0.931</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0.545</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0.541</w:t>
                  </w:r>
                </w:p>
              </w:tc>
              <w:tc>
                <w:tcPr>
                  <w:tcW w:w="873" w:type="pct"/>
                  <w:vMerge w:val="continue"/>
                  <w:vAlign w:val="center"/>
                </w:tcPr>
                <w:p>
                  <w:pPr>
                    <w:jc w:val="center"/>
                    <w:rPr>
                      <w:rFonts w:hint="eastAsia" w:eastAsia="宋体"/>
                      <w:color w:val="000000" w:themeColor="text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439"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lang w:val="en-US" w:eastAsia="zh-CN"/>
                      <w14:textFill>
                        <w14:solidFill>
                          <w14:schemeClr w14:val="tx1"/>
                        </w14:solidFill>
                      </w14:textFill>
                    </w:rPr>
                    <w:t>合计</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0.301</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1.685</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1.078</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0.632</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0.627</w:t>
                  </w:r>
                </w:p>
              </w:tc>
              <w:tc>
                <w:tcPr>
                  <w:tcW w:w="873" w:type="pct"/>
                  <w:vMerge w:val="continue"/>
                  <w:vAlign w:val="center"/>
                </w:tcPr>
                <w:p>
                  <w:pPr>
                    <w:jc w:val="center"/>
                    <w:rPr>
                      <w:rFonts w:hint="eastAsia" w:eastAsia="宋体"/>
                      <w:color w:val="000000" w:themeColor="text1"/>
                      <w:szCs w:val="21"/>
                      <w:lang w:val="en-US" w:eastAsia="zh-CN"/>
                      <w14:textFill>
                        <w14:solidFill>
                          <w14:schemeClr w14:val="tx1"/>
                        </w14:solidFill>
                      </w14:textFill>
                    </w:rPr>
                  </w:pPr>
                </w:p>
              </w:tc>
            </w:tr>
          </w:tbl>
          <w:p>
            <w:pPr>
              <w:adjustRightInd w:val="0"/>
              <w:spacing w:line="360" w:lineRule="auto"/>
              <w:ind w:firstLine="480" w:firstLineChars="200"/>
              <w:contextualSpacing/>
              <w:rPr>
                <w:rFonts w:hint="eastAsia" w:eastAsia="宋体"/>
                <w:color w:val="000000" w:themeColor="text1"/>
                <w:sz w:val="24"/>
                <w:szCs w:val="28"/>
                <w:lang w:val="en-US" w:eastAsia="zh-CN"/>
                <w14:textFill>
                  <w14:solidFill>
                    <w14:schemeClr w14:val="tx1"/>
                  </w14:solidFill>
                </w14:textFill>
              </w:rPr>
            </w:pPr>
            <w:r>
              <w:rPr>
                <w:rFonts w:hint="eastAsia"/>
                <w:color w:val="000000" w:themeColor="text1"/>
                <w:sz w:val="24"/>
                <w14:textFill>
                  <w14:solidFill>
                    <w14:schemeClr w14:val="tx1"/>
                  </w14:solidFill>
                </w14:textFill>
              </w:rPr>
              <w:t>单台钻机平均日进尺量约40m，需要的有效钻进天数为15天，钻机每天钻进的有效工作时间为24</w:t>
            </w:r>
            <w:r>
              <w:rPr>
                <w:rFonts w:hint="eastAsia"/>
                <w:color w:val="000000" w:themeColor="text1"/>
                <w:sz w:val="24"/>
                <w:lang w:val="en-US" w:eastAsia="zh-CN"/>
                <w14:textFill>
                  <w14:solidFill>
                    <w14:schemeClr w14:val="tx1"/>
                  </w14:solidFill>
                </w14:textFill>
              </w:rPr>
              <w:t>h</w:t>
            </w:r>
            <w:r>
              <w:rPr>
                <w:rFonts w:hint="eastAsia"/>
                <w:color w:val="000000" w:themeColor="text1"/>
                <w:sz w:val="24"/>
                <w14:textFill>
                  <w14:solidFill>
                    <w14:schemeClr w14:val="tx1"/>
                  </w14:solidFill>
                </w14:textFill>
              </w:rPr>
              <w:t>，则单井钻井工期耗油约2160L。单井施工期内污染物产生总量为：</w:t>
            </w:r>
            <w:r>
              <w:rPr>
                <w:rFonts w:hint="eastAsia"/>
                <w:color w:val="000000" w:themeColor="text1"/>
                <w:sz w:val="24"/>
                <w:szCs w:val="28"/>
                <w14:textFill>
                  <w14:solidFill>
                    <w14:schemeClr w14:val="tx1"/>
                  </w14:solidFill>
                </w14:textFill>
              </w:rPr>
              <w:t>单井施工期内污染物产生总量为：SO</w:t>
            </w:r>
            <w:r>
              <w:rPr>
                <w:rFonts w:hint="eastAsia"/>
                <w:color w:val="000000" w:themeColor="text1"/>
                <w:sz w:val="24"/>
                <w:szCs w:val="28"/>
                <w:vertAlign w:val="subscript"/>
                <w14:textFill>
                  <w14:solidFill>
                    <w14:schemeClr w14:val="tx1"/>
                  </w14:solidFill>
                </w14:textFill>
              </w:rPr>
              <w:t>2</w:t>
            </w:r>
            <w:r>
              <w:rPr>
                <w:rFonts w:hint="eastAsia"/>
                <w:color w:val="000000" w:themeColor="text1"/>
                <w:sz w:val="24"/>
                <w:szCs w:val="28"/>
                <w14:textFill>
                  <w14:solidFill>
                    <w14:schemeClr w14:val="tx1"/>
                  </w14:solidFill>
                </w14:textFill>
              </w:rPr>
              <w:t>排放量8.64kg/单井（即0.024kg/h），排放浓度为66.67mg/m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；NOx排放量5.53kg/单井（即0.015kg/h），排放浓度为41.67mg/m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；颗粒物排放量1.54kg/单井（0.004kg/h），排放浓度为11.11mg/m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CO</w:t>
            </w:r>
            <w:r>
              <w:rPr>
                <w:rFonts w:hint="eastAsia"/>
                <w:color w:val="000000" w:themeColor="text1"/>
                <w:sz w:val="24"/>
                <w:szCs w:val="28"/>
                <w14:textFill>
                  <w14:solidFill>
                    <w14:schemeClr w14:val="tx1"/>
                  </w14:solidFill>
                </w14:textFill>
              </w:rPr>
              <w:t>排放量</w:t>
            </w:r>
            <w:r>
              <w:rPr>
                <w:rFonts w:hint="eastAsia"/>
                <w:color w:val="000000" w:themeColor="text1"/>
                <w:sz w:val="24"/>
                <w:szCs w:val="28"/>
                <w:lang w:val="en-US" w:eastAsia="zh-CN"/>
                <w14:textFill>
                  <w14:solidFill>
                    <w14:schemeClr w14:val="tx1"/>
                  </w14:solidFill>
                </w14:textFill>
              </w:rPr>
              <w:t>3.24</w:t>
            </w:r>
            <w:r>
              <w:rPr>
                <w:rFonts w:hint="eastAsia"/>
                <w:color w:val="000000" w:themeColor="text1"/>
                <w:sz w:val="24"/>
                <w:szCs w:val="28"/>
                <w14:textFill>
                  <w14:solidFill>
                    <w14:schemeClr w14:val="tx1"/>
                  </w14:solidFill>
                </w14:textFill>
              </w:rPr>
              <w:t>kg/单井（0.00</w:t>
            </w:r>
            <w:r>
              <w:rPr>
                <w:rFonts w:hint="eastAsia"/>
                <w:color w:val="000000" w:themeColor="text1"/>
                <w:sz w:val="24"/>
                <w:szCs w:val="28"/>
                <w:lang w:val="en-US" w:eastAsia="zh-CN"/>
                <w14:textFill>
                  <w14:solidFill>
                    <w14:schemeClr w14:val="tx1"/>
                  </w14:solidFill>
                </w14:textFill>
              </w:rPr>
              <w:t>9</w:t>
            </w:r>
            <w:r>
              <w:rPr>
                <w:rFonts w:hint="eastAsia"/>
                <w:color w:val="000000" w:themeColor="text1"/>
                <w:sz w:val="24"/>
                <w:szCs w:val="28"/>
                <w14:textFill>
                  <w14:solidFill>
                    <w14:schemeClr w14:val="tx1"/>
                  </w14:solidFill>
                </w14:textFill>
              </w:rPr>
              <w:t>kg/h），排放浓度为</w:t>
            </w:r>
            <w:r>
              <w:rPr>
                <w:rFonts w:hint="eastAsia"/>
                <w:color w:val="000000" w:themeColor="text1"/>
                <w:sz w:val="24"/>
                <w:szCs w:val="28"/>
                <w:lang w:val="en-US" w:eastAsia="zh-CN"/>
                <w14:textFill>
                  <w14:solidFill>
                    <w14:schemeClr w14:val="tx1"/>
                  </w14:solidFill>
                </w14:textFill>
              </w:rPr>
              <w:t>25</w:t>
            </w:r>
            <w:r>
              <w:rPr>
                <w:rFonts w:hint="eastAsia"/>
                <w:color w:val="000000" w:themeColor="text1"/>
                <w:sz w:val="24"/>
                <w:szCs w:val="28"/>
                <w14:textFill>
                  <w14:solidFill>
                    <w14:schemeClr w14:val="tx1"/>
                  </w14:solidFill>
                </w14:textFill>
              </w:rPr>
              <w:t>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总烃</w:t>
            </w:r>
            <w:r>
              <w:rPr>
                <w:rFonts w:hint="eastAsia"/>
                <w:color w:val="000000" w:themeColor="text1"/>
                <w:sz w:val="24"/>
                <w:szCs w:val="28"/>
                <w14:textFill>
                  <w14:solidFill>
                    <w14:schemeClr w14:val="tx1"/>
                  </w14:solidFill>
                </w14:textFill>
              </w:rPr>
              <w:t>排放量</w:t>
            </w:r>
            <w:r>
              <w:rPr>
                <w:rFonts w:hint="eastAsia"/>
                <w:color w:val="000000" w:themeColor="text1"/>
                <w:sz w:val="24"/>
                <w:szCs w:val="28"/>
                <w:lang w:val="en-US" w:eastAsia="zh-CN"/>
                <w14:textFill>
                  <w14:solidFill>
                    <w14:schemeClr w14:val="tx1"/>
                  </w14:solidFill>
                </w14:textFill>
              </w:rPr>
              <w:t>3.22</w:t>
            </w:r>
            <w:r>
              <w:rPr>
                <w:rFonts w:hint="eastAsia"/>
                <w:color w:val="000000" w:themeColor="text1"/>
                <w:sz w:val="24"/>
                <w:szCs w:val="28"/>
                <w14:textFill>
                  <w14:solidFill>
                    <w14:schemeClr w14:val="tx1"/>
                  </w14:solidFill>
                </w14:textFill>
              </w:rPr>
              <w:t>kg/单井（0.00</w:t>
            </w:r>
            <w:r>
              <w:rPr>
                <w:rFonts w:hint="eastAsia"/>
                <w:color w:val="000000" w:themeColor="text1"/>
                <w:sz w:val="24"/>
                <w:szCs w:val="28"/>
                <w:lang w:val="en-US" w:eastAsia="zh-CN"/>
                <w14:textFill>
                  <w14:solidFill>
                    <w14:schemeClr w14:val="tx1"/>
                  </w14:solidFill>
                </w14:textFill>
              </w:rPr>
              <w:t>9</w:t>
            </w:r>
            <w:r>
              <w:rPr>
                <w:rFonts w:hint="eastAsia"/>
                <w:color w:val="000000" w:themeColor="text1"/>
                <w:sz w:val="24"/>
                <w:szCs w:val="28"/>
                <w14:textFill>
                  <w14:solidFill>
                    <w14:schemeClr w14:val="tx1"/>
                  </w14:solidFill>
                </w14:textFill>
              </w:rPr>
              <w:t>kg/h），排放浓度为</w:t>
            </w:r>
            <w:r>
              <w:rPr>
                <w:rFonts w:hint="eastAsia"/>
                <w:color w:val="000000" w:themeColor="text1"/>
                <w:sz w:val="24"/>
                <w:szCs w:val="28"/>
                <w:lang w:val="en-US" w:eastAsia="zh-CN"/>
                <w14:textFill>
                  <w14:solidFill>
                    <w14:schemeClr w14:val="tx1"/>
                  </w14:solidFill>
                </w14:textFill>
              </w:rPr>
              <w:t>25</w:t>
            </w:r>
            <w:r>
              <w:rPr>
                <w:rFonts w:hint="eastAsia"/>
                <w:color w:val="000000" w:themeColor="text1"/>
                <w:sz w:val="24"/>
                <w:szCs w:val="28"/>
                <w14:textFill>
                  <w14:solidFill>
                    <w14:schemeClr w14:val="tx1"/>
                  </w14:solidFill>
                </w14:textFill>
              </w:rPr>
              <w:t>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vertAlign w:val="baseline"/>
                <w:lang w:eastAsia="zh-CN"/>
                <w14:textFill>
                  <w14:solidFill>
                    <w14:schemeClr w14:val="tx1"/>
                  </w14:solidFill>
                </w14:textFill>
              </w:rPr>
              <w:t>。</w:t>
            </w:r>
          </w:p>
          <w:p>
            <w:pPr>
              <w:adjustRightInd w:val="0"/>
              <w:spacing w:line="360" w:lineRule="auto"/>
              <w:ind w:firstLine="480" w:firstLineChars="200"/>
              <w:contextualSpacing/>
              <w:rPr>
                <w:color w:val="000000" w:themeColor="text1"/>
                <w:kern w:val="0"/>
                <w:sz w:val="24"/>
                <w14:textFill>
                  <w14:solidFill>
                    <w14:schemeClr w14:val="tx1"/>
                  </w14:solidFill>
                </w14:textFill>
              </w:rPr>
            </w:pPr>
            <w:r>
              <w:rPr>
                <w:rFonts w:hint="eastAsia"/>
                <w:color w:val="000000" w:themeColor="text1"/>
                <w:sz w:val="24"/>
                <w14:textFill>
                  <w14:solidFill>
                    <w14:schemeClr w14:val="tx1"/>
                  </w14:solidFill>
                </w14:textFill>
              </w:rPr>
              <w:t>本项目钻井柴油发电机功率为180</w:t>
            </w:r>
            <w:r>
              <w:rPr>
                <w:rFonts w:hint="eastAsia"/>
                <w:color w:val="000000" w:themeColor="text1"/>
                <w:sz w:val="24"/>
                <w:lang w:val="en-US" w:eastAsia="zh-CN"/>
                <w14:textFill>
                  <w14:solidFill>
                    <w14:schemeClr w14:val="tx1"/>
                  </w14:solidFill>
                </w14:textFill>
              </w:rPr>
              <w:t>k</w:t>
            </w:r>
            <w:r>
              <w:rPr>
                <w:rFonts w:hint="eastAsia"/>
                <w:color w:val="000000" w:themeColor="text1"/>
                <w:sz w:val="24"/>
                <w14:textFill>
                  <w14:solidFill>
                    <w14:schemeClr w14:val="tx1"/>
                  </w14:solidFill>
                </w14:textFill>
              </w:rPr>
              <w:t>W，其排放的污染物排放情况见下表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6-</w:t>
            </w:r>
            <w:r>
              <w:rPr>
                <w:rFonts w:hint="eastAsia"/>
                <w:b w:val="0"/>
                <w:bCs w:val="0"/>
                <w:color w:val="000000" w:themeColor="text1"/>
                <w:sz w:val="24"/>
                <w:lang w:val="en-US" w:eastAsia="zh-CN"/>
                <w14:textFill>
                  <w14:solidFill>
                    <w14:schemeClr w14:val="tx1"/>
                  </w14:solidFill>
                </w14:textFill>
              </w:rPr>
              <w:t>6</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 xml:space="preserve"> 燃油废气污染物排污系数</w:t>
            </w:r>
          </w:p>
          <w:tbl>
            <w:tblPr>
              <w:tblStyle w:val="11"/>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130"/>
              <w:gridCol w:w="1777"/>
              <w:gridCol w:w="1315"/>
              <w:gridCol w:w="1315"/>
              <w:gridCol w:w="1315"/>
              <w:gridCol w:w="1363"/>
              <w:gridCol w:w="132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12" w:space="0"/>
                    <w:left w:val="single" w:color="000000" w:sz="12" w:space="0"/>
                    <w:bottom w:val="single" w:color="000000" w:sz="4" w:space="0"/>
                    <w:right w:val="single" w:color="000000" w:sz="4" w:space="0"/>
                  </w:tcBorders>
                  <w:shd w:val="clear" w:color="auto" w:fill="FFFFFF"/>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阶段</w:t>
                  </w:r>
                </w:p>
              </w:tc>
              <w:tc>
                <w:tcPr>
                  <w:tcW w:w="931"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额定净</w:t>
                  </w:r>
                </w:p>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功率</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CO</w:t>
                  </w:r>
                </w:p>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HC</w:t>
                  </w:r>
                </w:p>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position w:val="2"/>
                      <w:sz w:val="21"/>
                      <w:szCs w:val="21"/>
                      <w14:textFill>
                        <w14:solidFill>
                          <w14:schemeClr w14:val="tx1"/>
                        </w14:solidFill>
                      </w14:textFill>
                    </w:rPr>
                    <w:t>NO</w:t>
                  </w:r>
                  <w:r>
                    <w:rPr>
                      <w:bCs/>
                      <w:color w:val="000000" w:themeColor="text1"/>
                      <w:sz w:val="21"/>
                      <w:szCs w:val="21"/>
                      <w:vertAlign w:val="subscript"/>
                      <w14:textFill>
                        <w14:solidFill>
                          <w14:schemeClr w14:val="tx1"/>
                        </w14:solidFill>
                      </w14:textFill>
                    </w:rPr>
                    <w:t>X</w:t>
                  </w:r>
                </w:p>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714"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pacing w:val="2"/>
                      <w:position w:val="2"/>
                      <w:sz w:val="21"/>
                      <w:szCs w:val="21"/>
                      <w14:textFill>
                        <w14:solidFill>
                          <w14:schemeClr w14:val="tx1"/>
                        </w14:solidFill>
                      </w14:textFill>
                    </w:rPr>
                    <w:t>HC+</w:t>
                  </w:r>
                  <w:r>
                    <w:rPr>
                      <w:bCs/>
                      <w:color w:val="000000" w:themeColor="text1"/>
                      <w:spacing w:val="3"/>
                      <w:position w:val="2"/>
                      <w:sz w:val="21"/>
                      <w:szCs w:val="21"/>
                      <w14:textFill>
                        <w14:solidFill>
                          <w14:schemeClr w14:val="tx1"/>
                        </w14:solidFill>
                      </w14:textFill>
                    </w:rPr>
                    <w:t>NO</w:t>
                  </w:r>
                  <w:r>
                    <w:rPr>
                      <w:bCs/>
                      <w:color w:val="000000" w:themeColor="text1"/>
                      <w:spacing w:val="3"/>
                      <w:sz w:val="21"/>
                      <w:szCs w:val="21"/>
                      <w:vertAlign w:val="subscript"/>
                      <w14:textFill>
                        <w14:solidFill>
                          <w14:schemeClr w14:val="tx1"/>
                        </w14:solidFill>
                      </w14:textFill>
                    </w:rPr>
                    <w:t>X</w:t>
                  </w:r>
                </w:p>
                <w:p>
                  <w:pPr>
                    <w:pStyle w:val="17"/>
                    <w:adjustRightInd/>
                    <w:jc w:val="center"/>
                    <w:rPr>
                      <w:bCs/>
                      <w:color w:val="000000" w:themeColor="text1"/>
                      <w:sz w:val="21"/>
                      <w:szCs w:val="21"/>
                      <w14:textFill>
                        <w14:solidFill>
                          <w14:schemeClr w14:val="tx1"/>
                        </w14:solidFill>
                      </w14:textFill>
                    </w:rPr>
                  </w:pPr>
                  <w:r>
                    <w:rPr>
                      <w:bCs/>
                      <w:color w:val="000000" w:themeColor="text1"/>
                      <w:spacing w:val="4"/>
                      <w:sz w:val="21"/>
                      <w:szCs w:val="21"/>
                      <w14:textFill>
                        <w14:solidFill>
                          <w14:schemeClr w14:val="tx1"/>
                        </w14:solidFill>
                      </w14:textFill>
                    </w:rPr>
                    <w:t>（g/kWh）</w:t>
                  </w:r>
                </w:p>
              </w:tc>
              <w:tc>
                <w:tcPr>
                  <w:tcW w:w="696" w:type="pct"/>
                  <w:tcBorders>
                    <w:top w:val="single" w:color="000000" w:sz="12" w:space="0"/>
                    <w:left w:val="single" w:color="000000" w:sz="4" w:space="0"/>
                    <w:bottom w:val="single" w:color="000000" w:sz="4" w:space="0"/>
                    <w:right w:val="single" w:color="000000" w:sz="12" w:space="0"/>
                  </w:tcBorders>
                  <w:shd w:val="clear" w:color="auto" w:fill="FFFFFF"/>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PM</w:t>
                  </w:r>
                </w:p>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本项目</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180kW</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0.08</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0.13</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第三阶段</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4.0</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12"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第四阶段</w:t>
                  </w:r>
                </w:p>
              </w:tc>
              <w:tc>
                <w:tcPr>
                  <w:tcW w:w="931" w:type="pct"/>
                  <w:tcBorders>
                    <w:top w:val="single" w:color="000000" w:sz="4" w:space="0"/>
                    <w:left w:val="single" w:color="000000" w:sz="4" w:space="0"/>
                    <w:bottom w:val="single" w:color="000000" w:sz="12"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0.19</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2.0</w:t>
                  </w:r>
                </w:p>
              </w:tc>
              <w:tc>
                <w:tcPr>
                  <w:tcW w:w="714" w:type="pct"/>
                  <w:tcBorders>
                    <w:top w:val="single" w:color="000000" w:sz="4" w:space="0"/>
                    <w:left w:val="single" w:color="000000" w:sz="4" w:space="0"/>
                    <w:bottom w:val="single" w:color="000000" w:sz="12" w:space="0"/>
                    <w:right w:val="single" w:color="000000" w:sz="4"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96" w:type="pct"/>
                  <w:tcBorders>
                    <w:top w:val="single" w:color="000000" w:sz="4" w:space="0"/>
                    <w:left w:val="single" w:color="000000" w:sz="4" w:space="0"/>
                    <w:bottom w:val="single" w:color="000000" w:sz="12" w:space="0"/>
                    <w:right w:val="single" w:color="000000" w:sz="12" w:space="0"/>
                  </w:tcBorders>
                  <w:vAlign w:val="center"/>
                </w:tcPr>
                <w:p>
                  <w:pPr>
                    <w:pStyle w:val="1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0.025</w:t>
                  </w:r>
                </w:p>
              </w:tc>
            </w:tr>
          </w:tbl>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根据分析，</w:t>
            </w:r>
            <w:r>
              <w:rPr>
                <w:rFonts w:hint="eastAsia"/>
                <w:color w:val="000000" w:themeColor="text1"/>
                <w:sz w:val="24"/>
                <w:lang w:val="en-US" w:eastAsia="zh-CN"/>
                <w14:textFill>
                  <w14:solidFill>
                    <w14:schemeClr w14:val="tx1"/>
                  </w14:solidFill>
                </w14:textFill>
              </w:rPr>
              <w:t>本项目柴油发电机</w:t>
            </w:r>
            <w:r>
              <w:rPr>
                <w:rFonts w:hint="eastAsia"/>
                <w:color w:val="000000" w:themeColor="text1"/>
                <w:sz w:val="24"/>
                <w14:textFill>
                  <w14:solidFill>
                    <w14:schemeClr w14:val="tx1"/>
                  </w14:solidFill>
                </w14:textFill>
              </w:rPr>
              <w:t>满足《非道路移动机械用柴油机排气污染物排放限值及测量方法</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中国第三、四阶段）》（</w:t>
            </w:r>
            <w:r>
              <w:rPr>
                <w:color w:val="000000" w:themeColor="text1"/>
                <w:sz w:val="24"/>
                <w14:textFill>
                  <w14:solidFill>
                    <w14:schemeClr w14:val="tx1"/>
                  </w14:solidFill>
                </w14:textFill>
              </w:rPr>
              <w:t>GB20891-2014</w:t>
            </w:r>
            <w:r>
              <w:rPr>
                <w:rFonts w:hint="eastAsia"/>
                <w:color w:val="000000" w:themeColor="text1"/>
                <w:sz w:val="24"/>
                <w14:textFill>
                  <w14:solidFill>
                    <w14:schemeClr w14:val="tx1"/>
                  </w14:solidFill>
                </w14:textFill>
              </w:rPr>
              <w:t>）及其修改单中第三阶段及第四阶段的要求。评价要求建设单位生产过程中配备先进高效机械设备，并按时保养。</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（2）施工扬尘</w:t>
            </w:r>
          </w:p>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施工扬尘主要产生在钻前场地平整、开挖以及场地恢复时，将对施工场地附近的环境空气质量造成一定的影响，会使空气能见度有所降低，</w:t>
            </w:r>
            <w:r>
              <w:rPr>
                <w:color w:val="000000" w:themeColor="text1"/>
                <w:sz w:val="24"/>
                <w14:textFill>
                  <w14:solidFill>
                    <w14:schemeClr w14:val="tx1"/>
                  </w14:solidFill>
                </w14:textFill>
              </w:rPr>
              <w:t>会造成局部地段降尘量增多</w:t>
            </w:r>
            <w:r>
              <w:rPr>
                <w:rFonts w:hint="eastAsia"/>
                <w:color w:val="000000" w:themeColor="text1"/>
                <w:sz w:val="24"/>
                <w14:textFill>
                  <w14:solidFill>
                    <w14:schemeClr w14:val="tx1"/>
                  </w14:solidFill>
                </w14:textFill>
              </w:rPr>
              <w:t>，对施工场地附近的人群工作生活带来不便。若遇上刮风天气因施工挖动的土石方等更易造成扬尘而加重对施工地段环境空气的污染。</w:t>
            </w:r>
            <w:r>
              <w:rPr>
                <w:color w:val="000000" w:themeColor="text1"/>
                <w:sz w:val="24"/>
                <w14:textFill>
                  <w14:solidFill>
                    <w14:schemeClr w14:val="tx1"/>
                  </w14:solidFill>
                </w14:textFill>
              </w:rPr>
              <w:t>但这种</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是局部的、短期的，工程完成后这种影响</w:t>
            </w:r>
            <w:r>
              <w:rPr>
                <w:rFonts w:hint="eastAsia"/>
                <w:color w:val="000000" w:themeColor="text1"/>
                <w:sz w:val="24"/>
                <w14:textFill>
                  <w14:solidFill>
                    <w14:schemeClr w14:val="tx1"/>
                  </w14:solidFill>
                </w14:textFill>
              </w:rPr>
              <w:t>将</w:t>
            </w:r>
            <w:r>
              <w:rPr>
                <w:color w:val="000000" w:themeColor="text1"/>
                <w:sz w:val="24"/>
                <w14:textFill>
                  <w14:solidFill>
                    <w14:schemeClr w14:val="tx1"/>
                  </w14:solidFill>
                </w14:textFill>
              </w:rPr>
              <w:t>消失。</w:t>
            </w:r>
          </w:p>
          <w:p>
            <w:pPr>
              <w:pStyle w:val="18"/>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废</w:t>
            </w:r>
            <w:r>
              <w:rPr>
                <w:rFonts w:hint="eastAsia"/>
                <w:b/>
                <w:bCs/>
                <w:color w:val="000000" w:themeColor="text1"/>
                <w:sz w:val="24"/>
                <w:lang w:val="en-US" w:eastAsia="zh-CN"/>
                <w14:textFill>
                  <w14:solidFill>
                    <w14:schemeClr w14:val="tx1"/>
                  </w14:solidFill>
                </w14:textFill>
              </w:rPr>
              <w:t>水</w:t>
            </w:r>
          </w:p>
          <w:p>
            <w:pPr>
              <w:spacing w:line="360" w:lineRule="auto"/>
              <w:ind w:firstLine="480" w:firstLineChars="200"/>
              <w:rPr>
                <w:rFonts w:hint="eastAsia"/>
                <w:color w:val="000000" w:themeColor="text1"/>
                <w:kern w:val="2"/>
                <w:sz w:val="24"/>
                <w:szCs w:val="28"/>
                <w:lang w:eastAsia="zh-CN" w:bidi="ar-SA"/>
                <w14:textFill>
                  <w14:solidFill>
                    <w14:schemeClr w14:val="tx1"/>
                  </w14:solidFill>
                </w14:textFill>
              </w:rPr>
            </w:pPr>
            <w:r>
              <w:rPr>
                <w:rFonts w:hint="eastAsia"/>
                <w:color w:val="000000" w:themeColor="text1"/>
                <w:sz w:val="24"/>
                <w:szCs w:val="28"/>
                <w:lang w:eastAsia="zh-CN"/>
                <w14:textFill>
                  <w14:solidFill>
                    <w14:schemeClr w14:val="tx1"/>
                  </w14:solidFill>
                </w14:textFill>
              </w:rPr>
              <w:t>项目勘查期间的废水</w:t>
            </w:r>
            <w:r>
              <w:rPr>
                <w:rFonts w:ascii="Times New Roman" w:hAnsi="Times New Roman" w:cs="Times New Roman"/>
                <w:color w:val="000000" w:themeColor="text1"/>
                <w:sz w:val="24"/>
                <w:lang w:eastAsia="zh-CN"/>
                <w14:textFill>
                  <w14:solidFill>
                    <w14:schemeClr w14:val="tx1"/>
                  </w14:solidFill>
                </w14:textFill>
              </w:rPr>
              <w:t>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r>
              <w:rPr>
                <w:rFonts w:hint="eastAsia" w:ascii="Times New Roman" w:hAnsi="Times New Roman" w:cs="Times New Roman"/>
                <w:color w:val="000000" w:themeColor="text1"/>
                <w:sz w:val="24"/>
                <w:szCs w:val="24"/>
                <w:lang w:eastAsia="zh-CN"/>
                <w14:textFill>
                  <w14:solidFill>
                    <w14:schemeClr w14:val="tx1"/>
                  </w14:solidFill>
                </w14:textFill>
              </w:rPr>
              <w:t>生活污水水质较为简单，未经处理的生活污水中</w:t>
            </w:r>
            <w:r>
              <w:rPr>
                <w:rFonts w:ascii="Times New Roman" w:hAnsi="Times New Roman" w:cs="Times New Roman"/>
                <w:color w:val="000000" w:themeColor="text1"/>
                <w:sz w:val="24"/>
                <w:szCs w:val="24"/>
                <w:lang w:eastAsia="zh-CN"/>
                <w14:textFill>
                  <w14:solidFill>
                    <w14:schemeClr w14:val="tx1"/>
                  </w14:solidFill>
                </w14:textFill>
              </w:rPr>
              <w:t>COD</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250~500mg/L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BOD</w:t>
            </w:r>
            <w:r>
              <w:rPr>
                <w:rFonts w:hint="eastAsia" w:ascii="Times New Roman" w:hAnsi="Times New Roman" w:cs="Times New Roman"/>
                <w:color w:val="000000" w:themeColor="text1"/>
                <w:sz w:val="24"/>
                <w:szCs w:val="24"/>
                <w:vertAlign w:val="subscript"/>
                <w:lang w:eastAsia="zh-CN"/>
                <w14:textFill>
                  <w14:solidFill>
                    <w14:schemeClr w14:val="tx1"/>
                  </w14:solidFill>
                </w14:textFill>
              </w:rPr>
              <w:t>5</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200~300mg/L</w:t>
            </w:r>
            <w:r>
              <w:rPr>
                <w:rFonts w:hint="eastAsia" w:ascii="Times New Roman" w:hAnsi="Times New Roman" w:cs="Times New Roman"/>
                <w:color w:val="000000" w:themeColor="text1"/>
                <w:sz w:val="24"/>
                <w:szCs w:val="24"/>
                <w:lang w:eastAsia="zh-CN"/>
                <w14:textFill>
                  <w14:solidFill>
                    <w14:schemeClr w14:val="tx1"/>
                  </w14:solidFill>
                </w14:textFill>
              </w:rPr>
              <w:t>，氨氮浓度为</w:t>
            </w:r>
            <w:r>
              <w:rPr>
                <w:rFonts w:ascii="Times New Roman" w:hAnsi="Times New Roman" w:cs="Times New Roman"/>
                <w:color w:val="000000" w:themeColor="text1"/>
                <w:sz w:val="24"/>
                <w:szCs w:val="24"/>
                <w:lang w:eastAsia="zh-CN"/>
                <w14:textFill>
                  <w14:solidFill>
                    <w14:schemeClr w14:val="tx1"/>
                  </w14:solidFill>
                </w14:textFill>
              </w:rPr>
              <w:t>25~40mg/L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SS</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100~200mg/L</w:t>
            </w:r>
            <w:r>
              <w:rPr>
                <w:rFonts w:hint="eastAsia" w:ascii="Times New Roman" w:hAnsi="Times New Roman" w:cs="Times New Roman"/>
                <w:color w:val="000000" w:themeColor="text1"/>
                <w:sz w:val="24"/>
                <w:szCs w:val="24"/>
                <w:lang w:eastAsia="zh-CN"/>
                <w14:textFill>
                  <w14:solidFill>
                    <w14:schemeClr w14:val="tx1"/>
                  </w14:solidFill>
                </w14:textFill>
              </w:rPr>
              <w:t>（引自《废水工程处理及回用（第四版）》）。根据类比调查，确定本项目的生活污水水质情况为：</w:t>
            </w:r>
            <w:r>
              <w:rPr>
                <w:rFonts w:ascii="Times New Roman" w:hAnsi="Times New Roman" w:cs="Times New Roman"/>
                <w:color w:val="000000" w:themeColor="text1"/>
                <w:sz w:val="24"/>
                <w:szCs w:val="24"/>
                <w:lang w:eastAsia="zh-CN"/>
                <w14:textFill>
                  <w14:solidFill>
                    <w14:schemeClr w14:val="tx1"/>
                  </w14:solidFill>
                </w14:textFill>
              </w:rPr>
              <w:t>COD</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3</w:t>
            </w:r>
            <w:r>
              <w:rPr>
                <w:rFonts w:hint="eastAsia" w:ascii="Times New Roman" w:hAnsi="Times New Roman" w:cs="Times New Roman"/>
                <w:color w:val="000000" w:themeColor="text1"/>
                <w:sz w:val="24"/>
                <w:szCs w:val="24"/>
                <w:lang w:eastAsia="zh-CN"/>
                <w14:textFill>
                  <w14:solidFill>
                    <w14:schemeClr w14:val="tx1"/>
                  </w14:solidFill>
                </w14:textFill>
              </w:rPr>
              <w:t>5</w:t>
            </w:r>
            <w:r>
              <w:rPr>
                <w:rFonts w:ascii="Times New Roman" w:hAnsi="Times New Roman" w:cs="Times New Roman"/>
                <w:color w:val="000000" w:themeColor="text1"/>
                <w:sz w:val="24"/>
                <w:szCs w:val="24"/>
                <w:lang w:eastAsia="zh-CN"/>
                <w14:textFill>
                  <w14:solidFill>
                    <w14:schemeClr w14:val="tx1"/>
                  </w14:solidFill>
                </w14:textFill>
              </w:rPr>
              <w:t>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BOD</w:t>
            </w:r>
            <w:r>
              <w:rPr>
                <w:rFonts w:ascii="Times New Roman" w:hAnsi="Times New Roman" w:cs="Times New Roman"/>
                <w:color w:val="000000" w:themeColor="text1"/>
                <w:sz w:val="24"/>
                <w:szCs w:val="24"/>
                <w:vertAlign w:val="subscript"/>
                <w:lang w:eastAsia="zh-CN"/>
                <w14:textFill>
                  <w14:solidFill>
                    <w14:schemeClr w14:val="tx1"/>
                  </w14:solidFill>
                </w14:textFill>
              </w:rPr>
              <w:t>5</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2</w:t>
            </w:r>
            <w:r>
              <w:rPr>
                <w:rFonts w:hint="eastAsia" w:ascii="Times New Roman" w:hAnsi="Times New Roman" w:cs="Times New Roman"/>
                <w:color w:val="000000" w:themeColor="text1"/>
                <w:sz w:val="24"/>
                <w:szCs w:val="24"/>
                <w:lang w:eastAsia="zh-CN"/>
                <w14:textFill>
                  <w14:solidFill>
                    <w14:schemeClr w14:val="tx1"/>
                  </w14:solidFill>
                </w14:textFill>
              </w:rPr>
              <w:t>5</w:t>
            </w:r>
            <w:r>
              <w:rPr>
                <w:rFonts w:ascii="Times New Roman" w:hAnsi="Times New Roman" w:cs="Times New Roman"/>
                <w:color w:val="000000" w:themeColor="text1"/>
                <w:sz w:val="24"/>
                <w:szCs w:val="24"/>
                <w:lang w:eastAsia="zh-CN"/>
                <w14:textFill>
                  <w14:solidFill>
                    <w14:schemeClr w14:val="tx1"/>
                  </w14:solidFill>
                </w14:textFill>
              </w:rPr>
              <w:t>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NH</w:t>
            </w:r>
            <w:r>
              <w:rPr>
                <w:rFonts w:ascii="Times New Roman" w:hAnsi="Times New Roman" w:cs="Times New Roman"/>
                <w:color w:val="000000" w:themeColor="text1"/>
                <w:sz w:val="24"/>
                <w:szCs w:val="24"/>
                <w:vertAlign w:val="subscript"/>
                <w:lang w:eastAsia="zh-CN"/>
                <w14:textFill>
                  <w14:solidFill>
                    <w14:schemeClr w14:val="tx1"/>
                  </w14:solidFill>
                </w14:textFill>
              </w:rPr>
              <w:t>3</w:t>
            </w:r>
            <w:r>
              <w:rPr>
                <w:rFonts w:ascii="Times New Roman" w:hAnsi="Times New Roman" w:cs="Times New Roman"/>
                <w:color w:val="000000" w:themeColor="text1"/>
                <w:sz w:val="24"/>
                <w:szCs w:val="24"/>
                <w:lang w:eastAsia="zh-CN"/>
                <w14:textFill>
                  <w14:solidFill>
                    <w14:schemeClr w14:val="tx1"/>
                  </w14:solidFill>
                </w14:textFill>
              </w:rPr>
              <w:t>-N</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30mg/L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SS</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150mg/L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color w:val="000000" w:themeColor="text1"/>
                <w:kern w:val="2"/>
                <w:sz w:val="24"/>
                <w:szCs w:val="28"/>
                <w:lang w:eastAsia="zh-CN" w:bidi="ar-SA"/>
                <w14:textFill>
                  <w14:solidFill>
                    <w14:schemeClr w14:val="tx1"/>
                  </w14:solidFill>
                </w14:textFill>
              </w:rPr>
              <w:t>项目部依托村庄现有旱厕收集生活粪便，生活洗漱污水用于抑尘；钻探施工区生活区设旱厕，生活洗漱污水用于抑尘；全部利用，不外排。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pStyle w:val="18"/>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3、噪声</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勘查过程中，机械噪声会对周边环境产生影响，固定性声源主要有钻探机组、柴油发电机、泥浆泵、除砂器及泥浆搅拌机，噪声级一般65～9</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dB（A）；流动性声源主要指运输车辆，噪声级一般65～75dB（A）。</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主要噪声源声级及噪声控制措施列于表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表6</w:t>
            </w:r>
            <w:r>
              <w:rPr>
                <w:b w:val="0"/>
                <w:bCs w:val="0"/>
                <w:color w:val="000000" w:themeColor="text1"/>
                <w:sz w:val="24"/>
                <w14:textFill>
                  <w14:solidFill>
                    <w14:schemeClr w14:val="tx1"/>
                  </w14:solidFill>
                </w14:textFill>
              </w:rPr>
              <w:t>-</w:t>
            </w:r>
            <w:r>
              <w:rPr>
                <w:rFonts w:hint="eastAsia"/>
                <w:b w:val="0"/>
                <w:bCs w:val="0"/>
                <w:color w:val="000000" w:themeColor="text1"/>
                <w:sz w:val="24"/>
                <w:lang w:val="en-US" w:eastAsia="zh-CN"/>
                <w14:textFill>
                  <w14:solidFill>
                    <w14:schemeClr w14:val="tx1"/>
                  </w14:solidFill>
                </w14:textFill>
              </w:rPr>
              <w:t>7</w:t>
            </w:r>
            <w:r>
              <w:rPr>
                <w:rFonts w:hint="eastAsia"/>
                <w:b w:val="0"/>
                <w:bCs w:val="0"/>
                <w:color w:val="000000" w:themeColor="text1"/>
                <w:sz w:val="24"/>
                <w14:textFill>
                  <w14:solidFill>
                    <w14:schemeClr w14:val="tx1"/>
                  </w14:solidFill>
                </w14:textFill>
              </w:rPr>
              <w:t xml:space="preserve">  </w:t>
            </w:r>
            <w:r>
              <w:rPr>
                <w:rFonts w:hint="eastAsia"/>
                <w:b w:val="0"/>
                <w:bCs w:val="0"/>
                <w:color w:val="000000" w:themeColor="text1"/>
                <w:sz w:val="24"/>
                <w:lang w:val="en-GB" w:eastAsia="zh-CN"/>
                <w14:textFill>
                  <w14:solidFill>
                    <w14:schemeClr w14:val="tx1"/>
                  </w14:solidFill>
                </w14:textFill>
              </w:rPr>
              <w:t>主要噪声源声级及噪声控制措施表</w:t>
            </w:r>
          </w:p>
          <w:tbl>
            <w:tblPr>
              <w:tblStyle w:val="1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82"/>
              <w:gridCol w:w="2383"/>
              <w:gridCol w:w="2387"/>
              <w:gridCol w:w="2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分类</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噪声源</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控制措施</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噪声级</w:t>
                  </w:r>
                  <w:r>
                    <w:rPr>
                      <w:rFonts w:hint="default" w:ascii="Times New Roman" w:hAnsi="Times New Roman" w:cs="Times New Roman"/>
                      <w:color w:val="000000" w:themeColor="text1"/>
                      <w:kern w:val="2"/>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restar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固定声源</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钻探机组</w:t>
                  </w:r>
                </w:p>
              </w:tc>
              <w:tc>
                <w:tcPr>
                  <w:tcW w:w="1251" w:type="pct"/>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柴油发电机</w:t>
                  </w:r>
                </w:p>
              </w:tc>
              <w:tc>
                <w:tcPr>
                  <w:tcW w:w="1251" w:type="pct"/>
                </w:tcPr>
                <w:p>
                  <w:pPr>
                    <w:pStyle w:val="16"/>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自带消音装置、减振</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泥浆泵</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除砂器</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泥浆搅拌机</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w:t>
                  </w:r>
                </w:p>
              </w:tc>
              <w:tc>
                <w:tcPr>
                  <w:tcW w:w="1251" w:type="pct"/>
                  <w:vAlign w:val="center"/>
                </w:tcPr>
                <w:p>
                  <w:pPr>
                    <w:pStyle w:val="2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流动声源</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运输车辆</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减速慢行</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65～75</w:t>
                  </w:r>
                </w:p>
              </w:tc>
            </w:tr>
          </w:tbl>
          <w:p>
            <w:pPr>
              <w:pStyle w:val="1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4、</w:t>
            </w:r>
            <w:r>
              <w:rPr>
                <w:rFonts w:hint="eastAsia"/>
                <w:b/>
                <w:bCs/>
                <w:color w:val="000000" w:themeColor="text1"/>
                <w:sz w:val="24"/>
                <w14:textFill>
                  <w14:solidFill>
                    <w14:schemeClr w14:val="tx1"/>
                  </w14:solidFill>
                </w14:textFill>
              </w:rPr>
              <w:t>固体废物</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（1）钻井泥浆</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废弃泥浆一般指钻井结束后无法再利用的泥浆，是钻井过程中产生的一种液态细腻胶状物，包含钻井液、钻孔内取芯后带出来的细小岩屑，失水后会变成固态物。</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本项目整个勘查过程中的钻井泥浆是循环使用的，在钻井机台设置沉淀池、泥浆循环池及泥浆坑，各池体及坑体均做</w:t>
            </w:r>
            <w:r>
              <w:rPr>
                <w:rFonts w:ascii="Times New Roman" w:hAnsi="Times New Roman" w:cs="Times New Roman"/>
                <w:b w:val="0"/>
                <w:bCs/>
                <w:color w:val="000000" w:themeColor="text1"/>
                <w:sz w:val="24"/>
                <w:szCs w:val="24"/>
                <w:lang w:eastAsia="zh-CN" w:bidi="ar"/>
                <w14:textFill>
                  <w14:solidFill>
                    <w14:schemeClr w14:val="tx1"/>
                  </w14:solidFill>
                </w14:textFill>
              </w:rPr>
              <w:t>HDPE</w:t>
            </w:r>
            <w:r>
              <w:rPr>
                <w:rFonts w:hint="eastAsia"/>
                <w:color w:val="000000" w:themeColor="text1"/>
                <w:sz w:val="24"/>
                <w:szCs w:val="24"/>
                <w:lang w:eastAsia="zh-CN" w:bidi="ar"/>
                <w14:textFill>
                  <w14:solidFill>
                    <w14:schemeClr w14:val="tx1"/>
                  </w14:solidFill>
                </w14:textFill>
              </w:rPr>
              <w:t>膜防渗、防溢处理，并在施工区机台至个泥浆设施之间设置泥浆导流槽，流道平整，保障泥浆不外溢。钻探过程中的泥浆及封孔泥浆从钻孔涌出排入泥浆循环池回用于钻探，单个钻孔的泥浆坑尺寸为</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4</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b w:val="0"/>
                <w:bCs w:val="0"/>
                <w:color w:val="000000" w:themeColor="text1"/>
                <w:sz w:val="24"/>
                <w:szCs w:val="24"/>
                <w:lang w:eastAsia="zh-CN" w:bidi="ar"/>
                <w14:textFill>
                  <w14:solidFill>
                    <w14:schemeClr w14:val="tx1"/>
                  </w14:solidFill>
                </w14:textFill>
              </w:rPr>
              <w:t>×</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2</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b w:val="0"/>
                <w:bCs w:val="0"/>
                <w:color w:val="000000" w:themeColor="text1"/>
                <w:sz w:val="24"/>
                <w:szCs w:val="24"/>
                <w:lang w:eastAsia="zh-CN" w:bidi="ar"/>
                <w14:textFill>
                  <w14:solidFill>
                    <w14:schemeClr w14:val="tx1"/>
                  </w14:solidFill>
                </w14:textFill>
              </w:rPr>
              <w:t>×</w:t>
            </w:r>
            <w:r>
              <w:rPr>
                <w:rFonts w:ascii="Times New Roman" w:hAnsi="Times New Roman" w:cs="Times New Roman"/>
                <w:b w:val="0"/>
                <w:bCs w:val="0"/>
                <w:color w:val="000000" w:themeColor="text1"/>
                <w:sz w:val="24"/>
                <w:szCs w:val="24"/>
                <w:lang w:eastAsia="zh-CN" w:bidi="ar"/>
                <w14:textFill>
                  <w14:solidFill>
                    <w14:schemeClr w14:val="tx1"/>
                  </w14:solidFill>
                </w14:textFill>
              </w:rPr>
              <w:t>1.</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4</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color w:val="000000" w:themeColor="text1"/>
                <w:sz w:val="24"/>
                <w:szCs w:val="24"/>
                <w:lang w:eastAsia="zh-CN" w:bidi="ar"/>
                <w14:textFill>
                  <w14:solidFill>
                    <w14:schemeClr w14:val="tx1"/>
                  </w14:solidFill>
                </w14:textFill>
              </w:rPr>
              <w:t>，待施工结束后，将集中泥浆坑的泥浆蒸发脱水，最终覆土掩埋，恢复植被。</w:t>
            </w:r>
          </w:p>
          <w:p>
            <w:pPr>
              <w:spacing w:line="360" w:lineRule="auto"/>
              <w:ind w:firstLine="480" w:firstLineChars="200"/>
              <w:jc w:val="both"/>
              <w:rPr>
                <w:rFonts w:hint="eastAsia"/>
                <w:color w:val="000000" w:themeColor="text1"/>
                <w:sz w:val="24"/>
                <w14:textFill>
                  <w14:solidFill>
                    <w14:schemeClr w14:val="tx1"/>
                  </w14:solidFill>
                </w14:textFill>
              </w:rPr>
            </w:pPr>
            <w:r>
              <w:rPr>
                <w:color w:val="000000" w:themeColor="text1"/>
                <w:sz w:val="24"/>
                <w:lang w:eastAsia="zh-CN"/>
                <w14:textFill>
                  <w14:solidFill>
                    <w14:schemeClr w14:val="tx1"/>
                  </w14:solidFill>
                </w14:textFill>
              </w:rPr>
              <w:t>本项目钻孔平均孔径约</w:t>
            </w:r>
            <w:r>
              <w:rPr>
                <w:rFonts w:hint="eastAsia"/>
                <w:color w:val="000000" w:themeColor="text1"/>
                <w:sz w:val="24"/>
                <w:lang w:eastAsia="zh-CN"/>
                <w14:textFill>
                  <w14:solidFill>
                    <w14:schemeClr w14:val="tx1"/>
                  </w14:solidFill>
                </w14:textFill>
              </w:rPr>
              <w:t>108</w:t>
            </w:r>
            <w:r>
              <w:rPr>
                <w:color w:val="000000" w:themeColor="text1"/>
                <w:sz w:val="24"/>
                <w:lang w:eastAsia="zh-CN"/>
                <w14:textFill>
                  <w14:solidFill>
                    <w14:schemeClr w14:val="tx1"/>
                  </w14:solidFill>
                </w14:textFill>
              </w:rPr>
              <w:t>mm，</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年项目钻井工作量为</w:t>
            </w:r>
            <w:r>
              <w:rPr>
                <w:rFonts w:hint="eastAsia"/>
                <w:color w:val="000000" w:themeColor="text1"/>
                <w:sz w:val="24"/>
                <w:lang w:val="en-US" w:eastAsia="zh-CN"/>
                <w14:textFill>
                  <w14:solidFill>
                    <w14:schemeClr w14:val="tx1"/>
                  </w14:solidFill>
                </w14:textFill>
              </w:rPr>
              <w:t>16</w:t>
            </w:r>
            <w:r>
              <w:rPr>
                <w:rFonts w:hint="eastAsia"/>
                <w:color w:val="000000" w:themeColor="text1"/>
                <w:sz w:val="24"/>
                <w:lang w:eastAsia="zh-CN"/>
                <w14:textFill>
                  <w14:solidFill>
                    <w14:schemeClr w14:val="tx1"/>
                  </w14:solidFill>
                </w14:textFill>
              </w:rPr>
              <w:t>000m，202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年项目钻井工作量均为</w:t>
            </w:r>
            <w:r>
              <w:rPr>
                <w:rFonts w:hint="eastAsia"/>
                <w:color w:val="000000" w:themeColor="text1"/>
                <w:sz w:val="24"/>
                <w:lang w:val="en-US" w:eastAsia="zh-CN"/>
                <w14:textFill>
                  <w14:solidFill>
                    <w14:schemeClr w14:val="tx1"/>
                  </w14:solidFill>
                </w14:textFill>
              </w:rPr>
              <w:t>101</w:t>
            </w:r>
            <w:r>
              <w:rPr>
                <w:rFonts w:hint="eastAsia"/>
                <w:color w:val="000000" w:themeColor="text1"/>
                <w:sz w:val="24"/>
                <w:lang w:eastAsia="zh-CN"/>
                <w14:textFill>
                  <w14:solidFill>
                    <w14:schemeClr w14:val="tx1"/>
                  </w14:solidFill>
                </w14:textFill>
              </w:rPr>
              <w:t>000m，</w:t>
            </w:r>
            <w:r>
              <w:rPr>
                <w:color w:val="000000" w:themeColor="text1"/>
                <w:sz w:val="24"/>
                <w:lang w:eastAsia="zh-CN"/>
                <w14:textFill>
                  <w14:solidFill>
                    <w14:schemeClr w14:val="tx1"/>
                  </w14:solidFill>
                </w14:textFill>
              </w:rPr>
              <w:t>则</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146.57</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925.25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p>
          <w:p>
            <w:pPr>
              <w:spacing w:line="360" w:lineRule="auto"/>
              <w:ind w:firstLine="480" w:firstLineChars="200"/>
              <w:jc w:val="both"/>
              <w:rPr>
                <w:rFonts w:hint="eastAsia" w:ascii="Times New Roman" w:hAnsi="Times New Roman" w:eastAsia="宋体"/>
                <w:b w:val="0"/>
                <w:bCs w:val="0"/>
                <w:color w:val="000000" w:themeColor="text1"/>
                <w:sz w:val="24"/>
                <w:szCs w:val="24"/>
                <w14:textFill>
                  <w14:solidFill>
                    <w14:schemeClr w14:val="tx1"/>
                  </w14:solidFill>
                </w14:textFill>
              </w:rPr>
            </w:pPr>
            <w:r>
              <w:rPr>
                <w:rFonts w:hint="eastAsia"/>
                <w:color w:val="000000" w:themeColor="text1"/>
                <w:sz w:val="24"/>
                <w14:textFill>
                  <w14:solidFill>
                    <w14:schemeClr w14:val="tx1"/>
                  </w14:solidFill>
                </w14:textFill>
              </w:rPr>
              <w:t>根据调查估算</w:t>
            </w:r>
            <w:r>
              <w:rPr>
                <w:color w:val="000000" w:themeColor="text1"/>
                <w:sz w:val="24"/>
                <w14:textFill>
                  <w14:solidFill>
                    <w14:schemeClr w14:val="tx1"/>
                  </w14:solidFill>
                </w14:textFill>
              </w:rPr>
              <w:t>，泥浆产生量约占所取土石的总体积50%，</w:t>
            </w:r>
            <w:r>
              <w:rPr>
                <w:color w:val="000000" w:themeColor="text1"/>
                <w:sz w:val="24"/>
                <w:lang w:eastAsia="zh-CN"/>
                <w14:textFill>
                  <w14:solidFill>
                    <w14:schemeClr w14:val="tx1"/>
                  </w14:solidFill>
                </w14:textFill>
              </w:rPr>
              <w:t>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73.29</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84.28</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w:t>
            </w:r>
            <w:r>
              <w:rPr>
                <w:color w:val="000000" w:themeColor="text1"/>
                <w:sz w:val="24"/>
                <w:lang w:eastAsia="zh-CN"/>
                <w14:textFill>
                  <w14:solidFill>
                    <w14:schemeClr w14:val="tx1"/>
                  </w14:solidFill>
                </w14:textFill>
              </w:rPr>
              <w:t>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462.62</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532.02</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（2）岩芯</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根据调查估算，单井每百米进尺平均产生的岩芯约390kg，其中0</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5%为矿段岩芯（本次取中间值即3%），95%</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100%为矿段岩芯（本次取中间值即97%）。</w:t>
            </w:r>
          </w:p>
          <w:p>
            <w:pPr>
              <w:widowControl/>
              <w:autoSpaceDE/>
              <w:autoSpaceDN/>
              <w:spacing w:line="360" w:lineRule="auto"/>
              <w:ind w:firstLine="480" w:firstLineChars="200"/>
              <w:jc w:val="both"/>
              <w:rPr>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项目产生矿段岩芯放置在岩芯箱内，堆存于岩芯库内。岩芯库租用项目部无人居住的民房，防火、防雨、防盗，专人看管，登记台账备查。待钻孔完毕后，采集矿段岩芯样品主要有铀镭样、钍钾样、密度样、湿度样、岩矿鉴定样、粒度样、岩石地球化学环境指标样和硅酸盐全分析等样品，送我所分析测试中心进行检验，我所具备</w:t>
            </w:r>
            <w:r>
              <w:rPr>
                <w:rFonts w:hint="eastAsia"/>
                <w:color w:val="000000" w:themeColor="text1"/>
                <w:sz w:val="24"/>
                <w:szCs w:val="24"/>
                <w:lang w:val="en-US" w:eastAsia="zh-CN" w:bidi="ar"/>
                <w14:textFill>
                  <w14:solidFill>
                    <w14:schemeClr w14:val="tx1"/>
                  </w14:solidFill>
                </w14:textFill>
              </w:rPr>
              <w:t>相关检验资格</w:t>
            </w:r>
            <w:r>
              <w:rPr>
                <w:rFonts w:hint="eastAsia"/>
                <w:color w:val="000000" w:themeColor="text1"/>
                <w:sz w:val="24"/>
                <w:szCs w:val="24"/>
                <w:lang w:eastAsia="zh-CN" w:bidi="ar"/>
                <w14:textFill>
                  <w14:solidFill>
                    <w14:schemeClr w14:val="tx1"/>
                  </w14:solidFill>
                </w14:textFill>
              </w:rPr>
              <w:t>。</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ascii="Times New Roman" w:hAnsi="Times New Roman"/>
                <w:color w:val="000000" w:themeColor="text1"/>
                <w:kern w:val="2"/>
                <w:sz w:val="24"/>
                <w:szCs w:val="24"/>
                <w:lang w:eastAsia="zh-CN" w:bidi="ar-SA"/>
                <w14:textFill>
                  <w14:solidFill>
                    <w14:schemeClr w14:val="tx1"/>
                  </w14:solidFill>
                </w14:textFill>
              </w:rPr>
              <w:t>非矿段岩芯放置在岩</w:t>
            </w:r>
            <w:r>
              <w:rPr>
                <w:rFonts w:hint="eastAsia"/>
                <w:color w:val="000000" w:themeColor="text1"/>
                <w:sz w:val="24"/>
                <w:lang w:eastAsia="zh-CN"/>
                <w14:textFill>
                  <w14:solidFill>
                    <w14:schemeClr w14:val="tx1"/>
                  </w14:solidFill>
                </w14:textFill>
              </w:rPr>
              <w:t>芯</w:t>
            </w:r>
            <w:r>
              <w:rPr>
                <w:rFonts w:hint="eastAsia" w:ascii="Times New Roman" w:hAnsi="Times New Roman"/>
                <w:color w:val="000000" w:themeColor="text1"/>
                <w:kern w:val="2"/>
                <w:sz w:val="24"/>
                <w:szCs w:val="24"/>
                <w:lang w:eastAsia="zh-CN" w:bidi="ar-SA"/>
                <w14:textFill>
                  <w14:solidFill>
                    <w14:schemeClr w14:val="tx1"/>
                  </w14:solidFill>
                </w14:textFill>
              </w:rPr>
              <w:t>池内，该岩</w:t>
            </w:r>
            <w:r>
              <w:rPr>
                <w:rFonts w:hint="eastAsia"/>
                <w:color w:val="000000" w:themeColor="text1"/>
                <w:sz w:val="24"/>
                <w:lang w:eastAsia="zh-CN"/>
                <w14:textFill>
                  <w14:solidFill>
                    <w14:schemeClr w14:val="tx1"/>
                  </w14:solidFill>
                </w14:textFill>
              </w:rPr>
              <w:t>芯</w:t>
            </w:r>
            <w:r>
              <w:rPr>
                <w:rFonts w:hint="eastAsia" w:ascii="Times New Roman" w:hAnsi="Times New Roman"/>
                <w:color w:val="000000" w:themeColor="text1"/>
                <w:kern w:val="2"/>
                <w:sz w:val="24"/>
                <w:szCs w:val="24"/>
                <w:lang w:eastAsia="zh-CN" w:bidi="ar-SA"/>
                <w14:textFill>
                  <w14:solidFill>
                    <w14:schemeClr w14:val="tx1"/>
                  </w14:solidFill>
                </w14:textFill>
              </w:rPr>
              <w:t>池</w:t>
            </w:r>
            <w:r>
              <w:rPr>
                <w:rFonts w:hint="eastAsia"/>
                <w:color w:val="000000" w:themeColor="text1"/>
                <w:sz w:val="24"/>
                <w:szCs w:val="24"/>
                <w:lang w:eastAsia="zh-CN" w:bidi="ar"/>
                <w14:textFill>
                  <w14:solidFill>
                    <w14:schemeClr w14:val="tx1"/>
                  </w14:solidFill>
                </w14:textFill>
              </w:rPr>
              <w:t>采</w:t>
            </w:r>
            <w:r>
              <w:rPr>
                <w:rFonts w:hint="eastAsia" w:ascii="Times New Roman" w:hAnsi="Times New Roman"/>
                <w:color w:val="000000" w:themeColor="text1"/>
                <w:kern w:val="2"/>
                <w:sz w:val="24"/>
                <w:szCs w:val="24"/>
                <w:lang w:eastAsia="zh-CN" w:bidi="ar-SA"/>
                <w14:textFill>
                  <w14:solidFill>
                    <w14:schemeClr w14:val="tx1"/>
                  </w14:solidFill>
                </w14:textFill>
              </w:rPr>
              <w:t>用</w:t>
            </w:r>
            <w:r>
              <w:rPr>
                <w:rFonts w:ascii="Times New Roman" w:hAnsi="Times New Roman"/>
                <w:color w:val="000000" w:themeColor="text1"/>
                <w:kern w:val="2"/>
                <w:sz w:val="24"/>
                <w:szCs w:val="24"/>
                <w:lang w:eastAsia="zh-CN" w:bidi="ar-SA"/>
                <w14:textFill>
                  <w14:solidFill>
                    <w14:schemeClr w14:val="tx1"/>
                  </w14:solidFill>
                </w14:textFill>
              </w:rPr>
              <w:t>HDPE</w:t>
            </w:r>
            <w:r>
              <w:rPr>
                <w:rFonts w:hint="eastAsia"/>
                <w:color w:val="000000" w:themeColor="text1"/>
                <w:sz w:val="24"/>
                <w:szCs w:val="24"/>
                <w:lang w:eastAsia="zh-CN" w:bidi="ar"/>
                <w14:textFill>
                  <w14:solidFill>
                    <w14:schemeClr w14:val="tx1"/>
                  </w14:solidFill>
                </w14:textFill>
              </w:rPr>
              <w:t>膜防渗，单个钻孔的岩芯池尺寸</w:t>
            </w:r>
            <w:r>
              <w:rPr>
                <w:rFonts w:hint="eastAsia" w:ascii="Times New Roman" w:hAnsi="Times New Roman"/>
                <w:color w:val="000000" w:themeColor="text1"/>
                <w:kern w:val="2"/>
                <w:sz w:val="24"/>
                <w:szCs w:val="24"/>
                <w:lang w:eastAsia="zh-CN" w:bidi="ar-SA"/>
                <w14:textFill>
                  <w14:solidFill>
                    <w14:schemeClr w14:val="tx1"/>
                  </w14:solidFill>
                </w14:textFill>
              </w:rPr>
              <w:t>为 4.8</w:t>
            </w:r>
            <w:r>
              <w:rPr>
                <w:rFonts w:ascii="Times New Roman" w:hAnsi="Times New Roman"/>
                <w:color w:val="000000" w:themeColor="text1"/>
                <w:kern w:val="2"/>
                <w:sz w:val="24"/>
                <w:szCs w:val="24"/>
                <w:lang w:eastAsia="zh-CN" w:bidi="ar-SA"/>
                <w14:textFill>
                  <w14:solidFill>
                    <w14:schemeClr w14:val="tx1"/>
                  </w14:solidFill>
                </w14:textFill>
              </w:rPr>
              <w:t>m</w:t>
            </w:r>
            <w:r>
              <w:rPr>
                <w:rFonts w:hint="eastAsia" w:ascii="Times New Roman" w:hAnsi="Times New Roman"/>
                <w:color w:val="000000" w:themeColor="text1"/>
                <w:kern w:val="2"/>
                <w:sz w:val="24"/>
                <w:szCs w:val="24"/>
                <w:lang w:eastAsia="zh-CN" w:bidi="ar-SA"/>
                <w14:textFill>
                  <w14:solidFill>
                    <w14:schemeClr w14:val="tx1"/>
                  </w14:solidFill>
                </w14:textFill>
              </w:rPr>
              <w:t>×0.8</w:t>
            </w:r>
            <w:r>
              <w:rPr>
                <w:rFonts w:ascii="Times New Roman" w:hAnsi="Times New Roman"/>
                <w:color w:val="000000" w:themeColor="text1"/>
                <w:kern w:val="2"/>
                <w:sz w:val="24"/>
                <w:szCs w:val="24"/>
                <w:lang w:eastAsia="zh-CN" w:bidi="ar-SA"/>
                <w14:textFill>
                  <w14:solidFill>
                    <w14:schemeClr w14:val="tx1"/>
                  </w14:solidFill>
                </w14:textFill>
              </w:rPr>
              <w:t>m</w:t>
            </w:r>
            <w:r>
              <w:rPr>
                <w:rFonts w:hint="eastAsia" w:ascii="Times New Roman" w:hAnsi="Times New Roman"/>
                <w:color w:val="000000" w:themeColor="text1"/>
                <w:kern w:val="2"/>
                <w:sz w:val="24"/>
                <w:szCs w:val="24"/>
                <w:lang w:eastAsia="zh-CN" w:bidi="ar-SA"/>
                <w14:textFill>
                  <w14:solidFill>
                    <w14:schemeClr w14:val="tx1"/>
                  </w14:solidFill>
                </w14:textFill>
              </w:rPr>
              <w:t>×</w:t>
            </w:r>
            <w:r>
              <w:rPr>
                <w:rFonts w:ascii="Times New Roman" w:hAnsi="Times New Roman"/>
                <w:color w:val="000000" w:themeColor="text1"/>
                <w:kern w:val="2"/>
                <w:sz w:val="24"/>
                <w:szCs w:val="24"/>
                <w:lang w:eastAsia="zh-CN" w:bidi="ar-SA"/>
                <w14:textFill>
                  <w14:solidFill>
                    <w14:schemeClr w14:val="tx1"/>
                  </w14:solidFill>
                </w14:textFill>
              </w:rPr>
              <w:t>1m</w:t>
            </w:r>
            <w:r>
              <w:rPr>
                <w:rFonts w:hint="eastAsia" w:ascii="Times New Roman" w:hAnsi="Times New Roman"/>
                <w:color w:val="000000" w:themeColor="text1"/>
                <w:kern w:val="2"/>
                <w:sz w:val="24"/>
                <w:szCs w:val="24"/>
                <w:lang w:eastAsia="zh-CN" w:bidi="ar-SA"/>
                <w14:textFill>
                  <w14:solidFill>
                    <w14:schemeClr w14:val="tx1"/>
                  </w14:solidFill>
                </w14:textFill>
              </w:rPr>
              <w:t>，</w:t>
            </w:r>
            <w:r>
              <w:rPr>
                <w:rFonts w:hint="eastAsia"/>
                <w:color w:val="000000" w:themeColor="text1"/>
                <w:sz w:val="24"/>
                <w:szCs w:val="24"/>
                <w:lang w:eastAsia="zh-CN" w:bidi="ar"/>
                <w14:textFill>
                  <w14:solidFill>
                    <w14:schemeClr w14:val="tx1"/>
                  </w14:solidFill>
                </w14:textFill>
              </w:rPr>
              <w:t>待施工结束后，最终覆土掩埋，恢复植被。</w:t>
            </w:r>
          </w:p>
          <w:p>
            <w:pPr>
              <w:pStyle w:val="4"/>
              <w:keepNext/>
              <w:keepLines/>
              <w:pageBreakBefore w:val="0"/>
              <w:widowControl w:val="0"/>
              <w:kinsoku/>
              <w:wordWrap/>
              <w:overflowPunct/>
              <w:topLinePunct w:val="0"/>
              <w:autoSpaceDE/>
              <w:autoSpaceDN/>
              <w:bidi w:val="0"/>
              <w:adjustRightInd/>
              <w:snapToGrid/>
              <w:spacing w:before="0" w:after="0" w:line="360" w:lineRule="auto"/>
              <w:ind w:left="0" w:firstLine="480" w:firstLineChars="200"/>
              <w:jc w:val="both"/>
              <w:textAlignment w:val="auto"/>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62.4</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1.87</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60.53</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101</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393.9</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11.82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382.08</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w:t>
            </w:r>
          </w:p>
          <w:p>
            <w:pPr>
              <w:pStyle w:val="4"/>
              <w:spacing w:before="0" w:after="0"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（3）剥离表土</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color w:val="000000" w:themeColor="text1"/>
                <w:sz w:val="24"/>
                <w:lang w:eastAsia="zh-CN"/>
                <w14:textFill>
                  <w14:solidFill>
                    <w14:schemeClr w14:val="tx1"/>
                  </w14:solidFill>
                </w14:textFill>
              </w:rPr>
              <w:t>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平整剥离表土，</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w:t>
            </w:r>
            <w:r>
              <w:rPr>
                <w:rFonts w:hint="eastAsia"/>
                <w:color w:val="000000" w:themeColor="text1"/>
                <w:sz w:val="24"/>
                <w:lang w:val="en-US" w:eastAsia="zh-CN"/>
                <w14:textFill>
                  <w14:solidFill>
                    <w14:schemeClr w14:val="tx1"/>
                  </w14:solidFill>
                </w14:textFill>
              </w:rPr>
              <w:t>布设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31</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465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213</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3195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（4）生活垃圾</w:t>
            </w:r>
          </w:p>
          <w:p>
            <w:pPr>
              <w:pStyle w:val="4"/>
              <w:keepNext/>
              <w:keepLines/>
              <w:pageBreakBefore w:val="0"/>
              <w:widowControl w:val="0"/>
              <w:kinsoku/>
              <w:wordWrap/>
              <w:overflowPunct/>
              <w:topLinePunct w:val="0"/>
              <w:autoSpaceDE/>
              <w:autoSpaceDN/>
              <w:bidi w:val="0"/>
              <w:adjustRightInd/>
              <w:snapToGrid/>
              <w:spacing w:before="0" w:after="0" w:line="360" w:lineRule="auto"/>
              <w:ind w:left="0" w:firstLine="480" w:firstLineChars="200"/>
              <w:jc w:val="both"/>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2022-2026年度勘查所需人员均为40人，生活垃圾产生量按每人0.5kg/d计，年工作200天，则2022-2026年生活垃圾产生量约20t（4t/a）。</w:t>
            </w:r>
          </w:p>
          <w:p>
            <w:pPr>
              <w:spacing w:line="360" w:lineRule="auto"/>
              <w:ind w:firstLine="480" w:firstLineChars="200"/>
              <w:rPr>
                <w:color w:val="000000" w:themeColor="text1"/>
                <w:sz w:val="24"/>
                <w14:textFill>
                  <w14:solidFill>
                    <w14:schemeClr w14:val="tx1"/>
                  </w14:solidFill>
                </w14:textFill>
              </w:rPr>
            </w:pPr>
            <w:r>
              <w:rPr>
                <w:rFonts w:hint="eastAsia" w:ascii="Times New Roman" w:hAnsi="Times New Roman"/>
                <w:color w:val="000000" w:themeColor="text1"/>
                <w:kern w:val="2"/>
                <w:sz w:val="24"/>
                <w:szCs w:val="24"/>
                <w:lang w:eastAsia="zh-CN" w:bidi="ar-SA"/>
                <w14:textFill>
                  <w14:solidFill>
                    <w14:schemeClr w14:val="tx1"/>
                  </w14:solidFill>
                </w14:textFill>
              </w:rPr>
              <w:t>钻探勘查区</w:t>
            </w:r>
            <w:r>
              <w:rPr>
                <w:rFonts w:hint="eastAsia"/>
                <w:color w:val="000000" w:themeColor="text1"/>
                <w:sz w:val="24"/>
                <w14:textFill>
                  <w14:solidFill>
                    <w14:schemeClr w14:val="tx1"/>
                  </w14:solidFill>
                </w14:textFill>
              </w:rPr>
              <w:t>生活垃圾用垃圾袋带回项目部，</w:t>
            </w:r>
            <w:r>
              <w:rPr>
                <w:rFonts w:hint="eastAsia" w:ascii="宋体" w:hAnsi="宋体" w:cs="宋体"/>
                <w:color w:val="000000" w:themeColor="text1"/>
                <w:sz w:val="24"/>
                <w:szCs w:val="28"/>
                <w14:textFill>
                  <w14:solidFill>
                    <w14:schemeClr w14:val="tx1"/>
                  </w14:solidFill>
                </w14:textFill>
              </w:rPr>
              <w:t>项目部设垃圾桶进行收集，</w:t>
            </w:r>
            <w:r>
              <w:rPr>
                <w:color w:val="000000" w:themeColor="text1"/>
                <w:sz w:val="24"/>
                <w14:textFill>
                  <w14:solidFill>
                    <w14:schemeClr w14:val="tx1"/>
                  </w14:solidFill>
                </w14:textFill>
              </w:rPr>
              <w:t>定期</w:t>
            </w:r>
            <w:r>
              <w:rPr>
                <w:rFonts w:hint="eastAsia"/>
                <w:color w:val="000000" w:themeColor="text1"/>
                <w:sz w:val="24"/>
                <w14:textFill>
                  <w14:solidFill>
                    <w14:schemeClr w14:val="tx1"/>
                  </w14:solidFill>
                </w14:textFill>
              </w:rPr>
              <w:t>送往乡镇垃圾堆放点，</w:t>
            </w:r>
            <w:r>
              <w:rPr>
                <w:color w:val="000000" w:themeColor="text1"/>
                <w:sz w:val="24"/>
                <w14:textFill>
                  <w14:solidFill>
                    <w14:schemeClr w14:val="tx1"/>
                  </w14:solidFill>
                </w14:textFill>
              </w:rPr>
              <w:t>由当地环卫部门清理处置。</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（5）废机油</w:t>
            </w:r>
          </w:p>
          <w:p>
            <w:pPr>
              <w:adjustRightInd w:val="0"/>
              <w:spacing w:line="360" w:lineRule="auto"/>
              <w:ind w:firstLine="480" w:firstLineChars="200"/>
              <w:contextualSpacing/>
              <w:rPr>
                <w:color w:val="000000" w:themeColor="text1"/>
                <w:sz w:val="24"/>
                <w14:textFill>
                  <w14:solidFill>
                    <w14:schemeClr w14:val="tx1"/>
                  </w14:solidFill>
                </w14:textFill>
              </w:rPr>
            </w:pPr>
            <w:r>
              <w:rPr>
                <w:color w:val="000000" w:themeColor="text1"/>
                <w:sz w:val="24"/>
                <w14:textFill>
                  <w14:solidFill>
                    <w14:schemeClr w14:val="tx1"/>
                  </w14:solidFill>
                </w14:textFill>
              </w:rPr>
              <w:t>工程钻机、柴油发电机等施工机械运转过程中，将产生少量的废机油</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根据类比估算，单个钻孔施工期间产生约4kg废机油，</w:t>
            </w:r>
            <w:r>
              <w:rPr>
                <w:rFonts w:hint="eastAsia"/>
                <w:color w:val="000000" w:themeColor="text1"/>
                <w:sz w:val="24"/>
                <w:szCs w:val="28"/>
                <w:lang w:eastAsia="zh-CN"/>
                <w14:textFill>
                  <w14:solidFill>
                    <w14:schemeClr w14:val="tx1"/>
                  </w14:solidFill>
                </w14:textFill>
              </w:rPr>
              <w:t>则202</w:t>
            </w:r>
            <w:r>
              <w:rPr>
                <w:rFonts w:hint="eastAsia"/>
                <w:color w:val="000000" w:themeColor="text1"/>
                <w:sz w:val="24"/>
                <w:szCs w:val="28"/>
                <w:lang w:val="en-US" w:eastAsia="zh-CN"/>
                <w14:textFill>
                  <w14:solidFill>
                    <w14:schemeClr w14:val="tx1"/>
                  </w14:solidFill>
                </w14:textFill>
              </w:rPr>
              <w:t>2</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0.124t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2023-2026</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0.852t</w:t>
            </w:r>
            <w:r>
              <w:rPr>
                <w:rFonts w:hint="eastAsia"/>
                <w:color w:val="000000" w:themeColor="text1"/>
                <w:sz w:val="24"/>
                <w:szCs w:val="28"/>
                <w:lang w:eastAsia="zh-CN"/>
                <w14:textFill>
                  <w14:solidFill>
                    <w14:schemeClr w14:val="tx1"/>
                  </w14:solidFill>
                </w14:textFill>
              </w:rPr>
              <w:t>。</w:t>
            </w:r>
          </w:p>
          <w:p>
            <w:pPr>
              <w:spacing w:line="360" w:lineRule="auto"/>
              <w:ind w:firstLine="480" w:firstLineChars="200"/>
              <w:rPr>
                <w:color w:val="000000" w:themeColor="text1"/>
                <w:sz w:val="24"/>
                <w:szCs w:val="28"/>
                <w:lang w:eastAsia="zh-CN"/>
                <w14:textFill>
                  <w14:solidFill>
                    <w14:schemeClr w14:val="tx1"/>
                  </w14:solidFill>
                </w14:textFill>
              </w:rPr>
            </w:pPr>
            <w:r>
              <w:rPr>
                <w:rFonts w:hint="eastAsia"/>
                <w:color w:val="000000" w:themeColor="text1"/>
                <w:sz w:val="24"/>
                <w:szCs w:val="28"/>
                <w:lang w:eastAsia="zh-CN"/>
                <w14:textFill>
                  <w14:solidFill>
                    <w14:schemeClr w14:val="tx1"/>
                  </w14:solidFill>
                </w14:textFill>
              </w:rPr>
              <w:t>根据《国家危险废物名录(2021版)》，废机油属于危险废物类别中的废矿物油（HW08），废物代码为900-249-08。</w:t>
            </w:r>
            <w:r>
              <w:rPr>
                <w:rFonts w:hint="eastAsia"/>
                <w:color w:val="000000" w:themeColor="text1"/>
                <w:sz w:val="24"/>
                <w:szCs w:val="28"/>
                <w14:textFill>
                  <w14:solidFill>
                    <w14:schemeClr w14:val="tx1"/>
                  </w14:solidFill>
                </w14:textFill>
              </w:rPr>
              <w:t>废机油由专用桶收集，</w:t>
            </w:r>
            <w:bookmarkStart w:id="15" w:name="OLE_LINK22"/>
            <w:r>
              <w:rPr>
                <w:rFonts w:hint="eastAsia"/>
                <w:color w:val="000000" w:themeColor="text1"/>
                <w:sz w:val="24"/>
                <w:szCs w:val="28"/>
                <w14:textFill>
                  <w14:solidFill>
                    <w14:schemeClr w14:val="tx1"/>
                  </w14:solidFill>
                </w14:textFill>
              </w:rPr>
              <w:t>地面铺设防渗布，</w:t>
            </w:r>
            <w:bookmarkEnd w:id="15"/>
            <w:r>
              <w:rPr>
                <w:rFonts w:hint="eastAsia"/>
                <w:color w:val="000000" w:themeColor="text1"/>
                <w:sz w:val="24"/>
                <w:szCs w:val="28"/>
                <w14:textFill>
                  <w14:solidFill>
                    <w14:schemeClr w14:val="tx1"/>
                  </w14:solidFill>
                </w14:textFill>
              </w:rPr>
              <w:t>统一收集后交由有危废处理资质的单位处置。</w:t>
            </w:r>
          </w:p>
          <w:p>
            <w:pPr>
              <w:pStyle w:val="1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5、</w:t>
            </w:r>
            <w:r>
              <w:rPr>
                <w:rFonts w:hint="eastAsia"/>
                <w:b/>
                <w:bCs/>
                <w:color w:val="000000" w:themeColor="text1"/>
                <w:sz w:val="24"/>
                <w14:textFill>
                  <w14:solidFill>
                    <w14:schemeClr w14:val="tx1"/>
                  </w14:solidFill>
                </w14:textFill>
              </w:rPr>
              <w:t>生态影响</w:t>
            </w:r>
          </w:p>
          <w:p>
            <w:pPr>
              <w:pStyle w:val="4"/>
              <w:spacing w:before="0" w:after="0" w:line="360" w:lineRule="auto"/>
              <w:ind w:firstLine="480" w:firstLineChars="200"/>
              <w:rPr>
                <w:rFonts w:ascii="Times New Roman" w:hAnsi="Times New Roman" w:eastAsia="宋体" w:cs="Times New Roman"/>
                <w:b w:val="0"/>
                <w:bCs w:val="0"/>
                <w:color w:val="000000" w:themeColor="text1"/>
                <w:sz w:val="24"/>
                <w:szCs w:val="24"/>
                <w14:textFill>
                  <w14:solidFill>
                    <w14:schemeClr w14:val="tx1"/>
                  </w14:solidFill>
                </w14:textFill>
              </w:rPr>
            </w:pPr>
            <w:r>
              <w:rPr>
                <w:rFonts w:ascii="Times New Roman" w:hAnsi="Times New Roman" w:eastAsia="宋体" w:cs="Times New Roman"/>
                <w:b w:val="0"/>
                <w:bCs w:val="0"/>
                <w:color w:val="000000" w:themeColor="text1"/>
                <w:sz w:val="24"/>
                <w:szCs w:val="24"/>
                <w14:textFill>
                  <w14:solidFill>
                    <w14:schemeClr w14:val="tx1"/>
                  </w14:solidFill>
                </w14:textFill>
              </w:rPr>
              <w:t>（1）占用土地、损坏植被</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平整钻孔场地占用土地和开挖将会对原地貌造成扰动，并破坏占地范围内的地表植被</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31</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4650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213</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31950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color w:val="000000" w:themeColor="text1"/>
                <w:sz w:val="24"/>
                <w14:textFill>
                  <w14:solidFill>
                    <w14:schemeClr w14:val="tx1"/>
                  </w14:solidFill>
                </w14:textFill>
              </w:rPr>
              <w:t>均为临时占地，</w:t>
            </w:r>
            <w:r>
              <w:rPr>
                <w:rFonts w:hint="eastAsia"/>
                <w:color w:val="000000" w:themeColor="text1"/>
                <w:sz w:val="24"/>
                <w14:textFill>
                  <w14:solidFill>
                    <w14:schemeClr w14:val="tx1"/>
                  </w14:solidFill>
                </w14:textFill>
              </w:rPr>
              <w:t>待封孔后进行植被恢复</w:t>
            </w:r>
            <w:r>
              <w:rPr>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（2）野生动物的影响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机械设备噪声、人员的活动等将会对周围局部范围内野生动物的活动和栖息产生一定影响。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（3）景观影响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地面设施、弃渣堆放等会改变占地范围内形成新的人工堆积地貌，对局部自然景观会造成影响。</w:t>
            </w:r>
          </w:p>
          <w:p>
            <w:pPr>
              <w:pStyle w:val="18"/>
              <w:numPr>
                <w:ilvl w:val="0"/>
                <w:numId w:val="0"/>
              </w:numPr>
              <w:spacing w:line="360" w:lineRule="auto"/>
              <w:ind w:leftChars="0"/>
              <w:rPr>
                <w:rFonts w:hint="default"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6、放射性废物</w:t>
            </w:r>
          </w:p>
          <w:p>
            <w:pPr>
              <w:spacing w:line="360" w:lineRule="auto"/>
              <w:ind w:firstLine="480" w:firstLineChars="200"/>
              <w:jc w:val="both"/>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项目勘查过程辐射影响主要为岩芯、泥浆中γ放射性射线污染，主要影响为污染源项附近公众因γ辐射造成的外照射剂量、施工过程人体吸入扬尘产生的内照射剂量。因矿中天然铀含量很低，施工过程通过加强施工工作人员卫生防护措施，施工期合理处置泥浆、岩芯等污染，施工期产生的放射性辐射影响较小。</w:t>
            </w: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本项目钻井液主要成分为膨润土、腐殖酸钾、纤维素，在钻探过程中，钻井液不与钻孔中含矿层发生化学反应，含矿层中放射性核素不会转移至钻井泥浆中，钻井泥浆中放射性核素U</w:t>
            </w:r>
            <w:r>
              <w:rPr>
                <w:rFonts w:ascii="Times New Roman" w:hAnsi="Times New Roman" w:cs="Times New Roman"/>
                <w:color w:val="000000" w:themeColor="text1"/>
                <w:sz w:val="24"/>
                <w:vertAlign w:val="subscript"/>
                <w:lang w:eastAsia="zh-CN"/>
                <w14:textFill>
                  <w14:solidFill>
                    <w14:schemeClr w14:val="tx1"/>
                  </w14:solidFill>
                </w14:textFill>
              </w:rPr>
              <w:t>天然</w:t>
            </w:r>
            <w:r>
              <w:rPr>
                <w:rFonts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Ra为环境本底水平。为了验证钻井泥浆放射性水平，本次选择内蒙、甘肃、青海、宁夏、新疆、陕西6个省份现有</w:t>
            </w:r>
            <w:r>
              <w:rPr>
                <w:rFonts w:hint="eastAsia" w:cs="Times New Roman"/>
                <w:color w:val="000000" w:themeColor="text1"/>
                <w:sz w:val="24"/>
                <w:lang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内的泥浆样品进行分析类比，其勘查区铀矿品位与本项目相差不大，同为砂岩性铀矿，钻井液成分类似，具有较好的可行性。2022年1月，核工业二〇三研究所分析测试中心对上述6省现有</w:t>
            </w:r>
            <w:r>
              <w:rPr>
                <w:rFonts w:hint="eastAsia" w:cs="Times New Roman"/>
                <w:color w:val="000000" w:themeColor="text1"/>
                <w:sz w:val="24"/>
                <w:lang w:val="en-US"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产生的钻井泥浆进行了取样分析，分析检测结果为：泥浆中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U含量为35.6~97.7Bq/kg，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Ra含量为37.6~62.2Bq/kg。各铀矿地质勘查区钻井泥浆中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Ra含量检测结果均处于其所在省份土壤环境本底值（内蒙：</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U：4.50~87.26Bq/kg、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Ra：7.00~88.32Bq/kg；甘肃：</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U：17.8~200Bq/kg、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Ra：14.4~65.3Bq/kg；青海：</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U：11.9~135.9Bq/kg、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Ra：14.4~107.8Bq/kg；宁夏：</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U：10.2~49.9Bq/kg、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Ra：6.4~72.3Bq/kg；新疆：</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U：5.17~153.7Bq/kg、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Ra：10.93~203.4Bq/kg；陕西：</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U：6.0~163.7Bq/kg、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Ra：5.0~187.7Bq/kg；）范围内。由此可以类比，本项目钻井泥浆中放射性核素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Ra含量与项目所在地土壤天然环境本底水平调查值处于同一水平。由类比监测结果可知：本项目钻探期间产生钻井泥浆中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Ra为当地环境本底水平，其放射性核素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Ra含量小于《可免于辐射防护监管的物料中放射性核素活度浓度》（GB27742-2011）规定免管浓度1Bq/g，可作一般固体废物处理。</w:t>
            </w: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p>
          <w:p>
            <w:pPr>
              <w:pStyle w:val="18"/>
              <w:numPr>
                <w:ilvl w:val="0"/>
                <w:numId w:val="0"/>
              </w:numPr>
              <w:spacing w:line="360" w:lineRule="auto"/>
              <w:ind w:leftChars="0" w:firstLine="480" w:firstLineChars="200"/>
              <w:rPr>
                <w:rFonts w:ascii="Times New Roman" w:hAnsi="Times New Roman" w:cs="Times New Roman"/>
                <w:color w:val="000000" w:themeColor="text1"/>
                <w:sz w:val="24"/>
                <w:lang w:eastAsia="zh-CN"/>
                <w14:textFill>
                  <w14:solidFill>
                    <w14:schemeClr w14:val="tx1"/>
                  </w14:solidFill>
                </w14:textFill>
              </w:rPr>
            </w:pPr>
          </w:p>
          <w:p>
            <w:pPr>
              <w:pStyle w:val="18"/>
              <w:numPr>
                <w:ilvl w:val="0"/>
                <w:numId w:val="0"/>
              </w:numPr>
              <w:spacing w:line="360" w:lineRule="auto"/>
              <w:ind w:leftChars="0" w:firstLine="480" w:firstLineChars="200"/>
              <w:rPr>
                <w:rFonts w:hint="eastAsia" w:ascii="Times New Roman" w:hAnsi="Times New Roman" w:cs="Times New Roman"/>
                <w:color w:val="000000" w:themeColor="text1"/>
                <w:sz w:val="24"/>
                <w:lang w:val="en-US" w:eastAsia="zh-CN"/>
                <w14:textFill>
                  <w14:solidFill>
                    <w14:schemeClr w14:val="tx1"/>
                  </w14:solidFill>
                </w14:textFill>
              </w:rPr>
            </w:pPr>
          </w:p>
          <w:p>
            <w:pPr>
              <w:spacing w:line="360" w:lineRule="auto"/>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6" w:name="_Toc3795902"/>
      <w:r>
        <w:rPr>
          <w:rFonts w:hint="eastAsia" w:eastAsia="黑体"/>
          <w:color w:val="000000" w:themeColor="text1"/>
          <w:sz w:val="32"/>
          <w:lang w:val="en-US" w:eastAsia="zh-CN"/>
          <w14:textFill>
            <w14:solidFill>
              <w14:schemeClr w14:val="tx1"/>
            </w14:solidFill>
          </w14:textFill>
        </w:rPr>
        <w:t>七、</w:t>
      </w:r>
      <w:r>
        <w:rPr>
          <w:rFonts w:eastAsia="黑体"/>
          <w:color w:val="000000" w:themeColor="text1"/>
          <w:sz w:val="32"/>
          <w14:textFill>
            <w14:solidFill>
              <w14:schemeClr w14:val="tx1"/>
            </w14:solidFill>
          </w14:textFill>
        </w:rPr>
        <w:t>项目主</w:t>
      </w:r>
      <w:bookmarkEnd w:id="16"/>
      <w:r>
        <w:rPr>
          <w:rFonts w:eastAsia="黑体"/>
          <w:color w:val="000000" w:themeColor="text1"/>
          <w:sz w:val="32"/>
          <w14:textFill>
            <w14:solidFill>
              <w14:schemeClr w14:val="tx1"/>
            </w14:solidFill>
          </w14:textFill>
        </w:rPr>
        <w:t>要污染物产生及预计排放情况</w:t>
      </w:r>
    </w:p>
    <w:tbl>
      <w:tblPr>
        <w:tblStyle w:val="11"/>
        <w:tblW w:w="490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76"/>
        <w:gridCol w:w="1582"/>
        <w:gridCol w:w="1334"/>
        <w:gridCol w:w="2681"/>
        <w:gridCol w:w="34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right"/>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内容</w:t>
            </w:r>
          </w:p>
          <w:p>
            <w:pPr>
              <w:ind w:left="-210" w:leftChars="-100"/>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类型</w:t>
            </w:r>
          </w:p>
        </w:tc>
        <w:tc>
          <w:tcPr>
            <w:tcW w:w="809"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排放源</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(编号)</w:t>
            </w:r>
          </w:p>
        </w:tc>
        <w:tc>
          <w:tcPr>
            <w:tcW w:w="682"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污染物</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名称</w:t>
            </w:r>
          </w:p>
        </w:tc>
        <w:tc>
          <w:tcPr>
            <w:tcW w:w="1371"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处理前产生浓度及产生量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c>
          <w:tcPr>
            <w:tcW w:w="1738"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排放浓度及排放量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施工</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w:t>
            </w:r>
          </w:p>
        </w:tc>
        <w:tc>
          <w:tcPr>
            <w:tcW w:w="137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0.301</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0.301</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X</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1.080</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1.080</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1.685</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1.685</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0.632</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0.632</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总烃</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0.627</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0.627</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钻探平整场地</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扬尘</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无组织排放，</w:t>
            </w:r>
            <w:r>
              <w:rPr>
                <w:color w:val="000000" w:themeColor="text1"/>
                <w:szCs w:val="21"/>
                <w14:textFill>
                  <w14:solidFill>
                    <w14:schemeClr w14:val="tx1"/>
                  </w14:solidFill>
                </w14:textFill>
              </w:rPr>
              <w:t>少量</w:t>
            </w:r>
          </w:p>
        </w:tc>
        <w:tc>
          <w:tcPr>
            <w:tcW w:w="1738"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洒水抑尘，达标排放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水</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生活污水</w:t>
            </w: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COD</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350mg/L，</w:t>
            </w:r>
            <w:r>
              <w:rPr>
                <w:rFonts w:hint="eastAsia"/>
                <w:color w:val="000000" w:themeColor="text1"/>
                <w:szCs w:val="21"/>
                <w:lang w:val="en-US" w:eastAsia="zh-CN"/>
                <w14:textFill>
                  <w14:solidFill>
                    <w14:schemeClr w14:val="tx1"/>
                  </w14:solidFill>
                </w14:textFill>
              </w:rPr>
              <w:t>0.672</w:t>
            </w:r>
            <w:r>
              <w:rPr>
                <w:rFonts w:hint="eastAsia"/>
                <w:color w:val="000000" w:themeColor="text1"/>
                <w:szCs w:val="21"/>
                <w14:textFill>
                  <w14:solidFill>
                    <w14:schemeClr w14:val="tx1"/>
                  </w14:solidFill>
                </w14:textFill>
              </w:rPr>
              <w:t>t</w:t>
            </w:r>
          </w:p>
        </w:tc>
        <w:tc>
          <w:tcPr>
            <w:tcW w:w="3406" w:type="dxa"/>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生活污水主要为盥洗水，沉淀处理后用于</w:t>
            </w:r>
            <w:r>
              <w:rPr>
                <w:rFonts w:hint="eastAsia" w:ascii="Times New Roman" w:cs="Times New Roman"/>
                <w:color w:val="000000" w:themeColor="text1"/>
                <w:sz w:val="21"/>
                <w:szCs w:val="21"/>
                <w:lang w:eastAsia="zh-CN"/>
                <w14:textFill>
                  <w14:solidFill>
                    <w14:schemeClr w14:val="tx1"/>
                  </w14:solidFill>
                </w14:textFill>
              </w:rPr>
              <w:t>防尘洒水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BOD</w:t>
            </w:r>
            <w:r>
              <w:rPr>
                <w:color w:val="000000" w:themeColor="text1"/>
                <w:szCs w:val="21"/>
                <w:vertAlign w:val="subscript"/>
                <w14:textFill>
                  <w14:solidFill>
                    <w14:schemeClr w14:val="tx1"/>
                  </w14:solidFill>
                </w14:textFill>
              </w:rPr>
              <w:t>5</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250mg/L，</w:t>
            </w:r>
            <w:r>
              <w:rPr>
                <w:rFonts w:hint="eastAsia"/>
                <w:color w:val="000000" w:themeColor="text1"/>
                <w:szCs w:val="21"/>
                <w:lang w:val="en-US" w:eastAsia="zh-CN"/>
                <w14:textFill>
                  <w14:solidFill>
                    <w14:schemeClr w14:val="tx1"/>
                  </w14:solidFill>
                </w14:textFill>
              </w:rPr>
              <w:t>0.48</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氨氮</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30mg/L，</w:t>
            </w:r>
            <w:r>
              <w:rPr>
                <w:rFonts w:hint="eastAsia"/>
                <w:color w:val="000000" w:themeColor="text1"/>
                <w:szCs w:val="21"/>
                <w:lang w:val="en-US" w:eastAsia="zh-CN"/>
                <w14:textFill>
                  <w14:solidFill>
                    <w14:schemeClr w14:val="tx1"/>
                  </w14:solidFill>
                </w14:textFill>
              </w:rPr>
              <w:t>0.058</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SS</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150mg/L，</w:t>
            </w:r>
            <w:r>
              <w:rPr>
                <w:rFonts w:hint="eastAsia"/>
                <w:color w:val="000000" w:themeColor="text1"/>
                <w:szCs w:val="21"/>
                <w:lang w:val="en-US" w:eastAsia="zh-CN"/>
                <w14:textFill>
                  <w14:solidFill>
                    <w14:schemeClr w14:val="tx1"/>
                  </w14:solidFill>
                </w14:textFill>
              </w:rPr>
              <w:t>0.288</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生产废水</w:t>
            </w:r>
          </w:p>
        </w:tc>
        <w:tc>
          <w:tcPr>
            <w:tcW w:w="682"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SS</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1500mg/L</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2.301</w:t>
            </w:r>
            <w:r>
              <w:rPr>
                <w:color w:val="000000" w:themeColor="text1"/>
                <w:szCs w:val="21"/>
                <w14:textFill>
                  <w14:solidFill>
                    <w14:schemeClr w14:val="tx1"/>
                  </w14:solidFill>
                </w14:textFill>
              </w:rPr>
              <w:t>t</w:t>
            </w:r>
          </w:p>
        </w:tc>
        <w:tc>
          <w:tcPr>
            <w:tcW w:w="3406" w:type="dxa"/>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rFonts w:hint="eastAsia" w:ascii="Times New Roman" w:cs="Times New Roman"/>
                <w:color w:val="000000" w:themeColor="text1"/>
                <w:sz w:val="21"/>
                <w:szCs w:val="21"/>
                <w:lang w:eastAsia="zh-CN"/>
                <w14:textFill>
                  <w14:solidFill>
                    <w14:schemeClr w14:val="tx1"/>
                  </w14:solidFill>
                </w14:textFill>
              </w:rPr>
              <w:t>钻井</w:t>
            </w:r>
            <w:r>
              <w:rPr>
                <w:rFonts w:ascii="Times New Roman" w:cs="Times New Roman"/>
                <w:color w:val="000000" w:themeColor="text1"/>
                <w:sz w:val="21"/>
                <w:szCs w:val="21"/>
                <w:lang w:eastAsia="zh-CN"/>
                <w14:textFill>
                  <w14:solidFill>
                    <w14:schemeClr w14:val="tx1"/>
                  </w14:solidFill>
                </w14:textFill>
              </w:rPr>
              <w:t>泥浆池中的上清液循环使用，</w:t>
            </w:r>
            <w:r>
              <w:rPr>
                <w:rFonts w:hint="eastAsia" w:ascii="Times New Roman" w:cs="Times New Roman"/>
                <w:color w:val="000000" w:themeColor="text1"/>
                <w:sz w:val="21"/>
                <w:szCs w:val="21"/>
                <w:lang w:eastAsia="zh-CN"/>
                <w14:textFill>
                  <w14:solidFill>
                    <w14:schemeClr w14:val="tx1"/>
                  </w14:solidFill>
                </w14:textFill>
              </w:rPr>
              <w:t>过程需补充一定消耗水量，</w:t>
            </w:r>
            <w:r>
              <w:rPr>
                <w:rFonts w:ascii="Times New Roman" w:cs="Times New Roman"/>
                <w:color w:val="000000" w:themeColor="text1"/>
                <w:sz w:val="21"/>
                <w:szCs w:val="21"/>
                <w:lang w:eastAsia="zh-CN"/>
                <w14:textFill>
                  <w14:solidFill>
                    <w14:schemeClr w14:val="tx1"/>
                  </w14:solidFill>
                </w14:textFill>
              </w:rPr>
              <w:t>废水全部循环</w:t>
            </w:r>
            <w:r>
              <w:rPr>
                <w:rFonts w:hint="eastAsia" w:ascii="Times New Roman" w:cs="Times New Roman"/>
                <w:color w:val="000000" w:themeColor="text1"/>
                <w:sz w:val="21"/>
                <w:szCs w:val="21"/>
                <w:lang w:eastAsia="zh-CN"/>
                <w14:textFill>
                  <w14:solidFill>
                    <w14:schemeClr w14:val="tx1"/>
                  </w14:solidFill>
                </w14:textFill>
              </w:rPr>
              <w:t>，不外排。设备冲洗废水</w:t>
            </w:r>
            <w:r>
              <w:rPr>
                <w:rFonts w:ascii="Times New Roman" w:cs="Times New Roman"/>
                <w:color w:val="000000" w:themeColor="text1"/>
                <w:sz w:val="21"/>
                <w:szCs w:val="21"/>
                <w:lang w:eastAsia="zh-CN"/>
                <w14:textFill>
                  <w14:solidFill>
                    <w14:schemeClr w14:val="tx1"/>
                  </w14:solidFill>
                </w14:textFill>
              </w:rPr>
              <w:t>进入泥浆池沉淀自然干化，不外排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废物</w:t>
            </w:r>
          </w:p>
        </w:tc>
        <w:tc>
          <w:tcPr>
            <w:tcW w:w="1584" w:type="dxa"/>
            <w:vMerge w:val="restar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w:t>
            </w: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616.3t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进入防渗泥浆池，钻孔完毕干化处理后填埋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岩芯</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456.3t</w:t>
            </w:r>
          </w:p>
        </w:tc>
        <w:tc>
          <w:tcPr>
            <w:tcW w:w="3400" w:type="dxa"/>
            <w:tcBorders>
              <w:tl2br w:val="nil"/>
              <w:tr2bl w:val="nil"/>
            </w:tcBorders>
            <w:vAlign w:val="center"/>
          </w:tcPr>
          <w:p>
            <w:pPr>
              <w:autoSpaceDE/>
              <w:autoSpaceDN/>
              <w:spacing w:line="280" w:lineRule="exact"/>
              <w:jc w:val="center"/>
              <w:rPr>
                <w:rFonts w:hint="eastAsia"/>
                <w:color w:val="000000" w:themeColor="text1"/>
                <w:szCs w:val="21"/>
                <w:lang w:eastAsia="zh-CN"/>
                <w14:textFill>
                  <w14:solidFill>
                    <w14:schemeClr w14:val="tx1"/>
                  </w14:solidFill>
                </w14:textFill>
              </w:rPr>
            </w:pPr>
            <w:r>
              <w:rPr>
                <w:rFonts w:hint="eastAsia"/>
                <w:color w:val="000000" w:themeColor="text1"/>
                <w:szCs w:val="21"/>
                <w:lang w:eastAsia="zh-CN"/>
                <w14:textFill>
                  <w14:solidFill>
                    <w14:schemeClr w14:val="tx1"/>
                  </w14:solidFill>
                </w14:textFill>
              </w:rPr>
              <w:t>矿段岩芯放置在岩芯库内，后期带回分析、化验；非矿段岩芯放置在</w:t>
            </w:r>
          </w:p>
          <w:p>
            <w:pPr>
              <w:adjustRightInd w:val="0"/>
              <w:snapToGrid w:val="0"/>
              <w:jc w:val="left"/>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岩芯池内，就地填埋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剥离表土</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3660m</w:t>
            </w:r>
            <w:r>
              <w:rPr>
                <w:rFonts w:hint="eastAsia"/>
                <w:color w:val="000000" w:themeColor="text1"/>
                <w:szCs w:val="21"/>
                <w:vertAlign w:val="superscript"/>
                <w:lang w:val="en-US" w:eastAsia="zh-CN"/>
                <w14:textFill>
                  <w14:solidFill>
                    <w14:schemeClr w14:val="tx1"/>
                  </w14:solidFill>
                </w14:textFill>
              </w:rPr>
              <w:t>3</w:t>
            </w:r>
          </w:p>
        </w:tc>
        <w:tc>
          <w:tcPr>
            <w:tcW w:w="3400" w:type="dxa"/>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表土就近堆放于钻孔平台附近，待封孔后用于植被恢复，平整场地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废</w:t>
            </w:r>
            <w:r>
              <w:rPr>
                <w:rFonts w:hint="eastAsia"/>
                <w:color w:val="000000" w:themeColor="text1"/>
                <w:szCs w:val="21"/>
                <w:lang w:val="en-US" w:eastAsia="zh-CN"/>
                <w14:textFill>
                  <w14:solidFill>
                    <w14:schemeClr w14:val="tx1"/>
                  </w14:solidFill>
                </w14:textFill>
              </w:rPr>
              <w:t>机</w:t>
            </w:r>
            <w:r>
              <w:rPr>
                <w:rFonts w:hint="eastAsia"/>
                <w:color w:val="000000" w:themeColor="text1"/>
                <w:szCs w:val="21"/>
                <w14:textFill>
                  <w14:solidFill>
                    <w14:schemeClr w14:val="tx1"/>
                  </w14:solidFill>
                </w14:textFill>
              </w:rPr>
              <w:t>油</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0.976t</w:t>
            </w:r>
          </w:p>
        </w:tc>
        <w:tc>
          <w:tcPr>
            <w:tcW w:w="3400" w:type="dxa"/>
            <w:tcBorders>
              <w:tl2br w:val="nil"/>
              <w:tr2bl w:val="nil"/>
            </w:tcBorders>
            <w:vAlign w:val="center"/>
          </w:tcPr>
          <w:p>
            <w:pPr>
              <w:autoSpaceDE/>
              <w:autoSpaceDN/>
              <w:adjustRightInd w:val="0"/>
              <w:snapToGrid w:val="0"/>
              <w:jc w:val="center"/>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建设单位收集后交有资质单位处置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584" w:type="dxa"/>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w:t>
            </w:r>
            <w:r>
              <w:rPr>
                <w:rFonts w:hint="eastAsia" w:cs="宋体"/>
                <w:color w:val="000000" w:themeColor="text1"/>
                <w:szCs w:val="21"/>
                <w14:textFill>
                  <w14:solidFill>
                    <w14:schemeClr w14:val="tx1"/>
                  </w14:solidFill>
                </w14:textFill>
              </w:rPr>
              <w:t>人员</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生活垃圾</w:t>
            </w:r>
          </w:p>
        </w:tc>
        <w:tc>
          <w:tcPr>
            <w:tcW w:w="1371" w:type="pct"/>
            <w:tcBorders>
              <w:tl2br w:val="nil"/>
              <w:tr2bl w:val="nil"/>
            </w:tcBorders>
            <w:vAlign w:val="center"/>
          </w:tcPr>
          <w:p>
            <w:pPr>
              <w:widowControl/>
              <w:jc w:val="center"/>
              <w:rPr>
                <w:rFonts w:hint="default"/>
                <w:color w:val="000000" w:themeColor="text1"/>
                <w:szCs w:val="2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20t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钻探</w:t>
            </w:r>
            <w:r>
              <w:rPr>
                <w:rFonts w:hint="eastAsia" w:ascii="Times New Roman" w:cs="Times New Roman"/>
                <w:color w:val="000000" w:themeColor="text1"/>
                <w:sz w:val="21"/>
                <w:szCs w:val="21"/>
                <w:lang w:eastAsia="zh-CN"/>
                <w14:textFill>
                  <w14:solidFill>
                    <w14:schemeClr w14:val="tx1"/>
                  </w14:solidFill>
                </w14:textFill>
              </w:rPr>
              <w:t>勘查区</w:t>
            </w:r>
            <w:r>
              <w:rPr>
                <w:rFonts w:ascii="Times New Roman" w:cs="Times New Roman"/>
                <w:color w:val="000000" w:themeColor="text1"/>
                <w:sz w:val="21"/>
                <w:szCs w:val="21"/>
                <w:lang w:eastAsia="zh-CN"/>
                <w14:textFill>
                  <w14:solidFill>
                    <w14:schemeClr w14:val="tx1"/>
                  </w14:solidFill>
                </w14:textFill>
              </w:rPr>
              <w:t>生活垃圾用垃圾袋带回</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设垃圾桶进行收集，定期送往乡镇垃圾堆放点，由当地环卫部门清理处置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4602" w:type="pct"/>
            <w:gridSpan w:val="4"/>
            <w:tcBorders>
              <w:tl2br w:val="nil"/>
              <w:tr2bl w:val="nil"/>
            </w:tcBorders>
            <w:vAlign w:val="center"/>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固定性声源主要有钻探机组、柴油发电机、泥浆泵、渣浆泵及泥浆搅拌机，噪声级一般65～95dB（A），须采取有效噪声控制措施使敏感目标处满足《声环境质量标准》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GB12348-2008</w:t>
            </w:r>
            <w:r>
              <w:rPr>
                <w:rFonts w:hint="eastAsia"/>
                <w:color w:val="000000" w:themeColor="text1"/>
                <w:szCs w:val="21"/>
                <w:lang w:eastAsia="zh-CN"/>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84" w:hRule="atLeast"/>
          <w:jc w:val="center"/>
        </w:trPr>
        <w:tc>
          <w:tcPr>
            <w:tcW w:w="5000" w:type="pct"/>
            <w:gridSpan w:val="5"/>
            <w:tcBorders>
              <w:tl2br w:val="nil"/>
              <w:tr2bl w:val="nil"/>
            </w:tcBorders>
          </w:tcPr>
          <w:p>
            <w:pPr>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主要生态影响（不够时可附另页）：</w:t>
            </w:r>
          </w:p>
          <w:p>
            <w:pPr>
              <w:pStyle w:val="17"/>
              <w:keepNext w:val="0"/>
              <w:keepLines w:val="0"/>
              <w:pageBreakBefore w:val="0"/>
              <w:widowControl w:val="0"/>
              <w:kinsoku/>
              <w:wordWrap/>
              <w:overflowPunct/>
              <w:topLinePunct w:val="0"/>
              <w:bidi w:val="0"/>
              <w:snapToGrid/>
              <w:spacing w:line="360" w:lineRule="auto"/>
              <w:ind w:left="105" w:right="66" w:firstLine="480"/>
              <w:textAlignment w:val="auto"/>
              <w:rPr>
                <w:color w:val="000000" w:themeColor="text1"/>
                <w:szCs w:val="21"/>
                <w14:textFill>
                  <w14:solidFill>
                    <w14:schemeClr w14:val="tx1"/>
                  </w14:solidFill>
                </w14:textFill>
              </w:rPr>
            </w:pPr>
            <w:r>
              <w:rPr>
                <w:color w:val="000000" w:themeColor="text1"/>
                <w:lang w:eastAsia="zh-CN"/>
                <w14:textFill>
                  <w14:solidFill>
                    <w14:schemeClr w14:val="tx1"/>
                  </w14:solidFill>
                </w14:textFill>
              </w:rPr>
              <w:t>在</w:t>
            </w:r>
            <w:r>
              <w:rPr>
                <w:rFonts w:hint="eastAsia"/>
                <w:color w:val="000000" w:themeColor="text1"/>
                <w:lang w:eastAsia="zh-CN"/>
                <w14:textFill>
                  <w14:solidFill>
                    <w14:schemeClr w14:val="tx1"/>
                  </w14:solidFill>
                </w14:textFill>
              </w:rPr>
              <w:t>勘查</w:t>
            </w:r>
            <w:r>
              <w:rPr>
                <w:color w:val="000000" w:themeColor="text1"/>
                <w:lang w:eastAsia="zh-CN"/>
                <w14:textFill>
                  <w14:solidFill>
                    <w14:schemeClr w14:val="tx1"/>
                  </w14:solidFill>
                </w14:textFill>
              </w:rPr>
              <w:t>间，平整钻孔场地，钻井施工会对生态环境产生一定的影响，主要影响为占用土地，破坏地表植被及原有土层等。</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7" w:name="_Toc3795903"/>
      <w:r>
        <w:rPr>
          <w:rFonts w:hint="eastAsia" w:eastAsia="黑体"/>
          <w:color w:val="000000" w:themeColor="text1"/>
          <w:sz w:val="32"/>
          <w:lang w:val="en-US" w:eastAsia="zh-CN"/>
          <w14:textFill>
            <w14:solidFill>
              <w14:schemeClr w14:val="tx1"/>
            </w14:solidFill>
          </w14:textFill>
        </w:rPr>
        <w:t>八、</w:t>
      </w:r>
      <w:r>
        <w:rPr>
          <w:rFonts w:eastAsia="黑体"/>
          <w:color w:val="000000" w:themeColor="text1"/>
          <w:sz w:val="32"/>
          <w14:textFill>
            <w14:solidFill>
              <w14:schemeClr w14:val="tx1"/>
            </w14:solidFill>
          </w14:textFill>
        </w:rPr>
        <w:t>环境影响分析</w:t>
      </w:r>
      <w:bookmarkEnd w:id="17"/>
    </w:p>
    <w:tbl>
      <w:tblPr>
        <w:tblStyle w:val="11"/>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153" w:hRule="atLeast"/>
          <w:jc w:val="center"/>
        </w:trPr>
        <w:tc>
          <w:tcPr>
            <w:tcW w:w="5000" w:type="pct"/>
          </w:tcPr>
          <w:p>
            <w:pPr>
              <w:spacing w:line="360" w:lineRule="auto"/>
              <w:rPr>
                <w:color w:val="000000" w:themeColor="text1"/>
                <w:sz w:val="28"/>
                <w14:textFill>
                  <w14:solidFill>
                    <w14:schemeClr w14:val="tx1"/>
                  </w14:solidFill>
                </w14:textFill>
              </w:rPr>
            </w:pPr>
            <w:r>
              <w:rPr>
                <w:b/>
                <w:color w:val="000000" w:themeColor="text1"/>
                <w:sz w:val="28"/>
                <w14:textFill>
                  <w14:solidFill>
                    <w14:schemeClr w14:val="tx1"/>
                  </w14:solidFill>
                </w14:textFill>
              </w:rPr>
              <w:t>施工期环境影响分析</w:t>
            </w:r>
            <w:r>
              <w:rPr>
                <w:color w:val="000000" w:themeColor="text1"/>
                <w:sz w:val="28"/>
                <w14:textFill>
                  <w14:solidFill>
                    <w14:schemeClr w14:val="tx1"/>
                  </w14:solidFill>
                </w14:textFill>
              </w:rPr>
              <w:t>：</w:t>
            </w:r>
          </w:p>
          <w:p>
            <w:pPr>
              <w:pStyle w:val="16"/>
              <w:spacing w:line="360" w:lineRule="auto"/>
              <w:ind w:firstLine="480" w:firstLineChars="200"/>
              <w:jc w:val="both"/>
              <w:rPr>
                <w:bCs/>
                <w:color w:val="000000" w:themeColor="text1"/>
                <w14:textFill>
                  <w14:solidFill>
                    <w14:schemeClr w14:val="tx1"/>
                  </w14:solidFill>
                </w14:textFill>
              </w:rPr>
            </w:pPr>
            <w:r>
              <w:rPr>
                <w:rFonts w:hint="eastAsia"/>
                <w:bCs/>
                <w:color w:val="000000" w:themeColor="text1"/>
                <w14:textFill>
                  <w14:solidFill>
                    <w14:schemeClr w14:val="tx1"/>
                  </w14:solidFill>
                </w14:textFill>
              </w:rPr>
              <w:t>施工期环境影响因素主要包括钻探施工、临时道路修建、施工营地布置等占用土地、破坏地表植被等造成的生态环境影响，施工扬尘、柴油废气等对环境空气的影响，施工污、废水等对地表水环境的影响，钻机、柴油发电机等施工设备对声环境的影响。</w:t>
            </w:r>
          </w:p>
          <w:p>
            <w:pPr>
              <w:pStyle w:val="16"/>
              <w:spacing w:line="360" w:lineRule="auto"/>
              <w:ind w:firstLine="480" w:firstLineChars="200"/>
              <w:jc w:val="both"/>
              <w:rPr>
                <w:rFonts w:hint="eastAsia"/>
                <w:bCs/>
                <w:color w:val="000000" w:themeColor="text1"/>
                <w14:textFill>
                  <w14:solidFill>
                    <w14:schemeClr w14:val="tx1"/>
                  </w14:solidFill>
                </w14:textFill>
              </w:rPr>
            </w:pPr>
            <w:r>
              <w:rPr>
                <w:rFonts w:hint="eastAsia"/>
                <w:bCs/>
                <w:color w:val="000000" w:themeColor="text1"/>
                <w14:textFill>
                  <w14:solidFill>
                    <w14:schemeClr w14:val="tx1"/>
                  </w14:solidFill>
                </w14:textFill>
              </w:rPr>
              <w:t>伴随施工期结束和临时占地的植被恢复，上述影响将会逐步消失。</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1、</w:t>
            </w:r>
            <w:r>
              <w:rPr>
                <w:rFonts w:hint="eastAsia"/>
                <w:b/>
                <w:color w:val="000000" w:themeColor="text1"/>
                <w:sz w:val="24"/>
                <w14:textFill>
                  <w14:solidFill>
                    <w14:schemeClr w14:val="tx1"/>
                  </w14:solidFill>
                </w14:textFill>
              </w:rPr>
              <w:t>环境空气影响分析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1.1评价等级判定</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估算模型参数</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项目钻井期间考虑主要为单钻孔施工，</w:t>
            </w:r>
            <w:r>
              <w:rPr>
                <w:rFonts w:hint="eastAsia"/>
                <w:color w:val="000000" w:themeColor="text1"/>
                <w:sz w:val="24"/>
                <w:lang w:val="en-US" w:eastAsia="zh-CN"/>
                <w14:textFill>
                  <w14:solidFill>
                    <w14:schemeClr w14:val="tx1"/>
                  </w14:solidFill>
                </w14:textFill>
              </w:rPr>
              <w:t>由于项目勘查区跨甘肃省和阿拉善盟，同时考虑2022年钻孔的设置情况，</w:t>
            </w:r>
            <w:r>
              <w:rPr>
                <w:rFonts w:hint="eastAsia"/>
                <w:color w:val="000000" w:themeColor="text1"/>
                <w:sz w:val="24"/>
                <w14:textFill>
                  <w14:solidFill>
                    <w14:schemeClr w14:val="tx1"/>
                  </w14:solidFill>
                </w14:textFill>
              </w:rPr>
              <w:t>本次评价选取位于</w:t>
            </w:r>
            <w:r>
              <w:rPr>
                <w:rFonts w:hint="eastAsia"/>
                <w:color w:val="000000" w:themeColor="text1"/>
                <w:sz w:val="24"/>
                <w:lang w:val="en-US" w:eastAsia="zh-CN"/>
                <w14:textFill>
                  <w14:solidFill>
                    <w14:schemeClr w14:val="tx1"/>
                  </w14:solidFill>
                </w14:textFill>
              </w:rPr>
              <w:t>阿拉善盟额济纳旗、甘肃省武威市</w:t>
            </w:r>
            <w:r>
              <w:rPr>
                <w:rFonts w:hint="eastAsia"/>
                <w:color w:val="000000" w:themeColor="text1"/>
                <w:sz w:val="24"/>
                <w14:textFill>
                  <w14:solidFill>
                    <w14:schemeClr w14:val="tx1"/>
                  </w14:solidFill>
                </w14:textFill>
              </w:rPr>
              <w:t>的钻孔施工，说明</w:t>
            </w:r>
            <w:r>
              <w:rPr>
                <w:rFonts w:hint="eastAsia"/>
                <w:color w:val="000000" w:themeColor="text1"/>
                <w:sz w:val="24"/>
                <w:lang w:val="en-US" w:eastAsia="zh-CN"/>
                <w14:textFill>
                  <w14:solidFill>
                    <w14:schemeClr w14:val="tx1"/>
                  </w14:solidFill>
                </w14:textFill>
              </w:rPr>
              <w:t>本项目</w:t>
            </w:r>
            <w:r>
              <w:rPr>
                <w:rFonts w:hint="eastAsia"/>
                <w:color w:val="000000" w:themeColor="text1"/>
                <w:sz w:val="24"/>
                <w14:textFill>
                  <w14:solidFill>
                    <w14:schemeClr w14:val="tx1"/>
                  </w14:solidFill>
                </w14:textFill>
              </w:rPr>
              <w:t>柴油</w:t>
            </w:r>
            <w:r>
              <w:rPr>
                <w:rFonts w:hint="eastAsia"/>
                <w:color w:val="000000" w:themeColor="text1"/>
                <w:sz w:val="24"/>
                <w:lang w:val="en-US" w:eastAsia="zh-CN"/>
                <w14:textFill>
                  <w14:solidFill>
                    <w14:schemeClr w14:val="tx1"/>
                  </w14:solidFill>
                </w14:textFill>
              </w:rPr>
              <w:t>发电</w:t>
            </w:r>
            <w:r>
              <w:rPr>
                <w:rFonts w:hint="eastAsia"/>
                <w:color w:val="000000" w:themeColor="text1"/>
                <w:sz w:val="24"/>
                <w14:textFill>
                  <w14:solidFill>
                    <w14:schemeClr w14:val="tx1"/>
                  </w14:solidFill>
                </w14:textFill>
              </w:rPr>
              <w:t>机废气</w:t>
            </w:r>
            <w:r>
              <w:rPr>
                <w:rFonts w:hint="eastAsia"/>
                <w:color w:val="000000" w:themeColor="text1"/>
                <w:sz w:val="24"/>
                <w:lang w:val="en-US" w:eastAsia="zh-CN"/>
                <w14:textFill>
                  <w14:solidFill>
                    <w14:schemeClr w14:val="tx1"/>
                  </w14:solidFill>
                </w14:textFill>
              </w:rPr>
              <w:t>的</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估算模型参数表见下表8-1。</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lang w:val="en-US" w:eastAsia="zh-CN"/>
                <w14:textFill>
                  <w14:solidFill>
                    <w14:schemeClr w14:val="tx1"/>
                  </w14:solidFill>
                </w14:textFill>
              </w:rPr>
              <w:t>8</w:t>
            </w:r>
            <w:r>
              <w:rPr>
                <w:b w:val="0"/>
                <w:bCs w:val="0"/>
                <w:color w:val="000000" w:themeColor="text1"/>
                <w:sz w:val="24"/>
                <w14:textFill>
                  <w14:solidFill>
                    <w14:schemeClr w14:val="tx1"/>
                  </w14:solidFill>
                </w14:textFill>
              </w:rPr>
              <w:t>-1  估算模型参数</w:t>
            </w:r>
          </w:p>
          <w:tbl>
            <w:tblPr>
              <w:tblStyle w:val="1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259"/>
              <w:gridCol w:w="2761"/>
              <w:gridCol w:w="2259"/>
              <w:gridCol w:w="226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31" w:type="pct"/>
                  <w:gridSpan w:val="2"/>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参数</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4" w:type="pct"/>
                  <w:vMerge w:val="restar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城市/农村选项</w:t>
                  </w:r>
                </w:p>
              </w:tc>
              <w:tc>
                <w:tcPr>
                  <w:tcW w:w="1447"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农村</w:t>
                  </w: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额济纳旗</w:t>
                  </w:r>
                  <w:r>
                    <w:rPr>
                      <w:rFonts w:hint="eastAsia" w:ascii="Times New Roman" w:hAnsi="Times New Roman" w:cs="Times New Roman"/>
                      <w:color w:val="000000" w:themeColor="text1"/>
                      <w:szCs w:val="21"/>
                      <w:lang w:eastAsia="zh-CN"/>
                      <w14:textFill>
                        <w14:solidFill>
                          <w14:schemeClr w14:val="tx1"/>
                        </w14:solidFill>
                      </w14:textFill>
                    </w:rPr>
                    <w:t>）</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农村</w:t>
                  </w: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武威市</w:t>
                  </w:r>
                  <w:r>
                    <w:rPr>
                      <w:rFonts w:hint="eastAsia"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4" w:type="pct"/>
                  <w:vMerge w:val="continue"/>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p>
              </w:tc>
              <w:tc>
                <w:tcPr>
                  <w:tcW w:w="1447"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人口数（城市选项时）</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31" w:type="pct"/>
                  <w:gridSpan w:val="2"/>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最高环境温度/℃</w:t>
                  </w:r>
                </w:p>
              </w:tc>
              <w:tc>
                <w:tcPr>
                  <w:tcW w:w="1184" w:type="pct"/>
                  <w:vAlign w:val="center"/>
                </w:tcPr>
                <w:p>
                  <w:pPr>
                    <w:pStyle w:val="2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36.2</w:t>
                  </w:r>
                </w:p>
              </w:tc>
              <w:tc>
                <w:tcPr>
                  <w:tcW w:w="1184" w:type="pct"/>
                  <w:vAlign w:val="center"/>
                </w:tcPr>
                <w:p>
                  <w:pPr>
                    <w:pStyle w:val="2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41.7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31" w:type="pct"/>
                  <w:gridSpan w:val="2"/>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最低环境温度/℃</w:t>
                  </w:r>
                </w:p>
              </w:tc>
              <w:tc>
                <w:tcPr>
                  <w:tcW w:w="1184" w:type="pct"/>
                  <w:vAlign w:val="center"/>
                </w:tcPr>
                <w:p>
                  <w:pPr>
                    <w:pStyle w:val="2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37.1</w:t>
                  </w:r>
                </w:p>
              </w:tc>
              <w:tc>
                <w:tcPr>
                  <w:tcW w:w="1184" w:type="pct"/>
                  <w:vAlign w:val="center"/>
                </w:tcPr>
                <w:p>
                  <w:pPr>
                    <w:pStyle w:val="2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29.5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31" w:type="pct"/>
                  <w:gridSpan w:val="2"/>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土地利用类型</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荒漠</w:t>
                  </w:r>
                </w:p>
              </w:tc>
              <w:tc>
                <w:tcPr>
                  <w:tcW w:w="1184" w:type="pct"/>
                  <w:vAlign w:val="center"/>
                </w:tcPr>
                <w:p>
                  <w:pPr>
                    <w:pStyle w:val="22"/>
                    <w:snapToGrid/>
                    <w:rPr>
                      <w:rFonts w:hint="eastAsia"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hint="eastAsia" w:cs="Times New Roman"/>
                      <w:color w:val="000000" w:themeColor="text1"/>
                      <w:lang w:val="en-US" w:eastAsia="zh-CN"/>
                      <w14:textFill>
                        <w14:solidFill>
                          <w14:schemeClr w14:val="tx1"/>
                        </w14:solidFill>
                      </w14:textFill>
                    </w:rPr>
                    <w:t>荒漠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31" w:type="pct"/>
                  <w:gridSpan w:val="2"/>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区域湿度条件</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干燥气候</w:t>
                  </w:r>
                </w:p>
              </w:tc>
              <w:tc>
                <w:tcPr>
                  <w:tcW w:w="1184" w:type="pct"/>
                  <w:vAlign w:val="center"/>
                </w:tcPr>
                <w:p>
                  <w:pPr>
                    <w:pStyle w:val="22"/>
                    <w:snapToGrid/>
                    <w:rPr>
                      <w:rFonts w:hint="eastAsia"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hint="eastAsia" w:cs="Times New Roman"/>
                      <w:color w:val="000000" w:themeColor="text1"/>
                      <w:lang w:eastAsia="zh-CN"/>
                      <w14:textFill>
                        <w14:solidFill>
                          <w14:schemeClr w14:val="tx1"/>
                        </w14:solidFill>
                      </w14:textFill>
                    </w:rPr>
                    <w:t>干燥气候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4" w:type="pct"/>
                  <w:vMerge w:val="restar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是否考虑地形</w:t>
                  </w:r>
                </w:p>
              </w:tc>
              <w:tc>
                <w:tcPr>
                  <w:tcW w:w="1447"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考虑地形</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1184" w:type="pct"/>
                  <w:vAlign w:val="center"/>
                </w:tcPr>
                <w:p>
                  <w:pPr>
                    <w:pStyle w:val="22"/>
                    <w:snapToGrid/>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4" w:type="pct"/>
                  <w:vMerge w:val="continue"/>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p>
              </w:tc>
              <w:tc>
                <w:tcPr>
                  <w:tcW w:w="1447"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地形数据分表率/m</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4" w:type="pct"/>
                  <w:vMerge w:val="restar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是否考虑岸线熏烟</w:t>
                  </w:r>
                </w:p>
              </w:tc>
              <w:tc>
                <w:tcPr>
                  <w:tcW w:w="1447"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考虑岸线熏烟</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1184" w:type="pct"/>
                  <w:vAlign w:val="center"/>
                </w:tcPr>
                <w:p>
                  <w:pPr>
                    <w:pStyle w:val="22"/>
                    <w:snapToGrid/>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4" w:type="pct"/>
                  <w:vMerge w:val="continue"/>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p>
              </w:tc>
              <w:tc>
                <w:tcPr>
                  <w:tcW w:w="1447"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岸线距离/km</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4" w:type="pct"/>
                  <w:vMerge w:val="continue"/>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p>
              </w:tc>
              <w:tc>
                <w:tcPr>
                  <w:tcW w:w="1447"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岸线方向/°</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1184" w:type="pct"/>
                  <w:vAlign w:val="center"/>
                </w:tcPr>
                <w:p>
                  <w:pPr>
                    <w:pStyle w:val="2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bl>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污染源排放参数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本项目建成后污染物排放</w:t>
            </w:r>
            <w:r>
              <w:rPr>
                <w:rFonts w:hint="eastAsia"/>
                <w:color w:val="000000" w:themeColor="text1"/>
                <w:sz w:val="24"/>
                <w:lang w:val="en-US" w:eastAsia="zh-CN"/>
                <w14:textFill>
                  <w14:solidFill>
                    <w14:schemeClr w14:val="tx1"/>
                  </w14:solidFill>
                </w14:textFill>
              </w:rPr>
              <w:t>情况</w:t>
            </w:r>
            <w:r>
              <w:rPr>
                <w:color w:val="000000" w:themeColor="text1"/>
                <w:sz w:val="24"/>
                <w14:textFill>
                  <w14:solidFill>
                    <w14:schemeClr w14:val="tx1"/>
                  </w14:solidFill>
                </w14:textFill>
              </w:rPr>
              <w:t>见表8-2。</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表8-2  污染物排放源强统计一览表</w:t>
            </w:r>
          </w:p>
          <w:tbl>
            <w:tblPr>
              <w:tblStyle w:val="11"/>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52"/>
              <w:gridCol w:w="750"/>
              <w:gridCol w:w="752"/>
              <w:gridCol w:w="815"/>
              <w:gridCol w:w="662"/>
              <w:gridCol w:w="1078"/>
              <w:gridCol w:w="1078"/>
              <w:gridCol w:w="1078"/>
              <w:gridCol w:w="1078"/>
              <w:gridCol w:w="10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点源</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393"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高度</w:t>
                  </w:r>
                </w:p>
              </w:tc>
              <w:tc>
                <w:tcPr>
                  <w:tcW w:w="394"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内径</w:t>
                  </w:r>
                </w:p>
              </w:tc>
              <w:tc>
                <w:tcPr>
                  <w:tcW w:w="427"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流量</w:t>
                  </w:r>
                </w:p>
              </w:tc>
              <w:tc>
                <w:tcPr>
                  <w:tcW w:w="347"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烟气出口</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温度</w:t>
                  </w:r>
                </w:p>
              </w:tc>
              <w:tc>
                <w:tcPr>
                  <w:tcW w:w="2831" w:type="pct"/>
                  <w:gridSpan w:val="5"/>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排放因子源强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04" w:type="pct"/>
                  <w:vMerge w:val="continue"/>
                  <w:vAlign w:val="center"/>
                </w:tcPr>
                <w:p>
                  <w:pPr>
                    <w:jc w:val="center"/>
                    <w:rPr>
                      <w:color w:val="000000" w:themeColor="text1"/>
                      <w:szCs w:val="21"/>
                      <w14:textFill>
                        <w14:solidFill>
                          <w14:schemeClr w14:val="tx1"/>
                        </w14:solidFill>
                      </w14:textFill>
                    </w:rPr>
                  </w:pPr>
                </w:p>
              </w:tc>
              <w:tc>
                <w:tcPr>
                  <w:tcW w:w="393" w:type="pct"/>
                  <w:vMerge w:val="continue"/>
                  <w:vAlign w:val="center"/>
                </w:tcPr>
                <w:p>
                  <w:pPr>
                    <w:jc w:val="center"/>
                    <w:rPr>
                      <w:color w:val="000000" w:themeColor="text1"/>
                      <w:szCs w:val="21"/>
                      <w14:textFill>
                        <w14:solidFill>
                          <w14:schemeClr w14:val="tx1"/>
                        </w14:solidFill>
                      </w14:textFill>
                    </w:rPr>
                  </w:pPr>
                </w:p>
              </w:tc>
              <w:tc>
                <w:tcPr>
                  <w:tcW w:w="394" w:type="pct"/>
                  <w:vMerge w:val="continue"/>
                  <w:vAlign w:val="center"/>
                </w:tcPr>
                <w:p>
                  <w:pPr>
                    <w:jc w:val="center"/>
                    <w:rPr>
                      <w:color w:val="000000" w:themeColor="text1"/>
                      <w:szCs w:val="21"/>
                      <w14:textFill>
                        <w14:solidFill>
                          <w14:schemeClr w14:val="tx1"/>
                        </w14:solidFill>
                      </w14:textFill>
                    </w:rPr>
                  </w:pPr>
                </w:p>
              </w:tc>
              <w:tc>
                <w:tcPr>
                  <w:tcW w:w="427" w:type="pct"/>
                  <w:vMerge w:val="continue"/>
                  <w:vAlign w:val="center"/>
                </w:tcPr>
                <w:p>
                  <w:pPr>
                    <w:jc w:val="center"/>
                    <w:rPr>
                      <w:color w:val="000000" w:themeColor="text1"/>
                      <w:szCs w:val="21"/>
                      <w14:textFill>
                        <w14:solidFill>
                          <w14:schemeClr w14:val="tx1"/>
                        </w14:solidFill>
                      </w14:textFill>
                    </w:rPr>
                  </w:pPr>
                </w:p>
              </w:tc>
              <w:tc>
                <w:tcPr>
                  <w:tcW w:w="347" w:type="pct"/>
                  <w:vMerge w:val="continue"/>
                  <w:vAlign w:val="center"/>
                </w:tcPr>
                <w:p>
                  <w:pPr>
                    <w:jc w:val="center"/>
                    <w:rPr>
                      <w:color w:val="000000" w:themeColor="text1"/>
                      <w:szCs w:val="21"/>
                      <w14:textFill>
                        <w14:solidFill>
                          <w14:schemeClr w14:val="tx1"/>
                        </w14:solidFill>
                      </w14:textFill>
                    </w:rPr>
                  </w:pPr>
                </w:p>
              </w:tc>
              <w:tc>
                <w:tcPr>
                  <w:tcW w:w="565"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570"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Merge w:val="continue"/>
                  <w:vAlign w:val="center"/>
                </w:tcPr>
                <w:p>
                  <w:pPr>
                    <w:jc w:val="center"/>
                    <w:rPr>
                      <w:color w:val="000000" w:themeColor="text1"/>
                      <w:szCs w:val="21"/>
                      <w14:textFill>
                        <w14:solidFill>
                          <w14:schemeClr w14:val="tx1"/>
                        </w14:solidFill>
                      </w14:textFill>
                    </w:rPr>
                  </w:pPr>
                </w:p>
              </w:tc>
              <w:tc>
                <w:tcPr>
                  <w:tcW w:w="39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42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/h</w:t>
                  </w:r>
                </w:p>
              </w:tc>
              <w:tc>
                <w:tcPr>
                  <w:tcW w:w="34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2831" w:type="pct"/>
                  <w:gridSpan w:val="5"/>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kg/h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柴油机废气</w:t>
                  </w:r>
                </w:p>
              </w:tc>
              <w:tc>
                <w:tcPr>
                  <w:tcW w:w="39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0.05</w:t>
                  </w:r>
                </w:p>
              </w:tc>
              <w:tc>
                <w:tcPr>
                  <w:tcW w:w="42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360</w:t>
                  </w:r>
                </w:p>
              </w:tc>
              <w:tc>
                <w:tcPr>
                  <w:tcW w:w="34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180</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0.004</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0.024</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0.015</w:t>
                  </w:r>
                </w:p>
              </w:tc>
              <w:tc>
                <w:tcPr>
                  <w:tcW w:w="565"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r>
                    <w:rPr>
                      <w:color w:val="000000" w:themeColor="text1"/>
                      <w:szCs w:val="21"/>
                      <w14:textFill>
                        <w14:solidFill>
                          <w14:schemeClr w14:val="tx1"/>
                        </w14:solidFill>
                      </w14:textFill>
                    </w:rPr>
                    <w:t>.015</w:t>
                  </w:r>
                </w:p>
              </w:tc>
              <w:tc>
                <w:tcPr>
                  <w:tcW w:w="570"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0.009</w:t>
                  </w:r>
                </w:p>
              </w:tc>
            </w:tr>
          </w:tbl>
          <w:p>
            <w:pPr>
              <w:pStyle w:val="4"/>
              <w:keepNext/>
              <w:keepLines/>
              <w:pageBreakBefore w:val="0"/>
              <w:widowControl w:val="0"/>
              <w:kinsoku/>
              <w:wordWrap/>
              <w:overflowPunct/>
              <w:topLinePunct w:val="0"/>
              <w:autoSpaceDE/>
              <w:autoSpaceDN/>
              <w:bidi w:val="0"/>
              <w:adjustRightInd/>
              <w:snapToGrid/>
              <w:spacing w:before="0" w:after="0" w:line="240" w:lineRule="auto"/>
              <w:textAlignment w:val="auto"/>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注：本次保守考虑，NO</w:t>
            </w:r>
            <w:r>
              <w:rPr>
                <w:rFonts w:hint="default" w:ascii="Times New Roman" w:hAnsi="Times New Roman" w:cs="Times New Roman"/>
                <w:b w:val="0"/>
                <w:bCs w:val="0"/>
                <w:color w:val="000000" w:themeColor="text1"/>
                <w:sz w:val="21"/>
                <w:szCs w:val="21"/>
                <w:vertAlign w:val="subscript"/>
                <w14:textFill>
                  <w14:solidFill>
                    <w14:schemeClr w14:val="tx1"/>
                  </w14:solidFill>
                </w14:textFill>
              </w:rPr>
              <w:t>2</w:t>
            </w:r>
            <w:r>
              <w:rPr>
                <w:rFonts w:hint="default" w:ascii="Times New Roman" w:hAnsi="Times New Roman" w:cs="Times New Roman"/>
                <w:b w:val="0"/>
                <w:bCs w:val="0"/>
                <w:color w:val="000000" w:themeColor="text1"/>
                <w:sz w:val="21"/>
                <w:szCs w:val="21"/>
                <w14:textFill>
                  <w14:solidFill>
                    <w14:schemeClr w14:val="tx1"/>
                  </w14:solidFill>
                </w14:textFill>
              </w:rPr>
              <w:t>源强按NOx的全部产生量计。</w:t>
            </w:r>
          </w:p>
          <w:p>
            <w:pPr>
              <w:spacing w:line="360" w:lineRule="auto"/>
              <w:ind w:firstLine="480" w:firstLineChars="20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lang w:eastAsia="zh-CN"/>
                <w14:textFill>
                  <w14:solidFill>
                    <w14:schemeClr w14:val="tx1"/>
                  </w14:solidFill>
                </w14:textFill>
              </w:rPr>
              <w:t>（</w:t>
            </w:r>
            <w:r>
              <w:rPr>
                <w:rFonts w:hint="eastAsia" w:ascii="宋体" w:hAnsi="宋体" w:cs="宋体"/>
                <w:color w:val="000000" w:themeColor="text1"/>
                <w:sz w:val="24"/>
                <w:lang w:val="en-US" w:eastAsia="zh-CN"/>
                <w14:textFill>
                  <w14:solidFill>
                    <w14:schemeClr w14:val="tx1"/>
                  </w14:solidFill>
                </w14:textFill>
              </w:rPr>
              <w:t>3</w:t>
            </w:r>
            <w:r>
              <w:rPr>
                <w:rFonts w:hint="eastAsia" w:ascii="宋体" w:hAnsi="宋体" w:cs="宋体"/>
                <w:color w:val="000000" w:themeColor="text1"/>
                <w:sz w:val="24"/>
                <w:lang w:eastAsia="zh-CN"/>
                <w14:textFill>
                  <w14:solidFill>
                    <w14:schemeClr w14:val="tx1"/>
                  </w14:solidFill>
                </w14:textFill>
              </w:rPr>
              <w:t>）</w:t>
            </w:r>
            <w:r>
              <w:rPr>
                <w:rFonts w:hint="eastAsia" w:ascii="宋体" w:hAnsi="宋体" w:cs="宋体"/>
                <w:color w:val="000000" w:themeColor="text1"/>
                <w:sz w:val="24"/>
                <w14:textFill>
                  <w14:solidFill>
                    <w14:schemeClr w14:val="tx1"/>
                  </w14:solidFill>
                </w14:textFill>
              </w:rPr>
              <w:t>估算结果及分析评价</w:t>
            </w:r>
          </w:p>
          <w:p>
            <w:pPr>
              <w:spacing w:line="360" w:lineRule="auto"/>
              <w:ind w:firstLine="480" w:firstLineChars="20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利用估算模式的计算结果见表</w:t>
            </w:r>
            <w:r>
              <w:rPr>
                <w:rFonts w:cs="宋体"/>
                <w:color w:val="000000" w:themeColor="text1"/>
                <w:sz w:val="24"/>
                <w14:textFill>
                  <w14:solidFill>
                    <w14:schemeClr w14:val="tx1"/>
                  </w14:solidFill>
                </w14:textFill>
              </w:rPr>
              <w:t>8-3</w:t>
            </w:r>
            <w:r>
              <w:rPr>
                <w:rFonts w:hint="eastAsia" w:ascii="宋体" w:hAnsi="宋体" w:cs="宋体"/>
                <w:color w:val="000000" w:themeColor="text1"/>
                <w:sz w:val="24"/>
                <w14:textFill>
                  <w14:solidFill>
                    <w14:schemeClr w14:val="tx1"/>
                  </w14:solidFill>
                </w14:textFill>
              </w:rPr>
              <w:t>。</w:t>
            </w:r>
          </w:p>
          <w:p>
            <w:pPr>
              <w:spacing w:line="240" w:lineRule="auto"/>
              <w:ind w:firstLine="480" w:firstLineChars="20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表8-</w:t>
            </w:r>
            <w:r>
              <w:rPr>
                <w:rFonts w:hint="eastAsia"/>
                <w:b w:val="0"/>
                <w:bCs w:val="0"/>
                <w:color w:val="000000" w:themeColor="text1"/>
                <w:sz w:val="24"/>
                <w:lang w:val="en-US" w:eastAsia="zh-CN"/>
                <w14:textFill>
                  <w14:solidFill>
                    <w14:schemeClr w14:val="tx1"/>
                  </w14:solidFill>
                </w14:textFill>
              </w:rPr>
              <w:t>3</w:t>
            </w:r>
            <w:r>
              <w:rPr>
                <w:b w:val="0"/>
                <w:bCs w:val="0"/>
                <w:color w:val="000000" w:themeColor="text1"/>
                <w:sz w:val="24"/>
                <w14:textFill>
                  <w14:solidFill>
                    <w14:schemeClr w14:val="tx1"/>
                  </w14:solidFill>
                </w14:textFill>
              </w:rPr>
              <w:t xml:space="preserve">  污染源最大净增落地浓度预测结果表</w:t>
            </w:r>
          </w:p>
          <w:tbl>
            <w:tblPr>
              <w:tblStyle w:val="11"/>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79"/>
              <w:gridCol w:w="1366"/>
              <w:gridCol w:w="1337"/>
              <w:gridCol w:w="1890"/>
              <w:gridCol w:w="1620"/>
              <w:gridCol w:w="194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污染源</w:t>
                  </w:r>
                </w:p>
              </w:tc>
              <w:tc>
                <w:tcPr>
                  <w:tcW w:w="716" w:type="pct"/>
                  <w:vAlign w:val="center"/>
                </w:tcPr>
                <w:p>
                  <w:pPr>
                    <w:snapToGrid w:val="0"/>
                    <w:spacing w:line="28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区域</w:t>
                  </w:r>
                </w:p>
              </w:tc>
              <w:tc>
                <w:tcPr>
                  <w:tcW w:w="701"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991"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最大落地浓度(</w:t>
                  </w:r>
                  <w:r>
                    <w:rPr>
                      <w:rFonts w:hint="eastAsia"/>
                      <w:color w:val="000000" w:themeColor="text1"/>
                      <w:szCs w:val="21"/>
                      <w:lang w:val="en-US" w:eastAsia="zh-CN"/>
                      <w14:textFill>
                        <w14:solidFill>
                          <w14:schemeClr w14:val="tx1"/>
                        </w14:solidFill>
                      </w14:textFill>
                    </w:rPr>
                    <w:t>m</w:t>
                  </w:r>
                  <w:r>
                    <w:rPr>
                      <w:color w:val="000000" w:themeColor="text1"/>
                      <w:szCs w:val="21"/>
                      <w14:textFill>
                        <w14:solidFill>
                          <w14:schemeClr w14:val="tx1"/>
                        </w14:solidFill>
                      </w14:textFill>
                    </w:rPr>
                    <w:t>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849"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下风向距离（m）</w:t>
                  </w:r>
                </w:p>
              </w:tc>
              <w:tc>
                <w:tcPr>
                  <w:tcW w:w="1017"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restar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w:t>
                  </w:r>
                </w:p>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716" w:type="pct"/>
                  <w:vMerge w:val="restart"/>
                  <w:vAlign w:val="center"/>
                </w:tcPr>
                <w:p>
                  <w:pPr>
                    <w:snapToGrid w:val="0"/>
                    <w:spacing w:line="280" w:lineRule="exact"/>
                    <w:jc w:val="center"/>
                    <w:rPr>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额济纳旗</w:t>
                  </w:r>
                </w:p>
              </w:tc>
              <w:tc>
                <w:tcPr>
                  <w:tcW w:w="701" w:type="pct"/>
                  <w:vAlign w:val="center"/>
                </w:tcPr>
                <w:p>
                  <w:pPr>
                    <w:spacing w:line="280" w:lineRule="exact"/>
                    <w:ind w:left="-105" w:leftChars="-50" w:right="-105" w:rightChars="-50"/>
                    <w:jc w:val="center"/>
                    <w:rPr>
                      <w:rFonts w:hint="default" w:eastAsia="宋体"/>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991" w:type="pct"/>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i w:val="0"/>
                      <w:color w:val="000000" w:themeColor="text1"/>
                      <w:kern w:val="0"/>
                      <w:sz w:val="21"/>
                      <w:szCs w:val="21"/>
                      <w:u w:val="none"/>
                      <w:lang w:val="en-US" w:eastAsia="zh-CN" w:bidi="ar"/>
                      <w14:textFill>
                        <w14:solidFill>
                          <w14:schemeClr w14:val="tx1"/>
                        </w14:solidFill>
                      </w14:textFill>
                    </w:rPr>
                    <w:t>2.10</w:t>
                  </w: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E-0</w:t>
                  </w:r>
                  <w:r>
                    <w:rPr>
                      <w:rFonts w:hint="default" w:ascii="Times New Roman" w:hAnsi="Times New Roman" w:cs="Times New Roman"/>
                      <w:i w:val="0"/>
                      <w:color w:val="000000" w:themeColor="text1"/>
                      <w:kern w:val="0"/>
                      <w:sz w:val="21"/>
                      <w:szCs w:val="21"/>
                      <w:u w:val="none"/>
                      <w:lang w:val="en-US" w:eastAsia="zh-CN" w:bidi="ar"/>
                      <w14:textFill>
                        <w14:solidFill>
                          <w14:schemeClr w14:val="tx1"/>
                        </w14:solidFill>
                      </w14:textFill>
                    </w:rPr>
                    <w:t>2</w:t>
                  </w:r>
                </w:p>
              </w:tc>
              <w:tc>
                <w:tcPr>
                  <w:tcW w:w="849"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19</w:t>
                  </w:r>
                </w:p>
              </w:tc>
              <w:tc>
                <w:tcPr>
                  <w:tcW w:w="101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1.31E-02</w:t>
                  </w:r>
                </w:p>
              </w:tc>
              <w:tc>
                <w:tcPr>
                  <w:tcW w:w="849"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19</w:t>
                  </w:r>
                </w:p>
              </w:tc>
              <w:tc>
                <w:tcPr>
                  <w:tcW w:w="101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6.56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3.50E-03</w:t>
                  </w:r>
                </w:p>
              </w:tc>
              <w:tc>
                <w:tcPr>
                  <w:tcW w:w="849"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19</w:t>
                  </w:r>
                </w:p>
              </w:tc>
              <w:tc>
                <w:tcPr>
                  <w:tcW w:w="101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1.31E-02</w:t>
                  </w:r>
                </w:p>
              </w:tc>
              <w:tc>
                <w:tcPr>
                  <w:tcW w:w="849"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19</w:t>
                  </w:r>
                </w:p>
              </w:tc>
              <w:tc>
                <w:tcPr>
                  <w:tcW w:w="101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7.87E-03</w:t>
                  </w:r>
                </w:p>
              </w:tc>
              <w:tc>
                <w:tcPr>
                  <w:tcW w:w="849"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19</w:t>
                  </w:r>
                </w:p>
              </w:tc>
              <w:tc>
                <w:tcPr>
                  <w:tcW w:w="101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restart"/>
                  <w:vAlign w:val="center"/>
                </w:tcPr>
                <w:p>
                  <w:pPr>
                    <w:snapToGrid w:val="0"/>
                    <w:spacing w:line="280" w:lineRule="exact"/>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武威市</w:t>
                  </w:r>
                </w:p>
              </w:tc>
              <w:tc>
                <w:tcPr>
                  <w:tcW w:w="70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1.28E-02</w:t>
                  </w:r>
                </w:p>
              </w:tc>
              <w:tc>
                <w:tcPr>
                  <w:tcW w:w="849"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w:t>
                  </w:r>
                </w:p>
              </w:tc>
              <w:tc>
                <w:tcPr>
                  <w:tcW w:w="1017" w:type="pct"/>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1.28E-02</w:t>
                  </w:r>
                </w:p>
              </w:tc>
              <w:tc>
                <w:tcPr>
                  <w:tcW w:w="849"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w:t>
                  </w:r>
                </w:p>
              </w:tc>
              <w:tc>
                <w:tcPr>
                  <w:tcW w:w="1017"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3.41E-03</w:t>
                  </w:r>
                </w:p>
              </w:tc>
              <w:tc>
                <w:tcPr>
                  <w:tcW w:w="849" w:type="pct"/>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w:t>
                  </w:r>
                </w:p>
              </w:tc>
              <w:tc>
                <w:tcPr>
                  <w:tcW w:w="1017"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1.28E-02</w:t>
                  </w:r>
                </w:p>
              </w:tc>
              <w:tc>
                <w:tcPr>
                  <w:tcW w:w="849" w:type="pct"/>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w:t>
                  </w:r>
                </w:p>
              </w:tc>
              <w:tc>
                <w:tcPr>
                  <w:tcW w:w="1017"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723"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16"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70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991"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7.68E-03</w:t>
                  </w:r>
                </w:p>
              </w:tc>
              <w:tc>
                <w:tcPr>
                  <w:tcW w:w="849" w:type="pct"/>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w:t>
                  </w:r>
                </w:p>
              </w:tc>
              <w:tc>
                <w:tcPr>
                  <w:tcW w:w="1017"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0.06</w:t>
                  </w:r>
                </w:p>
              </w:tc>
            </w:tr>
          </w:tbl>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从表8-3可以看出，本项目钻孔施工期柴油发电机废气中烟尘、SO</w:t>
            </w:r>
            <w:r>
              <w:rPr>
                <w:rFonts w:hint="eastAsia"/>
                <w:color w:val="000000" w:themeColor="text1"/>
                <w:sz w:val="24"/>
                <w:vertAlign w:val="sub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、NO</w:t>
            </w:r>
            <w:r>
              <w:rPr>
                <w:rFonts w:hint="eastAsia"/>
                <w:color w:val="000000" w:themeColor="text1"/>
                <w:sz w:val="24"/>
                <w:vertAlign w:val="sub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、NO</w:t>
            </w:r>
            <w:r>
              <w:rPr>
                <w:rFonts w:hint="eastAsia"/>
                <w:color w:val="000000" w:themeColor="text1"/>
                <w:sz w:val="24"/>
                <w:vertAlign w:val="subscript"/>
                <w:lang w:val="en-US" w:eastAsia="zh-CN"/>
                <w14:textFill>
                  <w14:solidFill>
                    <w14:schemeClr w14:val="tx1"/>
                  </w14:solidFill>
                </w14:textFill>
              </w:rPr>
              <w:t>x</w:t>
            </w:r>
            <w:r>
              <w:rPr>
                <w:rFonts w:hint="eastAsia"/>
                <w:color w:val="000000" w:themeColor="text1"/>
                <w:sz w:val="24"/>
                <w:lang w:val="en-US" w:eastAsia="zh-CN"/>
                <w14:textFill>
                  <w14:solidFill>
                    <w14:schemeClr w14:val="tx1"/>
                  </w14:solidFill>
                </w14:textFill>
              </w:rPr>
              <w:t>及CO，最大占标率分别为0.78%、4.20%、6.56%、5.24%及0.08%，位于污染源下风向19m处，最大落地浓度远小于《环境空气质量标准》（</w:t>
            </w:r>
            <w:r>
              <w:rPr>
                <w:rFonts w:hint="eastAsia"/>
                <w:color w:val="000000" w:themeColor="text1"/>
                <w:sz w:val="24"/>
                <w:szCs w:val="24"/>
                <w:lang w:eastAsia="zh-CN"/>
                <w14:textFill>
                  <w14:solidFill>
                    <w14:schemeClr w14:val="tx1"/>
                  </w14:solidFill>
                </w14:textFill>
              </w:rPr>
              <w:t>GB3095-2012</w:t>
            </w:r>
            <w:r>
              <w:rPr>
                <w:rFonts w:hint="eastAsia"/>
                <w:color w:val="000000" w:themeColor="text1"/>
                <w:sz w:val="24"/>
                <w:lang w:val="en-US" w:eastAsia="zh-CN"/>
                <w14:textFill>
                  <w14:solidFill>
                    <w14:schemeClr w14:val="tx1"/>
                  </w14:solidFill>
                </w14:textFill>
              </w:rPr>
              <w:t>）二级标准，对外环境的影响较小。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评价等级及评价范围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地面空气质量浓度占标率为</w:t>
            </w:r>
            <w:r>
              <w:rPr>
                <w:rFonts w:hint="eastAsia"/>
                <w:color w:val="000000" w:themeColor="text1"/>
                <w:sz w:val="24"/>
                <w:lang w:val="en-US" w:eastAsia="zh-CN"/>
                <w14:textFill>
                  <w14:solidFill>
                    <w14:schemeClr w14:val="tx1"/>
                  </w14:solidFill>
                </w14:textFill>
              </w:rPr>
              <w:t>6.56%，</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lang w:val="en-US" w:eastAsia="zh-CN"/>
                <w14:textFill>
                  <w14:solidFill>
                    <w14:schemeClr w14:val="tx1"/>
                  </w14:solidFill>
                </w14:textFill>
              </w:rPr>
              <w:t>评价范围为以钻孔场地为中心，边长取5km的矩形区域。考虑到钻孔位置在较分散且施工过程中会发生调整，本次评价重点给出勘查区内市级以上环境空气保护目标，见表5-7。</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根据HJ2.2-2018二级评价相关要求，根据</w:t>
            </w:r>
            <w:r>
              <w:rPr>
                <w:rFonts w:hint="eastAsia"/>
                <w:color w:val="000000" w:themeColor="text1"/>
                <w:sz w:val="24"/>
                <w:lang w:val="en-US" w:eastAsia="zh-CN"/>
                <w14:textFill>
                  <w14:solidFill>
                    <w14:schemeClr w14:val="tx1"/>
                  </w14:solidFill>
                </w14:textFill>
              </w:rPr>
              <w:t>环境保护部环境工程评估中心“国家环境保护环境影响评价数值模拟重点实验室”上线的环境空气质量模型基础数据服务系统查询</w:t>
            </w:r>
            <w:r>
              <w:rPr>
                <w:rFonts w:hint="eastAsia"/>
                <w:color w:val="000000" w:themeColor="text1"/>
                <w:sz w:val="24"/>
                <w14:textFill>
                  <w14:solidFill>
                    <w14:schemeClr w14:val="tx1"/>
                  </w14:solidFill>
                </w14:textFill>
              </w:rPr>
              <w:t>，对项目所在区域的钻探工程主要涉及的地级市环境空气质量达标情况进行调查，见</w:t>
            </w:r>
            <w:r>
              <w:rPr>
                <w:rFonts w:hint="eastAsia"/>
                <w:color w:val="000000" w:themeColor="text1"/>
                <w:sz w:val="24"/>
                <w:lang w:val="en-US" w:eastAsia="zh-CN"/>
                <w14:textFill>
                  <w14:solidFill>
                    <w14:schemeClr w14:val="tx1"/>
                  </w14:solidFill>
                </w14:textFill>
              </w:rPr>
              <w:t xml:space="preserve">五 </w:t>
            </w:r>
            <w:r>
              <w:rPr>
                <w:rFonts w:hint="eastAsia"/>
                <w:color w:val="000000" w:themeColor="text1"/>
                <w:sz w:val="24"/>
                <w14:textFill>
                  <w14:solidFill>
                    <w14:schemeClr w14:val="tx1"/>
                  </w14:solidFill>
                </w14:textFill>
              </w:rPr>
              <w:t>环境质量状况中环境空气现状评价；另外，对污染物排放量进行了核算，见工程分析。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预测结果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根据预测结果，</w:t>
            </w:r>
            <w:r>
              <w:rPr>
                <w:rFonts w:hint="eastAsia"/>
                <w:color w:val="000000" w:themeColor="text1"/>
                <w:sz w:val="24"/>
                <w:szCs w:val="24"/>
                <w:lang w:eastAsia="zh-CN"/>
                <w14:textFill>
                  <w14:solidFill>
                    <w14:schemeClr w14:val="tx1"/>
                  </w14:solidFill>
                </w14:textFill>
              </w:rPr>
              <w:t>PM</w:t>
            </w:r>
            <w:r>
              <w:rPr>
                <w:rFonts w:hint="eastAsia"/>
                <w:color w:val="000000" w:themeColor="text1"/>
                <w:sz w:val="24"/>
                <w:szCs w:val="24"/>
                <w:vertAlign w:val="subscript"/>
                <w:lang w:eastAsia="zh-CN"/>
                <w14:textFill>
                  <w14:solidFill>
                    <w14:schemeClr w14:val="tx1"/>
                  </w14:solidFill>
                </w14:textFill>
              </w:rPr>
              <w:t>10</w:t>
            </w:r>
            <w:r>
              <w:rPr>
                <w:rFonts w:hint="eastAsia"/>
                <w:color w:val="000000" w:themeColor="text1"/>
                <w:sz w:val="24"/>
                <w:szCs w:val="24"/>
                <w:lang w:eastAsia="zh-CN"/>
                <w14:textFill>
                  <w14:solidFill>
                    <w14:schemeClr w14:val="tx1"/>
                  </w14:solidFill>
                </w14:textFill>
              </w:rPr>
              <w:t>、SO</w:t>
            </w:r>
            <w:r>
              <w:rPr>
                <w:rFonts w:hint="eastAsia"/>
                <w:color w:val="000000" w:themeColor="text1"/>
                <w:sz w:val="24"/>
                <w:szCs w:val="24"/>
                <w:vertAlign w:val="subscript"/>
                <w:lang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、NO</w:t>
            </w:r>
            <w:r>
              <w:rPr>
                <w:rFonts w:hint="eastAsia"/>
                <w:color w:val="000000" w:themeColor="text1"/>
                <w:sz w:val="24"/>
                <w:szCs w:val="24"/>
                <w:vertAlign w:val="subscript"/>
                <w:lang w:val="en-US" w:eastAsia="zh-CN"/>
                <w14:textFill>
                  <w14:solidFill>
                    <w14:schemeClr w14:val="tx1"/>
                  </w14:solidFill>
                </w14:textFill>
              </w:rPr>
              <w:t>2</w:t>
            </w:r>
            <w:r>
              <w:rPr>
                <w:rFonts w:hint="eastAsia"/>
                <w:color w:val="000000" w:themeColor="text1"/>
                <w:sz w:val="24"/>
                <w:szCs w:val="24"/>
                <w:vertAlign w:val="baseline"/>
                <w:lang w:val="en-US" w:eastAsia="zh-CN"/>
                <w14:textFill>
                  <w14:solidFill>
                    <w14:schemeClr w14:val="tx1"/>
                  </w14:solidFill>
                </w14:textFill>
              </w:rPr>
              <w:t>及CO最大落地浓度分别为</w:t>
            </w:r>
            <w:r>
              <w:rPr>
                <w:rFonts w:hint="eastAsia"/>
                <w:color w:val="000000" w:themeColor="text1"/>
                <w:sz w:val="24"/>
                <w:lang w:val="en-US" w:eastAsia="zh-CN"/>
                <w14:textFill>
                  <w14:solidFill>
                    <w14:schemeClr w14:val="tx1"/>
                  </w14:solidFill>
                </w14:textFill>
              </w:rPr>
              <w:t>3.5</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21</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13.1</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7.87</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vertAlign w:val="baseline"/>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根据</w:t>
            </w:r>
            <w:r>
              <w:rPr>
                <w:rFonts w:hint="default" w:ascii="Times New Roman" w:hAnsi="Times New Roman" w:cs="Times New Roman"/>
                <w:b w:val="0"/>
                <w:bCs w:val="0"/>
                <w:color w:val="000000" w:themeColor="text1"/>
                <w:sz w:val="24"/>
                <w:szCs w:val="24"/>
                <w:lang w:eastAsia="zh-CN"/>
                <w14:textFill>
                  <w14:solidFill>
                    <w14:schemeClr w14:val="tx1"/>
                  </w14:solidFill>
                </w14:textFill>
              </w:rPr>
              <w:t>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阿拉善盟</w:t>
            </w:r>
            <w:r>
              <w:rPr>
                <w:rFonts w:hint="eastAsia" w:cs="Times New Roman"/>
                <w:b w:val="0"/>
                <w:bCs w:val="0"/>
                <w:color w:val="000000" w:themeColor="text1"/>
                <w:sz w:val="24"/>
                <w:szCs w:val="24"/>
                <w:lang w:val="en-US" w:eastAsia="zh-CN"/>
                <w14:textFill>
                  <w14:solidFill>
                    <w14:schemeClr w14:val="tx1"/>
                  </w14:solidFill>
                </w14:textFill>
              </w:rPr>
              <w:t>额济纳旗</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2020年SO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年均浓度分别为8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、44</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；CO24小时平均第95百分位数为0.7</w:t>
            </w:r>
            <w:r>
              <w:rPr>
                <w:rFonts w:hint="default" w:ascii="Times New Roman" w:hAnsi="Times New Roman" w:cs="Times New Roman"/>
                <w:b w:val="0"/>
                <w:bCs w:val="0"/>
                <w:color w:val="000000" w:themeColor="text1"/>
                <w:sz w:val="24"/>
                <w:szCs w:val="24"/>
                <w:lang w:eastAsia="zh-CN"/>
                <w14:textFill>
                  <w14:solidFill>
                    <w14:schemeClr w14:val="tx1"/>
                  </w14:solidFill>
                </w14:textFill>
              </w:rPr>
              <w:t>mg/m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vertAlign w:val="baseline"/>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叠加地区背景值后，</w:t>
            </w:r>
            <w:r>
              <w:rPr>
                <w:rFonts w:hint="default" w:ascii="Times New Roman" w:hAnsi="Times New Roman" w:cs="Times New Roman"/>
                <w:color w:val="000000" w:themeColor="text1"/>
                <w:sz w:val="24"/>
                <w:szCs w:val="24"/>
                <w:lang w:eastAsia="zh-CN"/>
                <w14:textFill>
                  <w14:solidFill>
                    <w14:schemeClr w14:val="tx1"/>
                  </w14:solidFill>
                </w14:textFill>
              </w:rPr>
              <w:t>PM</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vertAlign w:val="baseline"/>
                <w:lang w:val="en-US" w:eastAsia="zh-CN"/>
                <w14:textFill>
                  <w14:solidFill>
                    <w14:schemeClr w14:val="tx1"/>
                  </w14:solidFill>
                </w14:textFill>
              </w:rPr>
              <w:t>CO</w:t>
            </w:r>
            <w:r>
              <w:rPr>
                <w:rFonts w:hint="default" w:ascii="Times New Roman" w:hAnsi="Times New Roman" w:cs="Times New Roman"/>
                <w:color w:val="000000" w:themeColor="text1"/>
                <w:sz w:val="24"/>
                <w:szCs w:val="24"/>
                <w:lang w:eastAsia="zh-CN"/>
                <w14:textFill>
                  <w14:solidFill>
                    <w14:schemeClr w14:val="tx1"/>
                  </w14:solidFill>
                </w14:textFill>
              </w:rPr>
              <w:t>、SO</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color w:val="000000" w:themeColor="text1"/>
                <w:sz w:val="24"/>
                <w:szCs w:val="24"/>
                <w:vertAlign w:val="baseline"/>
                <w:lang w:val="en-US" w:eastAsia="zh-CN"/>
                <w14:textFill>
                  <w14:solidFill>
                    <w14:schemeClr w14:val="tx1"/>
                  </w14:solidFill>
                </w14:textFill>
              </w:rPr>
              <w:t>及</w:t>
            </w:r>
            <w:r>
              <w:rPr>
                <w:rFonts w:hint="default" w:ascii="Times New Roman" w:hAnsi="Times New Roman" w:cs="Times New Roman"/>
                <w:color w:val="000000" w:themeColor="text1"/>
                <w:sz w:val="24"/>
                <w:szCs w:val="24"/>
                <w:lang w:eastAsia="zh-CN"/>
                <w14:textFill>
                  <w14:solidFill>
                    <w14:schemeClr w14:val="tx1"/>
                  </w14:solidFill>
                </w14:textFill>
              </w:rPr>
              <w:t>NO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的浓度值分别为47.5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、0.708</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m</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、29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、22.1</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均小于《环境空气质量标准》</w:t>
            </w:r>
            <w:r>
              <w:rPr>
                <w:rFonts w:hint="eastAsia"/>
                <w:color w:val="000000" w:themeColor="text1"/>
                <w:sz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GB3095-2012</w:t>
            </w:r>
            <w:r>
              <w:rPr>
                <w:rFonts w:hint="eastAsia"/>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二级标准中24小时平均值（PM</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vertAlign w:val="baseline"/>
                <w:lang w:val="en-US" w:eastAsia="zh-CN"/>
                <w14:textFill>
                  <w14:solidFill>
                    <w14:schemeClr w14:val="tx1"/>
                  </w14:solidFill>
                </w14:textFill>
              </w:rPr>
              <w:t>）</w:t>
            </w:r>
            <w:r>
              <w:rPr>
                <w:rFonts w:hint="eastAsia" w:cs="Times New Roman"/>
                <w:color w:val="000000" w:themeColor="text1"/>
                <w:sz w:val="24"/>
                <w:szCs w:val="24"/>
                <w:vertAlign w:val="baseline"/>
                <w:lang w:val="en-US" w:eastAsia="zh-CN"/>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vertAlign w:val="baseline"/>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根据</w:t>
            </w:r>
            <w:r>
              <w:rPr>
                <w:rFonts w:hint="default" w:ascii="Times New Roman" w:hAnsi="Times New Roman" w:cs="Times New Roman"/>
                <w:b w:val="0"/>
                <w:bCs w:val="0"/>
                <w:color w:val="000000" w:themeColor="text1"/>
                <w:sz w:val="24"/>
                <w:szCs w:val="24"/>
                <w:lang w:eastAsia="zh-CN"/>
                <w14:textFill>
                  <w14:solidFill>
                    <w14:schemeClr w14:val="tx1"/>
                  </w14:solidFill>
                </w14:textFill>
              </w:rPr>
              <w:t>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eastAsia" w:cs="Times New Roman"/>
                <w:b w:val="0"/>
                <w:bCs w:val="0"/>
                <w:color w:val="000000" w:themeColor="text1"/>
                <w:sz w:val="24"/>
                <w:szCs w:val="24"/>
                <w:lang w:val="en-US" w:eastAsia="zh-CN"/>
                <w14:textFill>
                  <w14:solidFill>
                    <w14:schemeClr w14:val="tx1"/>
                  </w14:solidFill>
                </w14:textFill>
              </w:rPr>
              <w:t>武威市</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2020年SO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年均浓度分别为8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24</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66</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；CO24小时平均第95百分位数为</w:t>
            </w:r>
            <w:r>
              <w:rPr>
                <w:rFonts w:hint="eastAsia" w:cs="Times New Roman"/>
                <w:b w:val="0"/>
                <w:bCs w:val="0"/>
                <w:color w:val="000000" w:themeColor="text1"/>
                <w:sz w:val="24"/>
                <w:szCs w:val="24"/>
                <w:lang w:val="en-US" w:eastAsia="zh-CN"/>
                <w14:textFill>
                  <w14:solidFill>
                    <w14:schemeClr w14:val="tx1"/>
                  </w14:solidFill>
                </w14:textFill>
              </w:rPr>
              <w:t>1.2</w:t>
            </w:r>
            <w:r>
              <w:rPr>
                <w:rFonts w:hint="default" w:ascii="Times New Roman" w:hAnsi="Times New Roman" w:cs="Times New Roman"/>
                <w:b w:val="0"/>
                <w:bCs w:val="0"/>
                <w:color w:val="000000" w:themeColor="text1"/>
                <w:sz w:val="24"/>
                <w:szCs w:val="24"/>
                <w:lang w:eastAsia="zh-CN"/>
                <w14:textFill>
                  <w14:solidFill>
                    <w14:schemeClr w14:val="tx1"/>
                  </w14:solidFill>
                </w14:textFill>
              </w:rPr>
              <w:t>mg/m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vertAlign w:val="baseline"/>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叠加地区背景值后，</w:t>
            </w:r>
            <w:r>
              <w:rPr>
                <w:rFonts w:hint="default" w:ascii="Times New Roman" w:hAnsi="Times New Roman" w:cs="Times New Roman"/>
                <w:color w:val="000000" w:themeColor="text1"/>
                <w:sz w:val="24"/>
                <w:szCs w:val="24"/>
                <w:lang w:eastAsia="zh-CN"/>
                <w14:textFill>
                  <w14:solidFill>
                    <w14:schemeClr w14:val="tx1"/>
                  </w14:solidFill>
                </w14:textFill>
              </w:rPr>
              <w:t>PM</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color w:val="000000" w:themeColor="text1"/>
                <w:sz w:val="24"/>
                <w:szCs w:val="24"/>
                <w:lang w:eastAsia="zh-CN"/>
                <w14:textFill>
                  <w14:solidFill>
                    <w14:schemeClr w14:val="tx1"/>
                  </w14:solidFill>
                </w14:textFill>
              </w:rPr>
              <w:t>、SO</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color w:val="000000" w:themeColor="text1"/>
                <w:sz w:val="24"/>
                <w:szCs w:val="24"/>
                <w:lang w:eastAsia="zh-CN"/>
                <w14:textFill>
                  <w14:solidFill>
                    <w14:schemeClr w14:val="tx1"/>
                  </w14:solidFill>
                </w14:textFill>
              </w:rPr>
              <w:t>、NO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color w:val="000000" w:themeColor="text1"/>
                <w:sz w:val="24"/>
                <w:szCs w:val="24"/>
                <w:vertAlign w:val="baseline"/>
                <w:lang w:val="en-US" w:eastAsia="zh-CN"/>
                <w14:textFill>
                  <w14:solidFill>
                    <w14:schemeClr w14:val="tx1"/>
                  </w14:solidFill>
                </w14:textFill>
              </w:rPr>
              <w:t>及CO</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w:t>
            </w:r>
            <w:r>
              <w:rPr>
                <w:rFonts w:hint="eastAsia" w:cs="Times New Roman"/>
                <w:b w:val="0"/>
                <w:bCs w:val="0"/>
                <w:color w:val="000000" w:themeColor="text1"/>
                <w:kern w:val="0"/>
                <w:sz w:val="24"/>
                <w:szCs w:val="24"/>
                <w:lang w:val="en-US" w:eastAsia="zh-CN" w:bidi="ar"/>
                <w14:textFill>
                  <w14:solidFill>
                    <w14:schemeClr w14:val="tx1"/>
                  </w14:solidFill>
                </w14:textFill>
              </w:rPr>
              <w:t>69.5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eastAsia" w:cs="Times New Roman"/>
                <w:b w:val="0"/>
                <w:bCs w:val="0"/>
                <w:color w:val="000000" w:themeColor="text1"/>
                <w:kern w:val="0"/>
                <w:sz w:val="24"/>
                <w:szCs w:val="24"/>
                <w:lang w:val="en-US" w:eastAsia="zh-CN" w:bidi="ar"/>
                <w14:textFill>
                  <w14:solidFill>
                    <w14:schemeClr w14:val="tx1"/>
                  </w14:solidFill>
                </w14:textFill>
              </w:rPr>
              <w:t>29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eastAsia" w:cs="Times New Roman"/>
                <w:b w:val="0"/>
                <w:bCs w:val="0"/>
                <w:color w:val="000000" w:themeColor="text1"/>
                <w:kern w:val="0"/>
                <w:sz w:val="24"/>
                <w:szCs w:val="24"/>
                <w:lang w:val="en-US" w:eastAsia="zh-CN" w:bidi="ar"/>
                <w14:textFill>
                  <w14:solidFill>
                    <w14:schemeClr w14:val="tx1"/>
                  </w14:solidFill>
                </w14:textFill>
              </w:rPr>
              <w:t>37.1</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eastAsia" w:cs="Times New Roman"/>
                <w:b w:val="0"/>
                <w:bCs w:val="0"/>
                <w:color w:val="000000" w:themeColor="text1"/>
                <w:kern w:val="0"/>
                <w:sz w:val="24"/>
                <w:szCs w:val="24"/>
                <w:lang w:val="en-US" w:eastAsia="zh-CN" w:bidi="ar"/>
                <w14:textFill>
                  <w14:solidFill>
                    <w14:schemeClr w14:val="tx1"/>
                  </w14:solidFill>
                </w14:textFill>
              </w:rPr>
              <w:t>1.208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均小于《环境空气质量标准》</w:t>
            </w:r>
            <w:r>
              <w:rPr>
                <w:rFonts w:hint="eastAsia"/>
                <w:color w:val="000000" w:themeColor="text1"/>
                <w:sz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GB3095-2012</w:t>
            </w:r>
            <w:r>
              <w:rPr>
                <w:rFonts w:hint="eastAsia"/>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二级标准中24小时平均值（PM</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vertAlign w:val="baseline"/>
                <w:lang w:val="en-US" w:eastAsia="zh-CN"/>
                <w14:textFill>
                  <w14:solidFill>
                    <w14:schemeClr w14:val="tx1"/>
                  </w14:solidFill>
                </w14:textFill>
              </w:rPr>
              <w:t>）</w:t>
            </w:r>
            <w:r>
              <w:rPr>
                <w:rFonts w:hint="eastAsia" w:cs="Times New Roman"/>
                <w:color w:val="000000" w:themeColor="text1"/>
                <w:sz w:val="24"/>
                <w:szCs w:val="24"/>
                <w:vertAlign w:val="baseline"/>
                <w:lang w:val="en-US" w:eastAsia="zh-CN"/>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cs="Times New Roman"/>
                <w:color w:val="000000" w:themeColor="text1"/>
                <w:sz w:val="24"/>
                <w:szCs w:val="24"/>
                <w:lang w:val="en-US" w:eastAsia="zh-CN"/>
                <w14:textFill>
                  <w14:solidFill>
                    <w14:schemeClr w14:val="tx1"/>
                  </w14:solidFill>
                </w14:textFill>
              </w:rPr>
              <w:t>综上所述</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cs="Times New Roman"/>
                <w:color w:val="000000" w:themeColor="text1"/>
                <w:sz w:val="24"/>
                <w:szCs w:val="24"/>
                <w:lang w:val="en-US" w:eastAsia="zh-CN"/>
                <w14:textFill>
                  <w14:solidFill>
                    <w14:schemeClr w14:val="tx1"/>
                  </w14:solidFill>
                </w14:textFill>
              </w:rPr>
              <w:t>柴油发电机</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废气对居民影响较小。</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2环境影响分析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施工扬尘环境影响分析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土方开挖等环节，及材料运输过程中的道路扬尘，属于无组织排放。施工扬尘对环境造成的不良影响主要有：导致环境空气中颗粒物浓度升高，影响施工场地周边环境空气质量；道路扬尘对施工沿线附近村民产生一定不利影响。扬尘的起尘条件主要取决于表面含水量、地面状况和风速大小等因素。</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当环境风速大于4.5m/s，扬尘会产生一定的影响，但随着距离的增加，TSP浓度迅速减小，其影响范围一般在仅在下风向150m范围内，在200m处基本恢复到背景值。由于施工扬尘粒径较大，飘移距离短，采取洒水、抑尘、苫盖等控制措施后，影响范围有限。随着施工期的结束，影响将会消失。</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本次评价针对施工扬尘提出以下污染防治措施：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①合理规划施工进度，临时弃土集中堆放在背风侧，且不宜堆积过久、过高，防止弃土风化失水起尘，堆放过程中应在顶部加盖篷布；遇4级以上大风天气应停止土方作业；</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②在施工初期合理规划设备、材料等运输路线，尽量利用现有路网；运料车辆在运料顶部加盖篷布，不得装载过满，以防洒落在地，形成二次扬尘；运输车辆路过村庄等人群密集区时，速度保持在20km/h以下；</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③文明施工，粉状材料堆放过程中要进行苫盖，卸放过程要轻拿轻放，定期清扫散落在施工场地的泥土，有条件的场地要可以通过洒水抑尘。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④施工完成后，及时进行场地平整和临时占地的植被恢复，确保绿化面积和植被成活率。</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采取以上防治措施后，施工扬尘可得到有效的控制和减缓，对环境空气质量影响较小。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（2）燃油废气</w:t>
            </w:r>
            <w:r>
              <w:rPr>
                <w:rFonts w:hint="eastAsia"/>
                <w:color w:val="000000" w:themeColor="text1"/>
                <w:sz w:val="24"/>
                <w:lang w:val="en-US" w:eastAsia="zh-CN"/>
                <w14:textFill>
                  <w14:solidFill>
                    <w14:schemeClr w14:val="tx1"/>
                  </w14:solidFill>
                </w14:textFill>
              </w:rPr>
              <w:t>环境影响分析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钻探过程中废气主要来自于柴油发电机燃烧废气，主要污染物为烟尘</w:t>
            </w:r>
            <w:r>
              <w:rPr>
                <w:rFonts w:hint="eastAsia"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lang w:eastAsia="zh-CN"/>
                <w14:textFill>
                  <w14:solidFill>
                    <w14:schemeClr w14:val="tx1"/>
                  </w14:solidFill>
                </w14:textFill>
              </w:rPr>
              <w:t>NO</w:t>
            </w:r>
            <w:r>
              <w:rPr>
                <w:rFonts w:hint="eastAsia" w:ascii="Times New Roman" w:hAnsi="Times New Roman" w:cs="Times New Roman"/>
                <w:color w:val="000000" w:themeColor="text1"/>
                <w:sz w:val="24"/>
                <w:vertAlign w:val="subscript"/>
                <w:lang w:eastAsia="zh-CN"/>
                <w14:textFill>
                  <w14:solidFill>
                    <w14:schemeClr w14:val="tx1"/>
                  </w14:solidFill>
                </w14:textFill>
              </w:rPr>
              <w:t>x</w:t>
            </w:r>
            <w:r>
              <w:rPr>
                <w:rFonts w:ascii="Times New Roman" w:hAnsi="Times New Roman" w:cs="Times New Roman"/>
                <w:color w:val="000000" w:themeColor="text1"/>
                <w:sz w:val="24"/>
                <w:lang w:eastAsia="zh-CN"/>
                <w14:textFill>
                  <w14:solidFill>
                    <w14:schemeClr w14:val="tx1"/>
                  </w14:solidFill>
                </w14:textFill>
              </w:rPr>
              <w:t>、SO</w:t>
            </w:r>
            <w:r>
              <w:rPr>
                <w:rFonts w:ascii="Times New Roman" w:hAnsi="Times New Roman" w:cs="Times New Roman"/>
                <w:color w:val="000000" w:themeColor="text1"/>
                <w:sz w:val="24"/>
                <w:vertAlign w:val="subscript"/>
                <w:lang w:eastAsia="zh-CN"/>
                <w14:textFill>
                  <w14:solidFill>
                    <w14:schemeClr w14:val="tx1"/>
                  </w14:solidFill>
                </w14:textFill>
              </w:rPr>
              <w:t>2</w:t>
            </w:r>
            <w:r>
              <w:rPr>
                <w:rFonts w:ascii="Times New Roman" w:hAnsi="Times New Roman" w:cs="Times New Roman"/>
                <w:color w:val="000000" w:themeColor="text1"/>
                <w:sz w:val="24"/>
                <w:lang w:eastAsia="zh-CN"/>
                <w14:textFill>
                  <w14:solidFill>
                    <w14:schemeClr w14:val="tx1"/>
                  </w14:solidFill>
                </w14:textFill>
              </w:rPr>
              <w:t>等，为无组织、分散排放。</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本项目选择符合环保要求的柴油机，每个钻孔用到柴油发电机的时间一般</w:t>
            </w:r>
            <w:r>
              <w:rPr>
                <w:rFonts w:hint="default"/>
                <w:color w:val="000000" w:themeColor="text1"/>
                <w:sz w:val="24"/>
                <w:lang w:val="en-US" w:eastAsia="zh-CN"/>
                <w14:textFill>
                  <w14:solidFill>
                    <w14:schemeClr w14:val="tx1"/>
                  </w14:solidFill>
                </w14:textFill>
              </w:rPr>
              <w:t>15</w:t>
            </w:r>
            <w:r>
              <w:rPr>
                <w:rFonts w:hint="eastAsia"/>
                <w:color w:val="000000" w:themeColor="text1"/>
                <w:sz w:val="24"/>
                <w:lang w:val="en-US" w:eastAsia="zh-CN"/>
                <w14:textFill>
                  <w14:solidFill>
                    <w14:schemeClr w14:val="tx1"/>
                  </w14:solidFill>
                </w14:textFill>
              </w:rPr>
              <w:t>天左右，钻孔周围一般没有密集的建筑物与居民区，随着钻井工作的结束，柴油燃烧废气对环境空气的影响会逐渐消失，对周围环境影响不大。</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本次评价针对燃油废气提出以下污染防治措施：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①采用节能环保型柴油动力设备；</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②发采用符合《普通柴油》（GB 252-2015）标准的柴油；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snapToGrid w:val="0"/>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lang w:eastAsia="zh-CN"/>
                <w14:textFill>
                  <w14:solidFill>
                    <w14:schemeClr w14:val="tx1"/>
                  </w14:solidFill>
                </w14:textFill>
              </w:rPr>
              <w:fldChar w:fldCharType="begin"/>
            </w:r>
            <w:r>
              <w:rPr>
                <w:rFonts w:hint="eastAsia" w:ascii="Times New Roman" w:hAnsi="Times New Roman" w:cs="Times New Roman"/>
                <w:color w:val="000000" w:themeColor="text1"/>
                <w:sz w:val="24"/>
                <w:lang w:eastAsia="zh-CN"/>
                <w14:textFill>
                  <w14:solidFill>
                    <w14:schemeClr w14:val="tx1"/>
                  </w14:solidFill>
                </w14:textFill>
              </w:rPr>
              <w:instrText xml:space="preserve"> = 3 \* GB3 \* MERGEFORMAT </w:instrText>
            </w:r>
            <w:r>
              <w:rPr>
                <w:rFonts w:hint="eastAsia" w:ascii="Times New Roman" w:hAnsi="Times New Roman" w:cs="Times New Roman"/>
                <w:color w:val="000000" w:themeColor="text1"/>
                <w:sz w:val="24"/>
                <w:lang w:eastAsia="zh-CN"/>
                <w14:textFill>
                  <w14:solidFill>
                    <w14:schemeClr w14:val="tx1"/>
                  </w14:solidFill>
                </w14:textFill>
              </w:rPr>
              <w:fldChar w:fldCharType="separate"/>
            </w:r>
            <w:r>
              <w:rPr>
                <w:rFonts w:ascii="Times New Roman" w:hAnsi="Times New Roman" w:cs="Times New Roman"/>
                <w:color w:val="000000" w:themeColor="text1"/>
                <w:sz w:val="24"/>
                <w:lang w:eastAsia="zh-CN"/>
                <w14:textFill>
                  <w14:solidFill>
                    <w14:schemeClr w14:val="tx1"/>
                  </w14:solidFill>
                </w14:textFill>
              </w:rPr>
              <w:t>③</w:t>
            </w:r>
            <w:r>
              <w:rPr>
                <w:rFonts w:hint="eastAsia" w:ascii="Times New Roman" w:hAnsi="Times New Roman" w:cs="Times New Roman"/>
                <w:color w:val="000000" w:themeColor="text1"/>
                <w:sz w:val="24"/>
                <w:lang w:eastAsia="zh-CN"/>
                <w14:textFill>
                  <w14:solidFill>
                    <w14:schemeClr w14:val="tx1"/>
                  </w14:solidFill>
                </w14:textFill>
              </w:rPr>
              <w:fldChar w:fldCharType="end"/>
            </w:r>
            <w:r>
              <w:rPr>
                <w:rFonts w:hint="eastAsia" w:ascii="Times New Roman" w:hAnsi="Times New Roman" w:cs="Times New Roman"/>
                <w:color w:val="000000" w:themeColor="text1"/>
                <w:sz w:val="24"/>
                <w:lang w:eastAsia="zh-CN"/>
                <w14:textFill>
                  <w14:solidFill>
                    <w14:schemeClr w14:val="tx1"/>
                  </w14:solidFill>
                </w14:textFill>
              </w:rPr>
              <w:t>选用的柴油发电机需满足《非道路柴油移动机械污染物排放控制技术要求》（HJ1014-2020）。</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采取以上防治措施后，燃油废气的影响可得到有效的控制，对评价区域环境空气质量影响较小。</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2、</w:t>
            </w:r>
            <w:r>
              <w:rPr>
                <w:rFonts w:hint="eastAsia"/>
                <w:b/>
                <w:color w:val="000000" w:themeColor="text1"/>
                <w:sz w:val="24"/>
                <w14:textFill>
                  <w14:solidFill>
                    <w14:schemeClr w14:val="tx1"/>
                  </w14:solidFill>
                </w14:textFill>
              </w:rPr>
              <w:t>地表水环境影响分析</w:t>
            </w:r>
          </w:p>
          <w:p>
            <w:pPr>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2.1评价等级判定</w:t>
            </w:r>
          </w:p>
          <w:p>
            <w:pPr>
              <w:widowControl/>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HJ2.3-2018</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表1评价工作等级的划分见表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，判定地表水评价等级为三级B。</w:t>
            </w:r>
          </w:p>
          <w:p>
            <w:pPr>
              <w:spacing w:line="240" w:lineRule="auto"/>
              <w:jc w:val="center"/>
              <w:rPr>
                <w:b/>
                <w:bCs/>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4</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水污染影响型建设项目评价等级判定</w:t>
            </w:r>
            <w:r>
              <w:rPr>
                <w:b w:val="0"/>
                <w:bCs w:val="0"/>
                <w:color w:val="000000" w:themeColor="text1"/>
                <w:sz w:val="24"/>
                <w14:textFill>
                  <w14:solidFill>
                    <w14:schemeClr w14:val="tx1"/>
                  </w14:solidFill>
                </w14:textFill>
              </w:rPr>
              <w:t>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35"/>
              <w:gridCol w:w="2714"/>
              <w:gridCol w:w="439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restar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评价等级</w:t>
                  </w:r>
                </w:p>
              </w:tc>
              <w:tc>
                <w:tcPr>
                  <w:tcW w:w="3724" w:type="pct"/>
                  <w:gridSpan w:val="2"/>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判定依据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continue"/>
                  <w:tcBorders>
                    <w:tl2br w:val="nil"/>
                    <w:tr2bl w:val="nil"/>
                  </w:tcBorders>
                  <w:vAlign w:val="center"/>
                </w:tcPr>
                <w:p>
                  <w:pPr>
                    <w:jc w:val="center"/>
                    <w:rPr>
                      <w:color w:val="000000" w:themeColor="text1"/>
                      <w:kern w:val="0"/>
                      <w:szCs w:val="21"/>
                      <w14:textFill>
                        <w14:solidFill>
                          <w14:schemeClr w14:val="tx1"/>
                        </w14:solidFill>
                      </w14:textFill>
                    </w:rPr>
                  </w:pP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排放方式</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废水排放量Q/（m</w:t>
                  </w:r>
                  <w:r>
                    <w:rPr>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/d）；</w:t>
                  </w:r>
                </w:p>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水污染物当量数W/（无量纲）</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一级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Q≥20000或W≥600000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二级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其他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三级A</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Q＜200且W＜6000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三级B</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3"/>
                  <w:tcBorders>
                    <w:tl2br w:val="nil"/>
                    <w:tr2bl w:val="nil"/>
                  </w:tcBorders>
                  <w:vAlign w:val="center"/>
                </w:tcPr>
                <w:p>
                  <w:pPr>
                    <w:adjustRightInd w:val="0"/>
                    <w:jc w:val="left"/>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注10：建设项目生产工艺中有废水产生，但作为回水利用，不排放到外环境的，按三级B评价。</w:t>
                  </w:r>
                </w:p>
              </w:tc>
            </w:tr>
          </w:tbl>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2.2地表水环境影响分析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施工期的废水主要来自项目部</w:t>
            </w:r>
            <w:r>
              <w:rPr>
                <w:rFonts w:hint="eastAsia"/>
                <w:color w:val="000000" w:themeColor="text1"/>
                <w:sz w:val="24"/>
                <w:lang w:val="en-US" w:eastAsia="zh-CN"/>
                <w14:textFill>
                  <w14:solidFill>
                    <w14:schemeClr w14:val="tx1"/>
                  </w14:solidFill>
                </w14:textFill>
              </w:rPr>
              <w:t>和</w:t>
            </w:r>
            <w:r>
              <w:rPr>
                <w:rFonts w:hint="eastAsia"/>
                <w:color w:val="000000" w:themeColor="text1"/>
                <w:sz w:val="24"/>
                <w14:textFill>
                  <w14:solidFill>
                    <w14:schemeClr w14:val="tx1"/>
                  </w14:solidFill>
                </w14:textFill>
              </w:rPr>
              <w:t>钻探</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人员生活污水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钻井施工中的钻井泥浆废水、设备冲洗废水。项目部依托周边村庄现有旱厕，生活洗漱废水用于洒水抑尘；钻探施工区的生活区设旱厕，生活洗漱污水用于洒水抑尘。钻井泥浆池中的上清液循环使用，过程需补充一定消耗水量，废水全部循环，不外排。设备冲洗废水进入泥浆池沉淀自然干化，不外排。</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本次评价提出以下地表水污染防治措施：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①施工过程中清洁设备尽量采用擦洗，避免直接冲洗，减少清水使用量；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②严禁在水体附近清洗施工器具、机械等；加强施工机械维护，防止施工机械漏油，若有漏油现象应及时收集，并用专门容器盛装后统一处理；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③水泥等封孔材料应设篷盖和围拦，防止雨水冲刷进入水体。</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采取以上防治措施后，施工期污、废水不外排，不会对地表水环境产生影响。</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3、</w:t>
            </w:r>
            <w:r>
              <w:rPr>
                <w:rFonts w:hint="eastAsia"/>
                <w:b/>
                <w:color w:val="000000" w:themeColor="text1"/>
                <w:sz w:val="24"/>
                <w14:textFill>
                  <w14:solidFill>
                    <w14:schemeClr w14:val="tx1"/>
                  </w14:solidFill>
                </w14:textFill>
              </w:rPr>
              <w:t>声环境影响分析</w:t>
            </w:r>
          </w:p>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3.1评价等级判定</w:t>
            </w:r>
          </w:p>
          <w:p>
            <w:pPr>
              <w:spacing w:line="360" w:lineRule="auto"/>
              <w:ind w:firstLine="480" w:firstLineChars="200"/>
              <w:rPr>
                <w:rFonts w:hAnsi="宋体"/>
                <w:color w:val="000000" w:themeColor="text1"/>
                <w:kern w:val="0"/>
                <w:sz w:val="24"/>
                <w:szCs w:val="20"/>
                <w14:textFill>
                  <w14:solidFill>
                    <w14:schemeClr w14:val="tx1"/>
                  </w14:solidFill>
                </w14:textFill>
              </w:rPr>
            </w:pPr>
            <w:r>
              <w:rPr>
                <w:rFonts w:hint="eastAsia" w:hAnsi="宋体"/>
                <w:color w:val="000000" w:themeColor="text1"/>
                <w:kern w:val="0"/>
                <w:sz w:val="24"/>
                <w:szCs w:val="20"/>
                <w14:textFill>
                  <w14:solidFill>
                    <w14:schemeClr w14:val="tx1"/>
                  </w14:solidFill>
                </w14:textFill>
              </w:rPr>
              <w:t>本项目所在区域声环境质量执行《声环境质量标准》（</w:t>
            </w:r>
            <w:r>
              <w:rPr>
                <w:rFonts w:hAnsi="宋体"/>
                <w:color w:val="000000" w:themeColor="text1"/>
                <w:kern w:val="0"/>
                <w:sz w:val="24"/>
                <w:szCs w:val="20"/>
                <w14:textFill>
                  <w14:solidFill>
                    <w14:schemeClr w14:val="tx1"/>
                  </w14:solidFill>
                </w14:textFill>
              </w:rPr>
              <w:t>GB3096-2008</w:t>
            </w:r>
            <w:r>
              <w:rPr>
                <w:rFonts w:hint="eastAsia" w:hAnsi="宋体"/>
                <w:color w:val="000000" w:themeColor="text1"/>
                <w:kern w:val="0"/>
                <w:sz w:val="24"/>
                <w:szCs w:val="20"/>
                <w14:textFill>
                  <w14:solidFill>
                    <w14:schemeClr w14:val="tx1"/>
                  </w14:solidFill>
                </w14:textFill>
              </w:rPr>
              <w:t>）中</w:t>
            </w:r>
            <w:r>
              <w:rPr>
                <w:rFonts w:hAnsi="宋体"/>
                <w:color w:val="000000" w:themeColor="text1"/>
                <w:kern w:val="0"/>
                <w:sz w:val="24"/>
                <w:szCs w:val="20"/>
                <w14:textFill>
                  <w14:solidFill>
                    <w14:schemeClr w14:val="tx1"/>
                  </w14:solidFill>
                </w14:textFill>
              </w:rPr>
              <w:t>1</w:t>
            </w:r>
            <w:r>
              <w:rPr>
                <w:rFonts w:hint="eastAsia" w:hAnsi="宋体"/>
                <w:color w:val="000000" w:themeColor="text1"/>
                <w:kern w:val="0"/>
                <w:sz w:val="24"/>
                <w:szCs w:val="20"/>
                <w14:textFill>
                  <w14:solidFill>
                    <w14:schemeClr w14:val="tx1"/>
                  </w14:solidFill>
                </w14:textFill>
              </w:rPr>
              <w:t>类区标准要求。根据《环境影响评价技术导则</w:t>
            </w:r>
            <w:r>
              <w:rPr>
                <w:rFonts w:hAnsi="宋体"/>
                <w:color w:val="000000" w:themeColor="text1"/>
                <w:kern w:val="0"/>
                <w:sz w:val="24"/>
                <w:szCs w:val="20"/>
                <w14:textFill>
                  <w14:solidFill>
                    <w14:schemeClr w14:val="tx1"/>
                  </w14:solidFill>
                </w14:textFill>
              </w:rPr>
              <w:t xml:space="preserve"> </w:t>
            </w:r>
            <w:r>
              <w:rPr>
                <w:rFonts w:hint="eastAsia" w:hAnsi="宋体"/>
                <w:color w:val="000000" w:themeColor="text1"/>
                <w:kern w:val="0"/>
                <w:sz w:val="24"/>
                <w:szCs w:val="20"/>
                <w14:textFill>
                  <w14:solidFill>
                    <w14:schemeClr w14:val="tx1"/>
                  </w14:solidFill>
                </w14:textFill>
              </w:rPr>
              <w:t>声环境》（</w:t>
            </w:r>
            <w:r>
              <w:rPr>
                <w:rFonts w:hAnsi="宋体"/>
                <w:color w:val="000000" w:themeColor="text1"/>
                <w:kern w:val="0"/>
                <w:sz w:val="24"/>
                <w:szCs w:val="20"/>
                <w14:textFill>
                  <w14:solidFill>
                    <w14:schemeClr w14:val="tx1"/>
                  </w14:solidFill>
                </w14:textFill>
              </w:rPr>
              <w:t>HJ2.4-2009</w:t>
            </w:r>
            <w:r>
              <w:rPr>
                <w:rFonts w:hint="eastAsia" w:hAnsi="宋体"/>
                <w:color w:val="000000" w:themeColor="text1"/>
                <w:kern w:val="0"/>
                <w:sz w:val="24"/>
                <w:szCs w:val="20"/>
                <w14:textFill>
                  <w14:solidFill>
                    <w14:schemeClr w14:val="tx1"/>
                  </w14:solidFill>
                </w14:textFill>
              </w:rPr>
              <w:t>），项目声环境评价等级为二级</w:t>
            </w:r>
            <w:r>
              <w:rPr>
                <w:rFonts w:hint="eastAsia" w:hAnsi="宋体"/>
                <w:color w:val="000000" w:themeColor="text1"/>
                <w:kern w:val="0"/>
                <w:sz w:val="24"/>
                <w:szCs w:val="20"/>
                <w:lang w:eastAsia="zh-CN"/>
                <w14:textFill>
                  <w14:solidFill>
                    <w14:schemeClr w14:val="tx1"/>
                  </w14:solidFill>
                </w14:textFill>
              </w:rPr>
              <w:t>，</w:t>
            </w:r>
            <w:r>
              <w:rPr>
                <w:rFonts w:hint="eastAsia" w:hAnsi="宋体"/>
                <w:color w:val="000000" w:themeColor="text1"/>
                <w:kern w:val="0"/>
                <w:sz w:val="24"/>
                <w:szCs w:val="20"/>
                <w14:textFill>
                  <w14:solidFill>
                    <w14:schemeClr w14:val="tx1"/>
                  </w14:solidFill>
                </w14:textFill>
              </w:rPr>
              <w:t>评价范围为钻孔施工平台边界向外</w:t>
            </w:r>
            <w:r>
              <w:rPr>
                <w:rFonts w:hAnsi="宋体"/>
                <w:color w:val="000000" w:themeColor="text1"/>
                <w:kern w:val="0"/>
                <w:sz w:val="24"/>
                <w:szCs w:val="20"/>
                <w14:textFill>
                  <w14:solidFill>
                    <w14:schemeClr w14:val="tx1"/>
                  </w14:solidFill>
                </w14:textFill>
              </w:rPr>
              <w:t>250m</w:t>
            </w:r>
            <w:r>
              <w:rPr>
                <w:rFonts w:hint="eastAsia" w:hAnsi="宋体"/>
                <w:color w:val="000000" w:themeColor="text1"/>
                <w:kern w:val="0"/>
                <w:sz w:val="24"/>
                <w:szCs w:val="20"/>
                <w14:textFill>
                  <w14:solidFill>
                    <w14:schemeClr w14:val="tx1"/>
                  </w14:solidFill>
                </w14:textFill>
              </w:rPr>
              <w:t>。</w:t>
            </w:r>
          </w:p>
          <w:p>
            <w:pPr>
              <w:adjustRightInd w:val="0"/>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3.2声环境影响分析</w:t>
            </w:r>
          </w:p>
          <w:p>
            <w:pPr>
              <w:pStyle w:val="16"/>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勘查过程中，机械噪声会对周边环境产生影响，固定性声源主要有钻探机组、柴油发电机、泥浆泵、除砂器及泥浆搅拌机，噪声级一般65～95dB（A）；流动性声源主要指运输车辆，噪声级一般65～75dB（A）。</w:t>
            </w:r>
          </w:p>
          <w:p>
            <w:pPr>
              <w:pStyle w:val="16"/>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w:t>
            </w:r>
            <w:r>
              <w:rPr>
                <w:rFonts w:ascii="Times New Roman" w:hAnsi="Times New Roman" w:cs="Times New Roman"/>
                <w:bCs/>
                <w:color w:val="000000" w:themeColor="text1"/>
                <w14:textFill>
                  <w14:solidFill>
                    <w14:schemeClr w14:val="tx1"/>
                  </w14:solidFill>
                </w14:textFill>
              </w:rPr>
              <w:t>1</w:t>
            </w:r>
            <w:r>
              <w:rPr>
                <w:rFonts w:ascii="Times New Roman" w:hAnsi="Times New Roman" w:cs="Times New Roman"/>
                <w:color w:val="000000" w:themeColor="text1"/>
                <w14:textFill>
                  <w14:solidFill>
                    <w14:schemeClr w14:val="tx1"/>
                  </w14:solidFill>
                </w14:textFill>
              </w:rPr>
              <w:t>）噪声源强</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钻井噪声固定声源主要来源于钻探机组、柴油发电机、泥浆泵、除砂器及泥浆搅拌机，噪声源强在65～95dB（A)，对环境影响较大。钻机产生的影响主要为钻机设备产生的振动，随着钻机钻探深度增加，在地层屏蔽的作用下，影响逐渐减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目前，钻井噪声处理难度较大，减轻钻井噪声影响的主要措施是柴油发电机自带消音装置，在柴油机、钻机、泥浆泵等设备设置减振，在钻井过程中平稳操作，避免产生非正常的噪声，通过以上措施可以降低噪声约</w:t>
            </w:r>
            <w:r>
              <w:rPr>
                <w:snapToGrid w:val="0"/>
                <w:color w:val="000000" w:themeColor="text1"/>
                <w:kern w:val="0"/>
                <w:sz w:val="24"/>
                <w14:textFill>
                  <w14:solidFill>
                    <w14:schemeClr w14:val="tx1"/>
                  </w14:solidFill>
                </w14:textFill>
              </w:rPr>
              <w:t>5</w:t>
            </w:r>
            <w:r>
              <w:rPr>
                <w:rFonts w:hint="eastAsia"/>
                <w:snapToGrid w:val="0"/>
                <w:color w:val="000000" w:themeColor="text1"/>
                <w:sz w:val="24"/>
                <w:lang w:eastAsia="zh-CN"/>
                <w14:textFill>
                  <w14:solidFill>
                    <w14:schemeClr w14:val="tx1"/>
                  </w14:solidFill>
                </w14:textFill>
              </w:rPr>
              <w:t>-</w:t>
            </w:r>
            <w:r>
              <w:rPr>
                <w:rFonts w:hint="eastAsia"/>
                <w:snapToGrid w:val="0"/>
                <w:color w:val="000000" w:themeColor="text1"/>
                <w:kern w:val="0"/>
                <w:sz w:val="24"/>
                <w:lang w:val="en-US" w:eastAsia="zh-CN"/>
                <w14:textFill>
                  <w14:solidFill>
                    <w14:schemeClr w14:val="tx1"/>
                  </w14:solidFill>
                </w14:textFill>
              </w:rPr>
              <w:t>10</w:t>
            </w:r>
            <w:r>
              <w:rPr>
                <w:snapToGrid w:val="0"/>
                <w:color w:val="000000" w:themeColor="text1"/>
                <w:kern w:val="0"/>
                <w:sz w:val="24"/>
                <w14:textFill>
                  <w14:solidFill>
                    <w14:schemeClr w14:val="tx1"/>
                  </w14:solidFill>
                </w14:textFill>
              </w:rPr>
              <w:t>dB(A)</w:t>
            </w:r>
            <w:r>
              <w:rPr>
                <w:rFonts w:hint="eastAsia"/>
                <w:snapToGrid w:val="0"/>
                <w:color w:val="000000" w:themeColor="text1"/>
                <w:kern w:val="0"/>
                <w:sz w:val="24"/>
                <w14:textFill>
                  <w14:solidFill>
                    <w14:schemeClr w14:val="tx1"/>
                  </w14:solidFill>
                </w14:textFill>
              </w:rPr>
              <w:t>左右。单个钻井平台降噪前后噪声源强见表</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lang w:val="en-US" w:eastAsia="zh-CN"/>
                <w14:textFill>
                  <w14:solidFill>
                    <w14:schemeClr w14:val="tx1"/>
                  </w14:solidFill>
                </w14:textFill>
              </w:rPr>
              <w:t>5</w:t>
            </w:r>
            <w:r>
              <w:rPr>
                <w:rFonts w:hint="eastAsia"/>
                <w:snapToGrid w:val="0"/>
                <w:color w:val="000000" w:themeColor="text1"/>
                <w:kern w:val="0"/>
                <w:sz w:val="24"/>
                <w14:textFill>
                  <w14:solidFill>
                    <w14:schemeClr w14:val="tx1"/>
                  </w14:solidFill>
                </w14:textFill>
              </w:rPr>
              <w:t>。</w:t>
            </w:r>
          </w:p>
          <w:p>
            <w:pPr>
              <w:spacing w:line="240" w:lineRule="auto"/>
              <w:jc w:val="center"/>
              <w:rPr>
                <w:b/>
                <w:bCs/>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5</w:t>
            </w:r>
            <w:r>
              <w:rPr>
                <w:rFonts w:hint="eastAsia"/>
                <w:b w:val="0"/>
                <w:bCs w:val="0"/>
                <w:color w:val="000000" w:themeColor="text1"/>
                <w:sz w:val="24"/>
                <w14:textFill>
                  <w14:solidFill>
                    <w14:schemeClr w14:val="tx1"/>
                  </w14:solidFill>
                </w14:textFill>
              </w:rPr>
              <w:t xml:space="preserve">  单个钻井平台降噪前后噪声源强   单位：dB（A）</w:t>
            </w:r>
          </w:p>
          <w:tbl>
            <w:tblPr>
              <w:tblStyle w:val="11"/>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028"/>
              <w:gridCol w:w="1835"/>
              <w:gridCol w:w="1599"/>
              <w:gridCol w:w="1360"/>
              <w:gridCol w:w="1976"/>
              <w:gridCol w:w="17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tblHeader/>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设备名称</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源强</w:t>
                  </w:r>
                </w:p>
              </w:tc>
              <w:tc>
                <w:tcPr>
                  <w:tcW w:w="103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降噪措施</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降噪后源强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21"/>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snapToGrid w:val="0"/>
                      <w:color w:val="000000" w:themeColor="text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21"/>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hint="eastAsia"/>
                      <w:snapToGrid w:val="0"/>
                      <w:color w:val="000000" w:themeColor="text1"/>
                      <w14:textFill>
                        <w14:solidFill>
                          <w14:schemeClr w14:val="tx1"/>
                        </w14:solidFill>
                      </w14:textFill>
                    </w:rPr>
                    <w:t>自带消音装置</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highlight w:val="yellow"/>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21"/>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21"/>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65</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65</w:t>
                  </w:r>
                </w:p>
              </w:tc>
            </w:tr>
          </w:tbl>
          <w:p>
            <w:pPr>
              <w:autoSpaceDE w:val="0"/>
              <w:autoSpaceDN w:val="0"/>
              <w:spacing w:line="360" w:lineRule="auto"/>
              <w:ind w:firstLine="480" w:firstLineChars="200"/>
              <w:rPr>
                <w:rFonts w:ascii="宋体" w:cs="宋体"/>
                <w:color w:val="000000" w:themeColor="text1"/>
                <w:kern w:val="0"/>
                <w:sz w:val="24"/>
                <w14:textFill>
                  <w14:solidFill>
                    <w14:schemeClr w14:val="tx1"/>
                  </w14:solidFill>
                </w14:textFill>
              </w:rPr>
            </w:pPr>
            <w:r>
              <w:rPr>
                <w:rFonts w:hint="eastAsia" w:ascii="宋体" w:cs="宋体"/>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2</w:t>
            </w:r>
            <w:r>
              <w:rPr>
                <w:rFonts w:hint="eastAsia" w:ascii="宋体" w:cs="宋体"/>
                <w:color w:val="000000" w:themeColor="text1"/>
                <w:sz w:val="24"/>
                <w14:textFill>
                  <w14:solidFill>
                    <w14:schemeClr w14:val="tx1"/>
                  </w14:solidFill>
                </w14:textFill>
              </w:rPr>
              <w:t>）</w:t>
            </w:r>
            <w:r>
              <w:rPr>
                <w:rFonts w:hint="eastAsia"/>
                <w:snapToGrid w:val="0"/>
                <w:color w:val="000000" w:themeColor="text1"/>
                <w:kern w:val="0"/>
                <w:sz w:val="24"/>
                <w14:textFill>
                  <w14:solidFill>
                    <w14:schemeClr w14:val="tx1"/>
                  </w14:solidFill>
                </w14:textFill>
              </w:rPr>
              <w:t>预测模式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hAnsi="宋体"/>
                <w:snapToGrid w:val="0"/>
                <w:color w:val="000000" w:themeColor="text1"/>
                <w:kern w:val="0"/>
                <w:sz w:val="24"/>
                <w14:textFill>
                  <w14:solidFill>
                    <w14:schemeClr w14:val="tx1"/>
                  </w14:solidFill>
                </w14:textFill>
              </w:rPr>
              <w:t>井场</w:t>
            </w:r>
            <w:r>
              <w:rPr>
                <w:rFonts w:hAnsi="宋体"/>
                <w:snapToGrid w:val="0"/>
                <w:color w:val="000000" w:themeColor="text1"/>
                <w:kern w:val="0"/>
                <w:sz w:val="24"/>
                <w14:textFill>
                  <w14:solidFill>
                    <w14:schemeClr w14:val="tx1"/>
                  </w14:solidFill>
                </w14:textFill>
              </w:rPr>
              <w:t>设备噪声可近似视为点声源处理，根据点声源噪声衰减模式，估算距离声源不同距离处的噪声值，预测模式如下：</w:t>
            </w:r>
          </w:p>
          <w:p>
            <w:pPr>
              <w:tabs>
                <w:tab w:val="left" w:pos="420"/>
                <w:tab w:val="left" w:pos="840"/>
                <w:tab w:val="left" w:pos="7620"/>
              </w:tabs>
              <w:spacing w:line="360" w:lineRule="auto"/>
              <w:jc w:val="center"/>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drawing>
                <wp:inline distT="0" distB="0" distL="0" distR="0">
                  <wp:extent cx="1603375" cy="267970"/>
                  <wp:effectExtent l="0" t="0" r="9525" b="114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1603375" cy="267970"/>
                          </a:xfrm>
                          <a:prstGeom prst="rect">
                            <a:avLst/>
                          </a:prstGeom>
                          <a:noFill/>
                        </pic:spPr>
                      </pic:pic>
                    </a:graphicData>
                  </a:graphic>
                </wp:inline>
              </w:drawing>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式中：Lp：距声源r</w:t>
            </w:r>
            <w:r>
              <w:rPr>
                <w:snapToGrid w:val="0"/>
                <w:color w:val="000000" w:themeColor="text1"/>
                <w:kern w:val="0"/>
                <w:sz w:val="24"/>
                <w:vertAlign w:val="subscript"/>
                <w14:textFill>
                  <w14:solidFill>
                    <w14:schemeClr w14:val="tx1"/>
                  </w14:solidFill>
                </w14:textFill>
              </w:rPr>
              <w:t>m</w:t>
            </w:r>
            <w:r>
              <w:rPr>
                <w:snapToGrid w:val="0"/>
                <w:color w:val="000000" w:themeColor="text1"/>
                <w:kern w:val="0"/>
                <w:sz w:val="24"/>
                <w14:textFill>
                  <w14:solidFill>
                    <w14:schemeClr w14:val="tx1"/>
                  </w14:solidFill>
                </w14:textFill>
              </w:rPr>
              <w:t>处的施工噪声预测值，dB(A)；</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 xml:space="preserve">      Lp</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：距声源r</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处的噪声参考值，dB(A)</w:t>
            </w:r>
            <w:r>
              <w:rPr>
                <w:rFonts w:hint="eastAsia"/>
                <w:snapToGrid w:val="0"/>
                <w:color w:val="000000" w:themeColor="text1"/>
                <w:kern w:val="0"/>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多台设备同时运行的噪声级是多个声源衰减后叠加声级，预测模式如下：</w:t>
            </w:r>
          </w:p>
          <w:p>
            <w:pPr>
              <w:spacing w:line="360" w:lineRule="auto"/>
              <w:jc w:val="center"/>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Lpn=</w:t>
            </w:r>
            <w:r>
              <w:rPr>
                <w:snapToGrid w:val="0"/>
                <w:color w:val="000000" w:themeColor="text1"/>
                <w:kern w:val="0"/>
                <w:sz w:val="24"/>
                <w14:textFill>
                  <w14:solidFill>
                    <w14:schemeClr w14:val="tx1"/>
                  </w14:solidFill>
                </w14:textFill>
              </w:rPr>
              <w:t>10</w:t>
            </w:r>
            <w:r>
              <w:rPr>
                <w:rFonts w:hint="eastAsia"/>
                <w:snapToGrid w:val="0"/>
                <w:color w:val="000000" w:themeColor="text1"/>
                <w:kern w:val="0"/>
                <w:sz w:val="24"/>
                <w14:textFill>
                  <w14:solidFill>
                    <w14:schemeClr w14:val="tx1"/>
                  </w14:solidFill>
                </w14:textFill>
              </w:rPr>
              <w:t>lg[</w:t>
            </w:r>
            <m:oMath>
              <m:nary>
                <m:naryPr>
                  <m:chr m:val="∑"/>
                  <m:limLoc m:val="undOvr"/>
                  <m:ctrlPr>
                    <w:rPr>
                      <w:rFonts w:ascii="Cambria Math" w:hAnsi="Cambria Math"/>
                      <w:i/>
                      <w:snapToGrid w:val="0"/>
                      <w:color w:val="000000" w:themeColor="text1"/>
                      <w:kern w:val="0"/>
                      <w:sz w:val="24"/>
                      <w14:textFill>
                        <w14:solidFill>
                          <w14:schemeClr w14:val="tx1"/>
                        </w14:solidFill>
                      </w14:textFill>
                    </w:rPr>
                  </m:ctrlPr>
                </m:naryPr>
                <m:sub>
                  <m:r>
                    <w:rPr>
                      <w:rFonts w:hint="eastAsia" w:ascii="Cambria Math" w:hAnsi="Cambria Math"/>
                      <w:snapToGrid w:val="0"/>
                      <w:color w:val="000000" w:themeColor="text1"/>
                      <w:kern w:val="0"/>
                      <w:sz w:val="24"/>
                      <w14:textFill>
                        <w14:solidFill>
                          <w14:schemeClr w14:val="tx1"/>
                        </w14:solidFill>
                      </w14:textFill>
                    </w:rPr>
                    <m:t>i=</m:t>
                  </m:r>
                  <m:r>
                    <w:rPr>
                      <w:rFonts w:ascii="Cambria Math" w:hAnsi="Cambria Math"/>
                      <w:snapToGrid w:val="0"/>
                      <w:color w:val="000000" w:themeColor="text1"/>
                      <w:kern w:val="0"/>
                      <w:sz w:val="24"/>
                      <w14:textFill>
                        <w14:solidFill>
                          <w14:schemeClr w14:val="tx1"/>
                        </w14:solidFill>
                      </w14:textFill>
                    </w:rPr>
                    <m:t>1</m:t>
                  </m:r>
                  <m:ctrlPr>
                    <w:rPr>
                      <w:rFonts w:ascii="Cambria Math" w:hAnsi="Cambria Math"/>
                      <w:i/>
                      <w:snapToGrid w:val="0"/>
                      <w:color w:val="000000" w:themeColor="text1"/>
                      <w:kern w:val="0"/>
                      <w:sz w:val="24"/>
                      <w14:textFill>
                        <w14:solidFill>
                          <w14:schemeClr w14:val="tx1"/>
                        </w14:solidFill>
                      </w14:textFill>
                    </w:rPr>
                  </m:ctrlPr>
                </m:sub>
                <m:sup>
                  <m:r>
                    <w:rPr>
                      <w:rFonts w:hint="eastAsia" w:ascii="Cambria Math" w:hAnsi="Cambria Math"/>
                      <w:snapToGrid w:val="0"/>
                      <w:color w:val="000000" w:themeColor="text1"/>
                      <w:kern w:val="0"/>
                      <w:sz w:val="24"/>
                      <w14:textFill>
                        <w14:solidFill>
                          <w14:schemeClr w14:val="tx1"/>
                        </w14:solidFill>
                      </w14:textFill>
                    </w:rPr>
                    <m:t>n</m:t>
                  </m:r>
                  <m:ctrlPr>
                    <w:rPr>
                      <w:rFonts w:ascii="Cambria Math" w:hAnsi="Cambria Math"/>
                      <w:i/>
                      <w:snapToGrid w:val="0"/>
                      <w:color w:val="000000" w:themeColor="text1"/>
                      <w:kern w:val="0"/>
                      <w:sz w:val="24"/>
                      <w14:textFill>
                        <w14:solidFill>
                          <w14:schemeClr w14:val="tx1"/>
                        </w14:solidFill>
                      </w14:textFill>
                    </w:rPr>
                  </m:ctrlPr>
                </m:sup>
                <m:e>
                  <m:sSup>
                    <m:sSupPr>
                      <m:ctrlPr>
                        <w:rPr>
                          <w:rFonts w:ascii="Cambria Math" w:hAnsi="Cambria Math"/>
                          <w:i/>
                          <w:snapToGrid w:val="0"/>
                          <w:color w:val="000000" w:themeColor="text1"/>
                          <w:kern w:val="0"/>
                          <w:sz w:val="24"/>
                          <w14:textFill>
                            <w14:solidFill>
                              <w14:schemeClr w14:val="tx1"/>
                            </w14:solidFill>
                          </w14:textFill>
                        </w:rPr>
                      </m:ctrlPr>
                    </m:sSupPr>
                    <m:e>
                      <m:r>
                        <w:rPr>
                          <w:rFonts w:ascii="Cambria Math" w:hAnsi="Cambria Math"/>
                          <w:snapToGrid w:val="0"/>
                          <w:color w:val="000000" w:themeColor="text1"/>
                          <w:kern w:val="0"/>
                          <w:sz w:val="24"/>
                          <w14:textFill>
                            <w14:solidFill>
                              <w14:schemeClr w14:val="tx1"/>
                            </w14:solidFill>
                          </w14:textFill>
                        </w:rPr>
                        <m:t>10</m:t>
                      </m:r>
                      <m:ctrlPr>
                        <w:rPr>
                          <w:rFonts w:ascii="Cambria Math" w:hAnsi="Cambria Math"/>
                          <w:i/>
                          <w:snapToGrid w:val="0"/>
                          <w:color w:val="000000" w:themeColor="text1"/>
                          <w:kern w:val="0"/>
                          <w:sz w:val="24"/>
                          <w14:textFill>
                            <w14:solidFill>
                              <w14:schemeClr w14:val="tx1"/>
                            </w14:solidFill>
                          </w14:textFill>
                        </w:rPr>
                      </m:ctrlPr>
                    </m:e>
                    <m:sup>
                      <m:r>
                        <w:rPr>
                          <w:rFonts w:ascii="Cambria Math" w:hAnsi="Cambria Math"/>
                          <w:snapToGrid w:val="0"/>
                          <w:color w:val="000000" w:themeColor="text1"/>
                          <w:kern w:val="0"/>
                          <w:sz w:val="24"/>
                          <w14:textFill>
                            <w14:solidFill>
                              <w14:schemeClr w14:val="tx1"/>
                            </w14:solidFill>
                          </w14:textFill>
                        </w:rPr>
                        <m:t>0.1</m:t>
                      </m:r>
                      <m:sSub>
                        <m:sSubPr>
                          <m:ctrlPr>
                            <w:rPr>
                              <w:rFonts w:ascii="Cambria Math" w:hAnsi="Cambria Math"/>
                              <w:i/>
                              <w:snapToGrid w:val="0"/>
                              <w:color w:val="000000" w:themeColor="text1"/>
                              <w:kern w:val="0"/>
                              <w:sz w:val="24"/>
                              <w14:textFill>
                                <w14:solidFill>
                                  <w14:schemeClr w14:val="tx1"/>
                                </w14:solidFill>
                              </w14:textFill>
                            </w:rPr>
                          </m:ctrlPr>
                        </m:sSubPr>
                        <m:e>
                          <m:r>
                            <w:rPr>
                              <w:rFonts w:hint="eastAsia" w:ascii="Cambria Math" w:hAnsi="Cambria Math"/>
                              <w:snapToGrid w:val="0"/>
                              <w:color w:val="000000" w:themeColor="text1"/>
                              <w:kern w:val="0"/>
                              <w:sz w:val="24"/>
                              <w14:textFill>
                                <w14:solidFill>
                                  <w14:schemeClr w14:val="tx1"/>
                                </w14:solidFill>
                              </w14:textFill>
                            </w:rPr>
                            <m:t>L</m:t>
                          </m:r>
                          <m:ctrlPr>
                            <w:rPr>
                              <w:rFonts w:ascii="Cambria Math" w:hAnsi="Cambria Math"/>
                              <w:i/>
                              <w:snapToGrid w:val="0"/>
                              <w:color w:val="000000" w:themeColor="text1"/>
                              <w:kern w:val="0"/>
                              <w:sz w:val="24"/>
                              <w14:textFill>
                                <w14:solidFill>
                                  <w14:schemeClr w14:val="tx1"/>
                                </w14:solidFill>
                              </w14:textFill>
                            </w:rPr>
                          </m:ctrlPr>
                        </m:e>
                        <m:sub>
                          <m:r>
                            <w:rPr>
                              <w:rFonts w:hint="eastAsia" w:ascii="Cambria Math" w:hAnsi="Cambria Math"/>
                              <w:snapToGrid w:val="0"/>
                              <w:color w:val="000000" w:themeColor="text1"/>
                              <w:kern w:val="0"/>
                              <w:sz w:val="24"/>
                              <w14:textFill>
                                <w14:solidFill>
                                  <w14:schemeClr w14:val="tx1"/>
                                </w14:solidFill>
                              </w14:textFill>
                            </w:rPr>
                            <m:t>pni</m:t>
                          </m:r>
                          <m:ctrlPr>
                            <w:rPr>
                              <w:rFonts w:ascii="Cambria Math" w:hAnsi="Cambria Math"/>
                              <w:i/>
                              <w:snapToGrid w:val="0"/>
                              <w:color w:val="000000" w:themeColor="text1"/>
                              <w:kern w:val="0"/>
                              <w:sz w:val="24"/>
                              <w14:textFill>
                                <w14:solidFill>
                                  <w14:schemeClr w14:val="tx1"/>
                                </w14:solidFill>
                              </w14:textFill>
                            </w:rPr>
                          </m:ctrlPr>
                        </m:sub>
                      </m:sSub>
                      <m:ctrlPr>
                        <w:rPr>
                          <w:rFonts w:ascii="Cambria Math" w:hAnsi="Cambria Math"/>
                          <w:i/>
                          <w:snapToGrid w:val="0"/>
                          <w:color w:val="000000" w:themeColor="text1"/>
                          <w:kern w:val="0"/>
                          <w:sz w:val="24"/>
                          <w14:textFill>
                            <w14:solidFill>
                              <w14:schemeClr w14:val="tx1"/>
                            </w14:solidFill>
                          </w14:textFill>
                        </w:rPr>
                      </m:ctrlPr>
                    </m:sup>
                  </m:sSup>
                  <m:ctrlPr>
                    <w:rPr>
                      <w:rFonts w:ascii="Cambria Math" w:hAnsi="Cambria Math"/>
                      <w:i/>
                      <w:snapToGrid w:val="0"/>
                      <w:color w:val="000000" w:themeColor="text1"/>
                      <w:kern w:val="0"/>
                      <w:sz w:val="24"/>
                      <w14:textFill>
                        <w14:solidFill>
                          <w14:schemeClr w14:val="tx1"/>
                        </w14:solidFill>
                      </w14:textFill>
                    </w:rPr>
                  </m:ctrlPr>
                </m:e>
              </m:nary>
            </m:oMath>
            <w:r>
              <w:rPr>
                <w:snapToGrid w:val="0"/>
                <w:color w:val="000000" w:themeColor="text1"/>
                <w:kern w:val="0"/>
                <w:sz w:val="24"/>
                <w14:textFill>
                  <w14:solidFill>
                    <w14:schemeClr w14:val="tx1"/>
                  </w14:solidFill>
                </w14:textFill>
              </w:rPr>
              <w:t>]</w:t>
            </w:r>
          </w:p>
          <w:p>
            <w:pPr>
              <w:spacing w:line="360" w:lineRule="auto"/>
              <w:ind w:firstLine="624" w:firstLineChars="26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式中：</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 xml:space="preserve"> </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pni</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第</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（3）预测结果及影响分析</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预测结果见表8-</w:t>
            </w:r>
            <w:r>
              <w:rPr>
                <w:rFonts w:hint="eastAsia"/>
                <w:snapToGrid w:val="0"/>
                <w:color w:val="000000" w:themeColor="text1"/>
                <w:kern w:val="0"/>
                <w:sz w:val="24"/>
                <w:lang w:val="en-US" w:eastAsia="zh-CN"/>
                <w14:textFill>
                  <w14:solidFill>
                    <w14:schemeClr w14:val="tx1"/>
                  </w14:solidFill>
                </w14:textFill>
              </w:rPr>
              <w:t>6</w:t>
            </w:r>
            <w:r>
              <w:rPr>
                <w:snapToGrid w:val="0"/>
                <w:color w:val="000000" w:themeColor="text1"/>
                <w:kern w:val="0"/>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6</w:t>
            </w:r>
            <w:r>
              <w:rPr>
                <w:rFonts w:hint="eastAsia"/>
                <w:b w:val="0"/>
                <w:bCs w:val="0"/>
                <w:color w:val="000000" w:themeColor="text1"/>
                <w:sz w:val="24"/>
                <w14:textFill>
                  <w14:solidFill>
                    <w14:schemeClr w14:val="tx1"/>
                  </w14:solidFill>
                </w14:textFill>
              </w:rPr>
              <w:t xml:space="preserve">  噪声源随距离的衰减情况  </w:t>
            </w:r>
            <w:r>
              <w:rPr>
                <w:b w:val="0"/>
                <w:bCs w:val="0"/>
                <w:color w:val="000000" w:themeColor="text1"/>
                <w:sz w:val="24"/>
                <w14:textFill>
                  <w14:solidFill>
                    <w14:schemeClr w14:val="tx1"/>
                  </w14:solidFill>
                </w14:textFill>
              </w:rPr>
              <w:t>单位：dB(A)</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185"/>
              <w:gridCol w:w="633"/>
              <w:gridCol w:w="634"/>
              <w:gridCol w:w="634"/>
              <w:gridCol w:w="634"/>
              <w:gridCol w:w="634"/>
              <w:gridCol w:w="634"/>
              <w:gridCol w:w="634"/>
              <w:gridCol w:w="634"/>
              <w:gridCol w:w="634"/>
              <w:gridCol w:w="6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669" w:type="pct"/>
                  <w:vMerge w:val="restar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噪声源</w:t>
                  </w:r>
                </w:p>
              </w:tc>
              <w:tc>
                <w:tcPr>
                  <w:tcW w:w="3330" w:type="pct"/>
                  <w:gridSpan w:val="10"/>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距声源距离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Merge w:val="continue"/>
                  <w:vAlign w:val="center"/>
                </w:tcPr>
                <w:p>
                  <w:pPr>
                    <w:adjustRightInd w:val="0"/>
                    <w:snapToGrid w:val="0"/>
                    <w:jc w:val="center"/>
                    <w:rPr>
                      <w:snapToGrid w:val="0"/>
                      <w:color w:val="000000" w:themeColor="text1"/>
                      <w:szCs w:val="21"/>
                      <w14:textFill>
                        <w14:solidFill>
                          <w14:schemeClr w14:val="tx1"/>
                        </w14:solidFill>
                      </w14:textFill>
                    </w:rPr>
                  </w:pP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80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w:t>
                  </w:r>
                  <w:r>
                    <w:rPr>
                      <w:snapToGrid w:val="0"/>
                      <w:color w:val="000000" w:themeColor="text1"/>
                      <w:szCs w:val="21"/>
                      <w14:textFill>
                        <w14:solidFill>
                          <w14:schemeClr w14:val="tx1"/>
                        </w14:solidFill>
                      </w14:textFill>
                    </w:rPr>
                    <w:t>50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钻探机组</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63.9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51.9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42.0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18.9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共同运行</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60.8</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57.3</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54.8</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44.9</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《建筑施工场界环境噪声排放标准》（GB12523-2011）</w:t>
                  </w:r>
                </w:p>
              </w:tc>
              <w:tc>
                <w:tcPr>
                  <w:tcW w:w="3330" w:type="pct"/>
                  <w:gridSpan w:val="10"/>
                  <w:vAlign w:val="center"/>
                </w:tcPr>
                <w:p>
                  <w:pPr>
                    <w:adjustRightInd w:val="0"/>
                    <w:snapToGrid w:val="0"/>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昼间≤</w:t>
                  </w:r>
                  <w:r>
                    <w:rPr>
                      <w:rFonts w:hint="eastAsia"/>
                      <w:color w:val="000000" w:themeColor="text1"/>
                      <w:szCs w:val="21"/>
                      <w14:textFill>
                        <w14:solidFill>
                          <w14:schemeClr w14:val="tx1"/>
                        </w14:solidFill>
                      </w14:textFill>
                    </w:rPr>
                    <w:t>70</w:t>
                  </w:r>
                  <w:r>
                    <w:rPr>
                      <w:color w:val="000000" w:themeColor="text1"/>
                      <w:szCs w:val="21"/>
                      <w14:textFill>
                        <w14:solidFill>
                          <w14:schemeClr w14:val="tx1"/>
                        </w14:solidFill>
                      </w14:textFill>
                    </w:rPr>
                    <w:t>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w:t>
                  </w:r>
                  <w:r>
                    <w:rPr>
                      <w:rFonts w:hint="eastAsia"/>
                      <w:color w:val="000000" w:themeColor="text1"/>
                      <w:szCs w:val="21"/>
                      <w14:textFill>
                        <w14:solidFill>
                          <w14:schemeClr w14:val="tx1"/>
                        </w14:solidFill>
                      </w14:textFill>
                    </w:rPr>
                    <w:t>55</w:t>
                  </w:r>
                  <w:r>
                    <w:rPr>
                      <w:color w:val="000000" w:themeColor="text1"/>
                      <w:szCs w:val="21"/>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《声环境质量标（GB3096-2008）</w:t>
                  </w:r>
                </w:p>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1</w:t>
                  </w:r>
                  <w:r>
                    <w:rPr>
                      <w:rFonts w:hint="eastAsia"/>
                      <w:snapToGrid w:val="0"/>
                      <w:color w:val="000000" w:themeColor="text1"/>
                      <w:szCs w:val="21"/>
                      <w14:textFill>
                        <w14:solidFill>
                          <w14:schemeClr w14:val="tx1"/>
                        </w14:solidFill>
                      </w14:textFill>
                    </w:rPr>
                    <w:t>类</w:t>
                  </w:r>
                </w:p>
              </w:tc>
              <w:tc>
                <w:tcPr>
                  <w:tcW w:w="3330" w:type="pct"/>
                  <w:gridSpan w:val="10"/>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昼间≤55dB(A)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夜间≤45dB(A)</w:t>
                  </w:r>
                </w:p>
              </w:tc>
            </w:tr>
          </w:tbl>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lang w:val="en-US" w:eastAsia="zh-CN"/>
                <w14:textFill>
                  <w14:solidFill>
                    <w14:schemeClr w14:val="tx1"/>
                  </w14:solidFill>
                </w14:textFill>
              </w:rPr>
              <w:t>根据</w:t>
            </w:r>
            <w:r>
              <w:rPr>
                <w:rFonts w:hint="eastAsia"/>
                <w:snapToGrid w:val="0"/>
                <w:color w:val="000000" w:themeColor="text1"/>
                <w:kern w:val="0"/>
                <w:sz w:val="24"/>
                <w14:textFill>
                  <w14:solidFill>
                    <w14:schemeClr w14:val="tx1"/>
                  </w14:solidFill>
                </w14:textFill>
              </w:rPr>
              <w:t>《建筑施工场界环境噪声排放标准》（GB12523-2011），昼间场界噪声排放限值为70dB，夜间排放限值为55dB。根据上表预测结果，仅考虑距离衰减的影响，设备同时运行时，20m处噪声贡献值为66.9dB(A)，80m处噪声贡献值为54.8dB(A)，200m处噪声贡献值为46.9dB(A)，250m处噪声贡献值为44.9dB(A)，300m处噪声贡献值为43.3dB(A)。则20m处噪声贡献值可以满足《建筑施工场界环境噪声排放标准》（GB12523-2011）昼间排放限值要求，80m处噪声贡献值可以满足《建筑施工场界环境噪声排放标准》（GB12523-2011）夜间排放限值要求。根据《声环境质量标准》（GB3096-2008）</w:t>
            </w:r>
            <w:r>
              <w:rPr>
                <w:snapToGrid w:val="0"/>
                <w:color w:val="000000" w:themeColor="text1"/>
                <w:kern w:val="0"/>
                <w:sz w:val="24"/>
                <w14:textFill>
                  <w14:solidFill>
                    <w14:schemeClr w14:val="tx1"/>
                  </w14:solidFill>
                </w14:textFill>
              </w:rPr>
              <w:t>1</w:t>
            </w:r>
            <w:r>
              <w:rPr>
                <w:rFonts w:hint="eastAsia"/>
                <w:snapToGrid w:val="0"/>
                <w:color w:val="000000" w:themeColor="text1"/>
                <w:kern w:val="0"/>
                <w:sz w:val="24"/>
                <w14:textFill>
                  <w14:solidFill>
                    <w14:schemeClr w14:val="tx1"/>
                  </w14:solidFill>
                </w14:textFill>
              </w:rPr>
              <w:t>类可知，对周边敏感点昼间影响范围为</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14:textFill>
                  <w14:solidFill>
                    <w14:schemeClr w14:val="tx1"/>
                  </w14:solidFill>
                </w14:textFill>
              </w:rPr>
              <w:t>0m，夜间影响范围为</w:t>
            </w:r>
            <w:r>
              <w:rPr>
                <w:snapToGrid w:val="0"/>
                <w:color w:val="000000" w:themeColor="text1"/>
                <w:kern w:val="0"/>
                <w:sz w:val="24"/>
                <w14:textFill>
                  <w14:solidFill>
                    <w14:schemeClr w14:val="tx1"/>
                  </w14:solidFill>
                </w14:textFill>
              </w:rPr>
              <w:t>2</w:t>
            </w:r>
            <w:r>
              <w:rPr>
                <w:rFonts w:hint="eastAsia"/>
                <w:snapToGrid w:val="0"/>
                <w:color w:val="000000" w:themeColor="text1"/>
                <w:kern w:val="0"/>
                <w:sz w:val="24"/>
                <w14:textFill>
                  <w14:solidFill>
                    <w14:schemeClr w14:val="tx1"/>
                  </w14:solidFill>
                </w14:textFill>
              </w:rPr>
              <w:t>50m。</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14:textFill>
                  <w14:solidFill>
                    <w14:schemeClr w14:val="tx1"/>
                  </w14:solidFill>
                </w14:textFill>
              </w:rPr>
              <w:t>根据计划安排，202</w:t>
            </w:r>
            <w:r>
              <w:rPr>
                <w:rFonts w:hint="eastAsia"/>
                <w:bCs/>
                <w:color w:val="000000" w:themeColor="text1"/>
                <w:sz w:val="24"/>
                <w:lang w:val="en-US" w:eastAsia="zh-CN"/>
                <w14:textFill>
                  <w14:solidFill>
                    <w14:schemeClr w14:val="tx1"/>
                  </w14:solidFill>
                </w14:textFill>
              </w:rPr>
              <w:t>2</w:t>
            </w:r>
            <w:r>
              <w:rPr>
                <w:rFonts w:hint="eastAsia"/>
                <w:bCs/>
                <w:color w:val="000000" w:themeColor="text1"/>
                <w:sz w:val="24"/>
                <w14:textFill>
                  <w14:solidFill>
                    <w14:schemeClr w14:val="tx1"/>
                  </w14:solidFill>
                </w14:textFill>
              </w:rPr>
              <w:t>年预计设钻孔</w:t>
            </w:r>
            <w:r>
              <w:rPr>
                <w:rFonts w:hint="eastAsia"/>
                <w:bCs/>
                <w:color w:val="000000" w:themeColor="text1"/>
                <w:sz w:val="24"/>
                <w:lang w:val="en-US" w:eastAsia="zh-CN"/>
                <w14:textFill>
                  <w14:solidFill>
                    <w14:schemeClr w14:val="tx1"/>
                  </w14:solidFill>
                </w14:textFill>
              </w:rPr>
              <w:t>31</w:t>
            </w:r>
            <w:r>
              <w:rPr>
                <w:rFonts w:hint="eastAsia"/>
                <w:bCs/>
                <w:color w:val="000000" w:themeColor="text1"/>
                <w:sz w:val="24"/>
                <w14:textFill>
                  <w14:solidFill>
                    <w14:schemeClr w14:val="tx1"/>
                  </w14:solidFill>
                </w14:textFill>
              </w:rPr>
              <w:t>个，</w:t>
            </w:r>
            <w:r>
              <w:rPr>
                <w:rFonts w:hint="eastAsia"/>
                <w:bCs/>
                <w:color w:val="000000" w:themeColor="text1"/>
                <w:sz w:val="24"/>
                <w:lang w:val="en-US" w:eastAsia="zh-CN"/>
                <w14:textFill>
                  <w14:solidFill>
                    <w14:schemeClr w14:val="tx1"/>
                  </w14:solidFill>
                </w14:textFill>
              </w:rPr>
              <w:t>2023年-2026年预计设钻孔213个，</w:t>
            </w:r>
            <w:r>
              <w:rPr>
                <w:rFonts w:hint="eastAsia"/>
                <w:bCs/>
                <w:color w:val="000000" w:themeColor="text1"/>
                <w:sz w:val="24"/>
                <w14:textFill>
                  <w14:solidFill>
                    <w14:schemeClr w14:val="tx1"/>
                  </w14:solidFill>
                </w14:textFill>
              </w:rPr>
              <w:t>根据</w:t>
            </w:r>
            <w:r>
              <w:rPr>
                <w:rFonts w:hint="eastAsia"/>
                <w:bCs/>
                <w:color w:val="000000" w:themeColor="text1"/>
                <w:sz w:val="24"/>
                <w:lang w:val="en-US" w:eastAsia="zh-CN"/>
                <w14:textFill>
                  <w14:solidFill>
                    <w14:schemeClr w14:val="tx1"/>
                  </w14:solidFill>
                </w14:textFill>
              </w:rPr>
              <w:t>2022年</w:t>
            </w:r>
            <w:r>
              <w:rPr>
                <w:rFonts w:hint="eastAsia"/>
                <w:bCs/>
                <w:color w:val="000000" w:themeColor="text1"/>
                <w:sz w:val="24"/>
                <w14:textFill>
                  <w14:solidFill>
                    <w14:schemeClr w14:val="tx1"/>
                  </w14:solidFill>
                </w14:textFill>
              </w:rPr>
              <w:t>初步确定的拟设钻孔的位置，</w:t>
            </w:r>
            <w:r>
              <w:rPr>
                <w:rFonts w:hint="eastAsia"/>
                <w:color w:val="000000" w:themeColor="text1"/>
                <w:sz w:val="24"/>
                <w:szCs w:val="24"/>
                <w:lang w:eastAsia="zh-CN"/>
                <w14:textFill>
                  <w14:solidFill>
                    <w14:schemeClr w14:val="tx1"/>
                  </w14:solidFill>
                </w14:textFill>
              </w:rPr>
              <w:t>项目距敏感点（</w:t>
            </w:r>
            <w:r>
              <w:rPr>
                <w:rFonts w:hint="eastAsia"/>
                <w:color w:val="000000" w:themeColor="text1"/>
                <w:sz w:val="24"/>
                <w:szCs w:val="24"/>
                <w:lang w:val="en-US" w:eastAsia="zh-CN"/>
                <w14:textFill>
                  <w14:solidFill>
                    <w14:schemeClr w14:val="tx1"/>
                  </w14:solidFill>
                </w14:textFill>
              </w:rPr>
              <w:t>红星大队</w:t>
            </w:r>
            <w:r>
              <w:rPr>
                <w:rFonts w:hint="eastAsia"/>
                <w:color w:val="000000" w:themeColor="text1"/>
                <w:sz w:val="24"/>
                <w:szCs w:val="24"/>
                <w:lang w:eastAsia="zh-CN"/>
                <w14:textFill>
                  <w14:solidFill>
                    <w14:schemeClr w14:val="tx1"/>
                  </w14:solidFill>
                </w14:textFill>
              </w:rPr>
              <w:t>）最近的钻孔为ZK</w:t>
            </w:r>
            <w:r>
              <w:rPr>
                <w:rFonts w:hint="eastAsia"/>
                <w:color w:val="000000" w:themeColor="text1"/>
                <w:sz w:val="24"/>
                <w:szCs w:val="24"/>
                <w:lang w:val="en-US" w:eastAsia="zh-CN"/>
                <w14:textFill>
                  <w14:solidFill>
                    <w14:schemeClr w14:val="tx1"/>
                  </w14:solidFill>
                </w14:textFill>
              </w:rPr>
              <w:t>0</w:t>
            </w:r>
            <w:r>
              <w:rPr>
                <w:rFonts w:hint="eastAsia"/>
                <w:color w:val="000000" w:themeColor="text1"/>
                <w:sz w:val="24"/>
                <w:szCs w:val="24"/>
                <w:lang w:eastAsia="zh-CN"/>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7</w:t>
            </w:r>
            <w:r>
              <w:rPr>
                <w:rFonts w:hint="eastAsia"/>
                <w:color w:val="000000" w:themeColor="text1"/>
                <w:sz w:val="24"/>
                <w:szCs w:val="24"/>
                <w:lang w:eastAsia="zh-CN"/>
                <w14:textFill>
                  <w14:solidFill>
                    <w14:schemeClr w14:val="tx1"/>
                  </w14:solidFill>
                </w14:textFill>
              </w:rPr>
              <w:t>，距离为</w:t>
            </w:r>
            <w:r>
              <w:rPr>
                <w:rFonts w:hint="eastAsia"/>
                <w:color w:val="000000" w:themeColor="text1"/>
                <w:sz w:val="24"/>
                <w:szCs w:val="24"/>
                <w:lang w:val="en-US" w:eastAsia="zh-CN"/>
                <w14:textFill>
                  <w14:solidFill>
                    <w14:schemeClr w14:val="tx1"/>
                  </w14:solidFill>
                </w14:textFill>
              </w:rPr>
              <w:t>3.12</w:t>
            </w:r>
            <w:r>
              <w:rPr>
                <w:rFonts w:hint="eastAsia"/>
                <w:color w:val="000000" w:themeColor="text1"/>
                <w:sz w:val="24"/>
                <w:szCs w:val="24"/>
                <w:lang w:eastAsia="zh-CN"/>
                <w14:textFill>
                  <w14:solidFill>
                    <w14:schemeClr w14:val="tx1"/>
                  </w14:solidFill>
                </w14:textFill>
              </w:rPr>
              <w:t>km。因此，2022年布设的钻探施工噪声不会对周边敏感点造成影响。</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考虑到</w:t>
            </w:r>
            <w:r>
              <w:rPr>
                <w:rFonts w:hint="default"/>
                <w:bCs/>
                <w:color w:val="000000" w:themeColor="text1"/>
                <w:sz w:val="24"/>
                <w:lang w:val="en-US" w:eastAsia="zh-CN"/>
                <w14:textFill>
                  <w14:solidFill>
                    <w14:schemeClr w14:val="tx1"/>
                  </w14:solidFill>
                </w14:textFill>
              </w:rPr>
              <w:t>202</w:t>
            </w:r>
            <w:r>
              <w:rPr>
                <w:rFonts w:hint="eastAsia"/>
                <w:bCs/>
                <w:color w:val="000000" w:themeColor="text1"/>
                <w:sz w:val="24"/>
                <w:lang w:val="en-US" w:eastAsia="zh-CN"/>
                <w14:textFill>
                  <w14:solidFill>
                    <w14:schemeClr w14:val="tx1"/>
                  </w14:solidFill>
                </w14:textFill>
              </w:rPr>
              <w:t>2年拟布设钻孔在实际勘查中会随时调整，同时</w:t>
            </w:r>
            <w:r>
              <w:rPr>
                <w:rFonts w:hint="default"/>
                <w:bCs/>
                <w:color w:val="000000" w:themeColor="text1"/>
                <w:sz w:val="24"/>
                <w:lang w:val="en-US" w:eastAsia="zh-CN"/>
                <w14:textFill>
                  <w14:solidFill>
                    <w14:schemeClr w14:val="tx1"/>
                  </w14:solidFill>
                </w14:textFill>
              </w:rPr>
              <w:t>202</w:t>
            </w:r>
            <w:r>
              <w:rPr>
                <w:rFonts w:hint="eastAsia"/>
                <w:bCs/>
                <w:color w:val="000000" w:themeColor="text1"/>
                <w:sz w:val="24"/>
                <w:lang w:val="en-US" w:eastAsia="zh-CN"/>
                <w14:textFill>
                  <w14:solidFill>
                    <w14:schemeClr w14:val="tx1"/>
                  </w14:solidFill>
                </w14:textFill>
              </w:rPr>
              <w:t>3-2026年的钻孔位置尚未确定，因此本次评价提出以下钻井噪声控制措施：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①钻井施工时，柴油发电机自带消音装置，在钻机、泥浆泵、除砂器等设备下加衬弹性垫料，在钻井过程中平稳操作，加强设备维护，避免产生非正常的噪声；</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②加强施工组织和施工管理；</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③2022年钻孔调整以及2023-2026年拟布设的钻孔建议应距离周边村庄集中居住区在250m以上，无法避让时强化降噪措施，可采取在敏感点设降噪或隔声设施。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钻探施工时间较短，伴随施工结束，影响消失，采取上述噪声控制措施后，钻井噪声对声环境的影响可得到有效控制。</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4、</w:t>
            </w:r>
            <w:r>
              <w:rPr>
                <w:rFonts w:hint="eastAsia"/>
                <w:b/>
                <w:color w:val="000000" w:themeColor="text1"/>
                <w:sz w:val="24"/>
                <w14:textFill>
                  <w14:solidFill>
                    <w14:schemeClr w14:val="tx1"/>
                  </w14:solidFill>
                </w14:textFill>
              </w:rPr>
              <w:t>固体废弃物影响分析</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根据工程分析，本项目固体废物主要为剥离表土、钻井泥浆、岩芯、施工人员生活垃圾以及废机油。</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（1）剥离表土</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表土就近堆放于钻孔平台附近，待封孔后用于场地恢复。充分利用选定施工场所地形，合理布置施工设备，做到挖方、填方平衡。</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（2）废弃钻井泥浆</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废弃钻井泥浆是指在钻井过程中无法利用或钻井完工后弃置于泥浆池中的泥浆，废钻井泥浆是钻井过程中产生的一种液态细腻胶状物，失水后变成固态物。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按照建设单位对废弃泥浆进行自然蒸发后就地填埋方案，由于泥浆池考虑防渗措施，对地下水造成影响的较小；再者，泥浆池占地面积较小，长时间后泥浆中部分有机物降解，增加了土壤中的有机质、防渗措施在客观上减缓了地表雨水下渗，使地表植被更容易吸收水分，对土壤以及植被生长有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（3）岩芯</w:t>
            </w:r>
          </w:p>
          <w:p>
            <w:pPr>
              <w:spacing w:line="360" w:lineRule="auto"/>
              <w:ind w:firstLine="480"/>
              <w:rPr>
                <w:color w:val="000000" w:themeColor="text1"/>
                <w:sz w:val="24"/>
                <w:lang w:val="en-GB"/>
                <w14:textFill>
                  <w14:solidFill>
                    <w14:schemeClr w14:val="tx1"/>
                  </w14:solidFill>
                </w14:textFill>
              </w:rPr>
            </w:pPr>
            <w:r>
              <w:rPr>
                <w:color w:val="000000" w:themeColor="text1"/>
                <w:sz w:val="24"/>
                <w14:textFill>
                  <w14:solidFill>
                    <w14:schemeClr w14:val="tx1"/>
                  </w14:solidFill>
                </w14:textFill>
              </w:rPr>
              <w:t>项目</w:t>
            </w:r>
            <w:r>
              <w:rPr>
                <w:rFonts w:hint="eastAsia"/>
                <w:color w:val="000000" w:themeColor="text1"/>
                <w:sz w:val="24"/>
                <w14:textFill>
                  <w14:solidFill>
                    <w14:schemeClr w14:val="tx1"/>
                  </w14:solidFill>
                </w14:textFill>
              </w:rPr>
              <w:t>产生</w:t>
            </w:r>
            <w:r>
              <w:rPr>
                <w:color w:val="000000" w:themeColor="text1"/>
                <w:sz w:val="24"/>
                <w14:textFill>
                  <w14:solidFill>
                    <w14:schemeClr w14:val="tx1"/>
                  </w14:solidFill>
                </w14:textFill>
              </w:rPr>
              <w:t>矿段岩芯</w:t>
            </w:r>
            <w:r>
              <w:rPr>
                <w:rFonts w:hint="eastAsia"/>
                <w:color w:val="000000" w:themeColor="text1"/>
                <w:sz w:val="24"/>
                <w14:textFill>
                  <w14:solidFill>
                    <w14:schemeClr w14:val="tx1"/>
                  </w14:solidFill>
                </w14:textFill>
              </w:rPr>
              <w:t>放置在</w:t>
            </w:r>
            <w:r>
              <w:rPr>
                <w:color w:val="000000" w:themeColor="text1"/>
                <w:sz w:val="24"/>
                <w14:textFill>
                  <w14:solidFill>
                    <w14:schemeClr w14:val="tx1"/>
                  </w14:solidFill>
                </w14:textFill>
              </w:rPr>
              <w:t>岩芯箱</w:t>
            </w:r>
            <w:r>
              <w:rPr>
                <w:rFonts w:hint="eastAsia"/>
                <w:color w:val="000000" w:themeColor="text1"/>
                <w:sz w:val="24"/>
                <w14:textFill>
                  <w14:solidFill>
                    <w14:schemeClr w14:val="tx1"/>
                  </w14:solidFill>
                </w14:textFill>
              </w:rPr>
              <w:t>内，堆存于</w:t>
            </w:r>
            <w:r>
              <w:rPr>
                <w:color w:val="000000" w:themeColor="text1"/>
                <w:sz w:val="24"/>
                <w14:textFill>
                  <w14:solidFill>
                    <w14:schemeClr w14:val="tx1"/>
                  </w14:solidFill>
                </w14:textFill>
              </w:rPr>
              <w:t>岩芯</w:t>
            </w:r>
            <w:r>
              <w:rPr>
                <w:rFonts w:hint="eastAsia"/>
                <w:color w:val="000000" w:themeColor="text1"/>
                <w:sz w:val="24"/>
                <w14:textFill>
                  <w14:solidFill>
                    <w14:schemeClr w14:val="tx1"/>
                  </w14:solidFill>
                </w14:textFill>
              </w:rPr>
              <w:t>库内。</w:t>
            </w:r>
            <w:r>
              <w:rPr>
                <w:color w:val="000000" w:themeColor="text1"/>
                <w:sz w:val="24"/>
                <w14:textFill>
                  <w14:solidFill>
                    <w14:schemeClr w14:val="tx1"/>
                  </w14:solidFill>
                </w14:textFill>
              </w:rPr>
              <w:t>岩芯</w:t>
            </w:r>
            <w:r>
              <w:rPr>
                <w:rFonts w:hint="eastAsia"/>
                <w:color w:val="000000" w:themeColor="text1"/>
                <w:sz w:val="24"/>
                <w14:textFill>
                  <w14:solidFill>
                    <w14:schemeClr w14:val="tx1"/>
                  </w14:solidFill>
                </w14:textFill>
              </w:rPr>
              <w:t>库租用项目部无人居住的民房，要求</w:t>
            </w:r>
            <w:r>
              <w:rPr>
                <w:color w:val="000000" w:themeColor="text1"/>
                <w:sz w:val="24"/>
                <w14:textFill>
                  <w14:solidFill>
                    <w14:schemeClr w14:val="tx1"/>
                  </w14:solidFill>
                </w14:textFill>
              </w:rPr>
              <w:t>岩芯</w:t>
            </w:r>
            <w:r>
              <w:rPr>
                <w:rFonts w:hint="eastAsia"/>
                <w:color w:val="000000" w:themeColor="text1"/>
                <w:sz w:val="24"/>
                <w14:textFill>
                  <w14:solidFill>
                    <w14:schemeClr w14:val="tx1"/>
                  </w14:solidFill>
                </w14:textFill>
              </w:rPr>
              <w:t>库防火、防雨、防盗，专人看管，登记台账备查。</w:t>
            </w:r>
            <w:r>
              <w:rPr>
                <w:rFonts w:hint="eastAsia"/>
                <w:color w:val="000000" w:themeColor="text1"/>
                <w:sz w:val="24"/>
                <w:szCs w:val="24"/>
                <w:lang w:eastAsia="zh-CN" w:bidi="ar"/>
                <w14:textFill>
                  <w14:solidFill>
                    <w14:schemeClr w14:val="tx1"/>
                  </w14:solidFill>
                </w14:textFill>
              </w:rPr>
              <w:t>待钻孔完毕后，采集矿段岩芯样品主要有铀镭样、钍钾样、密度样、湿度样、岩矿鉴定样、粒度样、岩石地球化学环境指标样和硅酸盐全分析等样品，</w:t>
            </w:r>
            <w:r>
              <w:rPr>
                <w:rFonts w:hint="eastAsia"/>
                <w:color w:val="000000" w:themeColor="text1"/>
                <w:sz w:val="24"/>
                <w:szCs w:val="24"/>
                <w:lang w:val="en-US" w:eastAsia="zh-CN" w:bidi="ar"/>
                <w14:textFill>
                  <w14:solidFill>
                    <w14:schemeClr w14:val="tx1"/>
                  </w14:solidFill>
                </w14:textFill>
              </w:rPr>
              <w:t>送我所分析测试中心进行检验，我所具备相关检验资格</w:t>
            </w:r>
            <w:r>
              <w:rPr>
                <w:rFonts w:hint="eastAsia"/>
                <w:color w:val="000000" w:themeColor="text1"/>
                <w:sz w:val="24"/>
                <w:szCs w:val="24"/>
                <w:lang w:eastAsia="zh-CN" w:bidi="ar"/>
                <w14:textFill>
                  <w14:solidFill>
                    <w14:schemeClr w14:val="tx1"/>
                  </w14:solidFill>
                </w14:textFill>
              </w:rPr>
              <w:t>。</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非矿段岩芯本身来自地层，对土壤等无污染，存放岩芯的岩芯池内铺设永久防渗材料，一般情况下无渗漏，不会污染地下水，因此岩芯池填埋后，对周边环境影响比较小。</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（4）生活垃圾</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施工场地产生的生活垃圾若随意丢弃，将会造成各个施工营地卫生环境恶化，并可能对当地土壤和农田产生一定影响。钻探</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lang w:val="en-GB"/>
                <w14:textFill>
                  <w14:solidFill>
                    <w14:schemeClr w14:val="tx1"/>
                  </w14:solidFill>
                </w14:textFill>
              </w:rPr>
              <w:t>生活垃圾用垃圾袋带回项目部，项目部设垃圾桶进行收集，定期送往乡镇垃圾堆放点，由当地环卫部门清理处置</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对当地环境的影响较小。</w:t>
            </w:r>
          </w:p>
          <w:p>
            <w:pPr>
              <w:spacing w:line="360" w:lineRule="auto"/>
              <w:ind w:firstLine="48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（5）废机油</w:t>
            </w:r>
          </w:p>
          <w:p>
            <w:pPr>
              <w:spacing w:line="360" w:lineRule="auto"/>
              <w:ind w:firstLine="48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工程钻机、柴油发电机等施工机械运转过程中，将产生少量的废机油</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根据</w:t>
            </w:r>
            <w:r>
              <w:rPr>
                <w:rFonts w:hint="eastAsia"/>
                <w:color w:val="000000" w:themeColor="text1"/>
                <w:sz w:val="24"/>
                <w:lang w:val="en-GB"/>
                <w14:textFill>
                  <w14:solidFill>
                    <w14:schemeClr w14:val="tx1"/>
                  </w14:solidFill>
                </w14:textFill>
              </w:rPr>
              <w:t>《国家危险废物名录</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2021版</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》，废机油属于危险废物类别中的废矿物油（HW08），废物代码为900-249-08。评价要求建设单位应设置废机油收集桶，经收集后交有资质单位进行处置，将不会对环境产生影响。</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本项目固体废物收集、贮存及处置方式见表</w:t>
            </w:r>
            <w:r>
              <w:rPr>
                <w:color w:val="000000" w:themeColor="text1"/>
                <w:sz w:val="24"/>
                <w:lang w:val="en-GB"/>
                <w14:textFill>
                  <w14:solidFill>
                    <w14:schemeClr w14:val="tx1"/>
                  </w14:solidFill>
                </w14:textFill>
              </w:rPr>
              <w:t>8-</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en-GB"/>
                <w14:textFill>
                  <w14:solidFill>
                    <w14:schemeClr w14:val="tx1"/>
                  </w14:solidFill>
                </w14:textFill>
              </w:rPr>
              <w:t>。</w:t>
            </w:r>
          </w:p>
          <w:p>
            <w:pPr>
              <w:spacing w:line="240" w:lineRule="auto"/>
              <w:jc w:val="center"/>
              <w:rPr>
                <w:rFonts w:hint="eastAsia" w:eastAsia="宋体"/>
                <w:b w:val="0"/>
                <w:bCs w:val="0"/>
                <w:color w:val="000000" w:themeColor="text1"/>
                <w:sz w:val="24"/>
                <w:lang w:val="en-US" w:eastAsia="zh-CN"/>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7</w:t>
            </w:r>
            <w:r>
              <w:rPr>
                <w:rFonts w:hint="eastAsia"/>
                <w:b w:val="0"/>
                <w:bCs w:val="0"/>
                <w:color w:val="000000" w:themeColor="text1"/>
                <w:sz w:val="24"/>
                <w14:textFill>
                  <w14:solidFill>
                    <w14:schemeClr w14:val="tx1"/>
                  </w14:solidFill>
                </w14:textFill>
              </w:rPr>
              <w:t xml:space="preserve">  固体废物产生、收集及处置</w:t>
            </w:r>
            <w:r>
              <w:rPr>
                <w:rFonts w:hint="eastAsia"/>
                <w:b w:val="0"/>
                <w:bCs w:val="0"/>
                <w:color w:val="000000" w:themeColor="text1"/>
                <w:sz w:val="24"/>
                <w:lang w:val="en-US" w:eastAsia="zh-CN"/>
                <w14:textFill>
                  <w14:solidFill>
                    <w14:schemeClr w14:val="tx1"/>
                  </w14:solidFill>
                </w14:textFill>
              </w:rPr>
              <w:t>方式</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56"/>
              <w:gridCol w:w="1254"/>
              <w:gridCol w:w="1252"/>
              <w:gridCol w:w="3266"/>
              <w:gridCol w:w="211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2" w:hRule="atLeast"/>
                <w:tblHeader/>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固体废物类型</w:t>
                  </w:r>
                </w:p>
              </w:tc>
              <w:tc>
                <w:tcPr>
                  <w:tcW w:w="657"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产生地点</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产生环节</w:t>
                  </w:r>
                </w:p>
              </w:tc>
              <w:tc>
                <w:tcPr>
                  <w:tcW w:w="1711" w:type="pct"/>
                  <w:tcBorders>
                    <w:tl2br w:val="nil"/>
                    <w:tr2bl w:val="nil"/>
                  </w:tcBorders>
                  <w:vAlign w:val="center"/>
                </w:tcPr>
                <w:p>
                  <w:pPr>
                    <w:snapToGrid w:val="0"/>
                    <w:ind w:firstLine="210" w:firstLineChars="10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收集方式</w:t>
                  </w:r>
                </w:p>
              </w:tc>
              <w:tc>
                <w:tcPr>
                  <w:tcW w:w="110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处置方式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钻井泥浆</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钻井过程产生的泥浆岩屑、封孔时被水泥置换的钻井泥浆</w:t>
                  </w:r>
                </w:p>
              </w:tc>
              <w:tc>
                <w:tcPr>
                  <w:tcW w:w="1711" w:type="pct"/>
                  <w:tcBorders>
                    <w:tl2br w:val="nil"/>
                    <w:tr2bl w:val="nil"/>
                  </w:tcBorders>
                  <w:vAlign w:val="center"/>
                </w:tcPr>
                <w:p>
                  <w:pPr>
                    <w:snapToGrid w:val="0"/>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每个机台设沉淀池、泥浆循环池及泥浆坑，机台至各个设施设导流槽。钻井过程泥浆经筛分网筛分，大颗粒岩屑存于泥浆坑，剩余泥浆排入循环池循环使用。池体、坑体均铺设HDPE防渗膜，并做防溢处理</w:t>
                  </w:r>
                </w:p>
              </w:tc>
              <w:tc>
                <w:tcPr>
                  <w:tcW w:w="1108" w:type="pct"/>
                  <w:tcBorders>
                    <w:tl2br w:val="nil"/>
                    <w:tr2bl w:val="nil"/>
                  </w:tcBorders>
                  <w:vAlign w:val="center"/>
                </w:tcPr>
                <w:p>
                  <w:pPr>
                    <w:snapToGrid w:val="0"/>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施工结束后，泥浆坑的泥浆蒸发脱水，就地固化填埋，地表恢复植被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岩</w:t>
                  </w:r>
                  <w:r>
                    <w:rPr>
                      <w:rFonts w:hint="eastAsia"/>
                      <w:bCs/>
                      <w:color w:val="000000" w:themeColor="text1"/>
                      <w:szCs w:val="21"/>
                      <w14:textFill>
                        <w14:solidFill>
                          <w14:schemeClr w14:val="tx1"/>
                        </w14:solidFill>
                      </w14:textFill>
                    </w:rPr>
                    <w:t>芯</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取芯环节</w:t>
                  </w:r>
                </w:p>
              </w:tc>
              <w:tc>
                <w:tcPr>
                  <w:tcW w:w="1711"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钻井过程中岩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全部集中放置在岩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箱</w:t>
                  </w:r>
                </w:p>
              </w:tc>
              <w:tc>
                <w:tcPr>
                  <w:tcW w:w="1108" w:type="pct"/>
                  <w:tcBorders>
                    <w:tl2br w:val="nil"/>
                    <w:tr2bl w:val="nil"/>
                  </w:tcBorders>
                  <w:vAlign w:val="center"/>
                </w:tcPr>
                <w:p>
                  <w:pPr>
                    <w:snapToGrid w:val="0"/>
                    <w:ind w:firstLine="420" w:firstLineChars="200"/>
                    <w:rPr>
                      <w:rFonts w:hint="eastAsia" w:eastAsia="宋体"/>
                      <w:bCs/>
                      <w:color w:val="000000" w:themeColor="text1"/>
                      <w:szCs w:val="21"/>
                      <w:lang w:eastAsia="zh-CN"/>
                      <w14:textFill>
                        <w14:solidFill>
                          <w14:schemeClr w14:val="tx1"/>
                        </w14:solidFill>
                      </w14:textFill>
                    </w:rPr>
                  </w:pPr>
                  <w:r>
                    <w:rPr>
                      <w:bCs/>
                      <w:color w:val="000000" w:themeColor="text1"/>
                      <w:szCs w:val="21"/>
                      <w14:textFill>
                        <w14:solidFill>
                          <w14:schemeClr w14:val="tx1"/>
                        </w14:solidFill>
                      </w14:textFill>
                    </w:rPr>
                    <w:t>施工结束后，</w:t>
                  </w:r>
                  <w:r>
                    <w:rPr>
                      <w:color w:val="000000" w:themeColor="text1"/>
                      <w:szCs w:val="21"/>
                      <w14:textFill>
                        <w14:solidFill>
                          <w14:schemeClr w14:val="tx1"/>
                        </w14:solidFill>
                      </w14:textFill>
                    </w:rPr>
                    <w:t>矿段岩</w:t>
                  </w:r>
                  <w:r>
                    <w:rPr>
                      <w:rFonts w:hint="eastAsia"/>
                      <w:color w:val="000000" w:themeColor="text1"/>
                      <w:szCs w:val="21"/>
                      <w14:textFill>
                        <w14:solidFill>
                          <w14:schemeClr w14:val="tx1"/>
                        </w14:solidFill>
                      </w14:textFill>
                    </w:rPr>
                    <w:t>芯放置在岩芯箱内，堆存于岩芯库内</w:t>
                  </w:r>
                  <w:r>
                    <w:rPr>
                      <w:rFonts w:hint="eastAsia"/>
                      <w:color w:val="000000" w:themeColor="text1"/>
                      <w:szCs w:val="21"/>
                      <w:lang w:eastAsia="zh-CN"/>
                      <w14:textFill>
                        <w14:solidFill>
                          <w14:schemeClr w14:val="tx1"/>
                        </w14:solidFill>
                      </w14:textFill>
                    </w:rPr>
                    <w:t>，后期带回分析、化验；</w:t>
                  </w:r>
                  <w:r>
                    <w:rPr>
                      <w:bCs/>
                      <w:color w:val="000000" w:themeColor="text1"/>
                      <w:szCs w:val="21"/>
                      <w14:textFill>
                        <w14:solidFill>
                          <w14:schemeClr w14:val="tx1"/>
                        </w14:solidFill>
                      </w14:textFill>
                    </w:rPr>
                    <w:t>非矿段岩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集中在岩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池填埋，岩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池</w:t>
                  </w:r>
                  <w:r>
                    <w:rPr>
                      <w:color w:val="000000" w:themeColor="text1"/>
                      <w:szCs w:val="21"/>
                      <w14:textFill>
                        <w14:solidFill>
                          <w14:schemeClr w14:val="tx1"/>
                        </w14:solidFill>
                      </w14:textFill>
                    </w:rPr>
                    <w:t>铺设HDPE防渗膜</w:t>
                  </w:r>
                  <w:r>
                    <w:rPr>
                      <w:rFonts w:hint="eastAsia"/>
                      <w:color w:val="000000" w:themeColor="text1"/>
                      <w:szCs w:val="21"/>
                      <w:lang w:eastAsia="zh-CN"/>
                      <w14:textFill>
                        <w14:solidFill>
                          <w14:schemeClr w14:val="tx1"/>
                        </w14:solidFill>
                      </w14:textFill>
                    </w:rPr>
                    <w:t>，就地填埋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生活垃圾</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项目部、钻探</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施工人员办公、生活</w:t>
                  </w:r>
                </w:p>
              </w:tc>
              <w:tc>
                <w:tcPr>
                  <w:tcW w:w="1711"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钻探</w:t>
                  </w:r>
                  <w:r>
                    <w:rPr>
                      <w:rFonts w:hint="eastAsia"/>
                      <w:bCs/>
                      <w:color w:val="000000" w:themeColor="text1"/>
                      <w:szCs w:val="21"/>
                      <w:lang w:val="en-US" w:eastAsia="zh-CN"/>
                      <w14:textFill>
                        <w14:solidFill>
                          <w14:schemeClr w14:val="tx1"/>
                        </w14:solidFill>
                      </w14:textFill>
                    </w:rPr>
                    <w:t>人员</w:t>
                  </w:r>
                  <w:r>
                    <w:rPr>
                      <w:bCs/>
                      <w:color w:val="000000" w:themeColor="text1"/>
                      <w:szCs w:val="21"/>
                      <w14:textFill>
                        <w14:solidFill>
                          <w14:schemeClr w14:val="tx1"/>
                        </w14:solidFill>
                      </w14:textFill>
                    </w:rPr>
                    <w:t>生活垃圾用垃圾袋带回项目部，项目部设垃圾桶</w:t>
                  </w:r>
                </w:p>
              </w:tc>
              <w:tc>
                <w:tcPr>
                  <w:tcW w:w="1108"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定期送往乡镇垃圾堆放点，由环卫部门清理处置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2"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废机油</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钻探场地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w:t>
                  </w:r>
                </w:p>
              </w:tc>
              <w:tc>
                <w:tcPr>
                  <w:tcW w:w="1711"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废机油收集桶</w:t>
                  </w:r>
                </w:p>
              </w:tc>
              <w:tc>
                <w:tcPr>
                  <w:tcW w:w="1108"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经收集后交有资质单位进行处置</w:t>
                  </w:r>
                </w:p>
              </w:tc>
            </w:tr>
          </w:tbl>
          <w:p>
            <w:pPr>
              <w:pStyle w:val="16"/>
              <w:adjustRightInd/>
              <w:spacing w:line="360" w:lineRule="auto"/>
              <w:ind w:firstLine="482" w:firstLineChars="200"/>
              <w:jc w:val="both"/>
              <w:rPr>
                <w:b/>
                <w:color w:val="000000" w:themeColor="text1"/>
                <w14:textFill>
                  <w14:solidFill>
                    <w14:schemeClr w14:val="tx1"/>
                  </w14:solidFill>
                </w14:textFill>
              </w:rPr>
            </w:pPr>
            <w:r>
              <w:rPr>
                <w:rFonts w:hint="eastAsia"/>
                <w:b/>
                <w:color w:val="000000" w:themeColor="text1"/>
                <w14:textFill>
                  <w14:solidFill>
                    <w14:schemeClr w14:val="tx1"/>
                  </w14:solidFill>
                </w14:textFill>
              </w:rPr>
              <w:t>本次评价针对固体废物收集、处置等环节提出以下污染防治措施：</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①</w:t>
            </w:r>
            <w:r>
              <w:rPr>
                <w:bCs/>
                <w:snapToGrid w:val="0"/>
                <w:color w:val="000000" w:themeColor="text1"/>
                <w:kern w:val="0"/>
                <w:sz w:val="24"/>
                <w14:textFill>
                  <w14:solidFill>
                    <w14:schemeClr w14:val="tx1"/>
                  </w14:solidFill>
                </w14:textFill>
              </w:rPr>
              <w:t>根据每个机台周围地形</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合理选择</w:t>
            </w:r>
            <w:r>
              <w:rPr>
                <w:rFonts w:hint="eastAsia"/>
                <w:bCs/>
                <w:snapToGrid w:val="0"/>
                <w:color w:val="000000" w:themeColor="text1"/>
                <w:kern w:val="0"/>
                <w:sz w:val="24"/>
                <w14:textFill>
                  <w14:solidFill>
                    <w14:schemeClr w14:val="tx1"/>
                  </w14:solidFill>
                </w14:textFill>
              </w:rPr>
              <w:t>沉淀</w:t>
            </w:r>
            <w:r>
              <w:rPr>
                <w:bCs/>
                <w:snapToGrid w:val="0"/>
                <w:color w:val="000000" w:themeColor="text1"/>
                <w:kern w:val="0"/>
                <w:sz w:val="24"/>
                <w14:textFill>
                  <w14:solidFill>
                    <w14:schemeClr w14:val="tx1"/>
                  </w14:solidFill>
                </w14:textFill>
              </w:rPr>
              <w:t>池</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循环池及泥浆坑的位置，应选在满足承载力要求的地基上，以避免地基下沉的影响，特别是不均匀或局部下沉的影响</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应避开断层、断层破碎带、溶洞区，以及天然滑坡或泥石流影响区</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禁止选在江河、湖泊、水库最高水位线以下的滩地和</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"https://baike.sogou.com/lemma/ShowInnerLink.htm?lemmaId=70030824&amp;ss_c=ssc.citiao.link" \t "_blank" </w:instrText>
            </w:r>
            <w:r>
              <w:rPr>
                <w:color w:val="000000" w:themeColor="text1"/>
                <w14:textFill>
                  <w14:solidFill>
                    <w14:schemeClr w14:val="tx1"/>
                  </w14:solidFill>
                </w14:textFill>
              </w:rPr>
              <w:fldChar w:fldCharType="separate"/>
            </w:r>
            <w:r>
              <w:rPr>
                <w:bCs/>
                <w:snapToGrid w:val="0"/>
                <w:color w:val="000000" w:themeColor="text1"/>
                <w:kern w:val="0"/>
                <w:sz w:val="24"/>
                <w14:textFill>
                  <w14:solidFill>
                    <w14:schemeClr w14:val="tx1"/>
                  </w14:solidFill>
                </w14:textFill>
              </w:rPr>
              <w:t>洪泛区</w:t>
            </w:r>
            <w:r>
              <w:rPr>
                <w:bCs/>
                <w:snapToGrid w:val="0"/>
                <w:color w:val="000000" w:themeColor="text1"/>
                <w:kern w:val="0"/>
                <w:sz w:val="24"/>
                <w14:textFill>
                  <w14:solidFill>
                    <w14:schemeClr w14:val="tx1"/>
                  </w14:solidFill>
                </w14:textFill>
              </w:rPr>
              <w:fldChar w:fldCharType="end"/>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②保证机台至各个泥浆设施之间的导流槽平整通畅，</w:t>
            </w:r>
            <w:r>
              <w:rPr>
                <w:bCs/>
                <w:snapToGrid w:val="0"/>
                <w:color w:val="000000" w:themeColor="text1"/>
                <w:kern w:val="0"/>
                <w:sz w:val="24"/>
                <w14:textFill>
                  <w14:solidFill>
                    <w14:schemeClr w14:val="tx1"/>
                  </w14:solidFill>
                </w14:textFill>
              </w:rPr>
              <w:t>严格操作程序，减少钻井</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的跑冒滴漏</w:t>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③为防止暴雨季节泥浆池溢流造成土壤、地表水等的污染，泥浆池要留设一定防雨水容量；另外，在暴雨较多的季节，可以根据需要在泥浆池上游方向设临时围挡或截水沟，阻止暴雨时地表漫流和径流进入泥浆池；</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④泥浆池、岩芯池等池体、坑体的</w:t>
            </w:r>
            <w:r>
              <w:rPr>
                <w:bCs/>
                <w:snapToGrid w:val="0"/>
                <w:color w:val="000000" w:themeColor="text1"/>
                <w:kern w:val="0"/>
                <w:sz w:val="24"/>
                <w14:textFill>
                  <w14:solidFill>
                    <w14:schemeClr w14:val="tx1"/>
                  </w14:solidFill>
                </w14:textFill>
              </w:rPr>
              <w:t>HDPE</w:t>
            </w:r>
            <w:r>
              <w:rPr>
                <w:rFonts w:hint="eastAsia" w:ascii="宋体" w:hAnsi="宋体" w:cs="宋体"/>
                <w:bCs/>
                <w:snapToGrid w:val="0"/>
                <w:color w:val="000000" w:themeColor="text1"/>
                <w:kern w:val="0"/>
                <w:sz w:val="24"/>
                <w14:textFill>
                  <w14:solidFill>
                    <w14:schemeClr w14:val="tx1"/>
                  </w14:solidFill>
                </w14:textFill>
              </w:rPr>
              <w:t>防渗膜铺设作业要规范操作，基础需平坦，无不均匀沉陷，无锐石、树根等能刺穿薄膜的硬物，铺时勿使薄膜受拉，放松为好，防渗技术要求为等效粘土防渗层</w:t>
            </w:r>
            <w:r>
              <w:rPr>
                <w:bCs/>
                <w:snapToGrid w:val="0"/>
                <w:color w:val="000000" w:themeColor="text1"/>
                <w:kern w:val="0"/>
                <w:sz w:val="24"/>
                <w14:textFill>
                  <w14:solidFill>
                    <w14:schemeClr w14:val="tx1"/>
                  </w14:solidFill>
                </w14:textFill>
              </w:rPr>
              <w:t>Mb≥1.5m，K≤1×10</w:t>
            </w:r>
            <w:r>
              <w:rPr>
                <w:bCs/>
                <w:snapToGrid w:val="0"/>
                <w:color w:val="000000" w:themeColor="text1"/>
                <w:kern w:val="0"/>
                <w:sz w:val="24"/>
                <w:vertAlign w:val="superscript"/>
                <w14:textFill>
                  <w14:solidFill>
                    <w14:schemeClr w14:val="tx1"/>
                  </w14:solidFill>
                </w14:textFill>
              </w:rPr>
              <w:t>-7</w:t>
            </w:r>
            <w:r>
              <w:rPr>
                <w:bCs/>
                <w:snapToGrid w:val="0"/>
                <w:color w:val="000000" w:themeColor="text1"/>
                <w:kern w:val="0"/>
                <w:sz w:val="24"/>
                <w14:textFill>
                  <w14:solidFill>
                    <w14:schemeClr w14:val="tx1"/>
                  </w14:solidFill>
                </w14:textFill>
              </w:rPr>
              <w:t>cm/s</w:t>
            </w:r>
            <w:r>
              <w:rPr>
                <w:rFonts w:hint="eastAsia" w:ascii="宋体" w:hAnsi="宋体" w:cs="宋体"/>
                <w:bCs/>
                <w:snapToGrid w:val="0"/>
                <w:color w:val="000000" w:themeColor="text1"/>
                <w:kern w:val="0"/>
                <w:sz w:val="24"/>
                <w14:textFill>
                  <w14:solidFill>
                    <w14:schemeClr w14:val="tx1"/>
                  </w14:solidFill>
                </w14:textFill>
              </w:rPr>
              <w:t>。</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5、</w:t>
            </w:r>
            <w:r>
              <w:rPr>
                <w:rFonts w:hint="eastAsia"/>
                <w:b/>
                <w:color w:val="000000" w:themeColor="text1"/>
                <w:sz w:val="24"/>
                <w14:textFill>
                  <w14:solidFill>
                    <w14:schemeClr w14:val="tx1"/>
                  </w14:solidFill>
                </w14:textFill>
              </w:rPr>
              <w:t>土壤、地下水环境影响分析</w:t>
            </w:r>
          </w:p>
          <w:p>
            <w:pPr>
              <w:pStyle w:val="16"/>
              <w:spacing w:line="360" w:lineRule="auto"/>
              <w:ind w:firstLine="480" w:firstLineChars="200"/>
              <w:jc w:val="both"/>
              <w:outlineLvl w:val="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土壤环境（试行）》（HJ964-2018），本项目属于附录A中其他行业，土壤环境影响评价项目类别是IV类。所以，本次不开展土壤、地下水环境影响评价。</w:t>
            </w:r>
          </w:p>
          <w:p>
            <w:pPr>
              <w:pStyle w:val="16"/>
              <w:spacing w:line="360" w:lineRule="auto"/>
              <w:ind w:firstLine="482" w:firstLineChars="200"/>
              <w:jc w:val="both"/>
              <w:outlineLvl w:val="0"/>
              <w:rPr>
                <w:rFonts w:hint="default" w:ascii="Times New Roman" w:hAnsi="Times New Roman" w:cs="Times New Roman"/>
                <w:b/>
                <w:color w:val="000000" w:themeColor="text1"/>
                <w14:textFill>
                  <w14:solidFill>
                    <w14:schemeClr w14:val="tx1"/>
                  </w14:solidFill>
                </w14:textFill>
              </w:rPr>
            </w:pPr>
            <w:r>
              <w:rPr>
                <w:rFonts w:hint="default" w:ascii="Times New Roman" w:hAnsi="Times New Roman" w:cs="Times New Roman"/>
                <w:b/>
                <w:color w:val="000000" w:themeColor="text1"/>
                <w14:textFill>
                  <w14:solidFill>
                    <w14:schemeClr w14:val="tx1"/>
                  </w14:solidFill>
                </w14:textFill>
              </w:rPr>
              <w:t>本次评价防止钻探过程对地下水污染提出以下要求：</w:t>
            </w:r>
          </w:p>
          <w:p>
            <w:pPr>
              <w:spacing w:line="360" w:lineRule="auto"/>
              <w:ind w:firstLine="480" w:firstLineChars="200"/>
              <w:rPr>
                <w:rFonts w:hint="default" w:ascii="Times New Roman" w:hAnsi="Times New Roman" w:cs="Times New Roman"/>
                <w:color w:val="000000" w:themeColor="text1"/>
                <w:sz w:val="24"/>
                <w:szCs w:val="24"/>
                <w:lang w:eastAsia="zh-CN" w:bidi="ar-SA"/>
                <w14:textFill>
                  <w14:solidFill>
                    <w14:schemeClr w14:val="tx1"/>
                  </w14:solidFill>
                </w14:textFill>
              </w:rPr>
            </w:pPr>
            <w:r>
              <w:rPr>
                <w:rFonts w:hint="default" w:ascii="Times New Roman" w:hAnsi="Times New Roman" w:cs="Times New Roman"/>
                <w:color w:val="000000" w:themeColor="text1"/>
                <w:sz w:val="24"/>
                <w:szCs w:val="24"/>
                <w:lang w:eastAsia="zh-CN" w:bidi="ar-SA"/>
                <w14:textFill>
                  <w14:solidFill>
                    <w14:schemeClr w14:val="tx1"/>
                  </w14:solidFill>
                </w14:textFill>
              </w:rPr>
              <w:fldChar w:fldCharType="begin"/>
            </w:r>
            <w:r>
              <w:rPr>
                <w:rFonts w:hint="default" w:ascii="Times New Roman" w:hAnsi="Times New Roman" w:cs="Times New Roman"/>
                <w:color w:val="000000" w:themeColor="text1"/>
                <w:sz w:val="24"/>
                <w:szCs w:val="24"/>
                <w:lang w:eastAsia="zh-CN" w:bidi="ar-SA"/>
                <w14:textFill>
                  <w14:solidFill>
                    <w14:schemeClr w14:val="tx1"/>
                  </w14:solidFill>
                </w14:textFill>
              </w:rPr>
              <w:instrText xml:space="preserve"> = 1 \* GB3 \* MERGEFORMAT </w:instrText>
            </w:r>
            <w:r>
              <w:rPr>
                <w:rFonts w:hint="default" w:ascii="Times New Roman" w:hAnsi="Times New Roman" w:cs="Times New Roman"/>
                <w:color w:val="000000" w:themeColor="text1"/>
                <w:sz w:val="24"/>
                <w:szCs w:val="24"/>
                <w:lang w:eastAsia="zh-CN" w:bidi="ar-SA"/>
                <w14:textFill>
                  <w14:solidFill>
                    <w14:schemeClr w14:val="tx1"/>
                  </w14:solidFill>
                </w14:textFill>
              </w:rPr>
              <w:fldChar w:fldCharType="separate"/>
            </w:r>
            <w:r>
              <w:rPr>
                <w:rFonts w:hint="default" w:ascii="Times New Roman" w:hAnsi="Times New Roman" w:cs="Times New Roman"/>
                <w:color w:val="000000" w:themeColor="text1"/>
                <w:sz w:val="24"/>
                <w:szCs w:val="24"/>
                <w:lang w:eastAsia="zh-CN" w:bidi="ar-SA"/>
                <w14:textFill>
                  <w14:solidFill>
                    <w14:schemeClr w14:val="tx1"/>
                  </w14:solidFill>
                </w14:textFill>
              </w:rPr>
              <w:t>①</w:t>
            </w:r>
            <w:r>
              <w:rPr>
                <w:rFonts w:hint="default" w:ascii="Times New Roman" w:hAnsi="Times New Roman" w:cs="Times New Roman"/>
                <w:color w:val="000000" w:themeColor="text1"/>
                <w:sz w:val="24"/>
                <w:szCs w:val="24"/>
                <w:lang w:eastAsia="zh-CN" w:bidi="ar-SA"/>
                <w14:textFill>
                  <w14:solidFill>
                    <w14:schemeClr w14:val="tx1"/>
                  </w14:solidFill>
                </w14:textFill>
              </w:rPr>
              <w:fldChar w:fldCharType="end"/>
            </w:r>
            <w:r>
              <w:rPr>
                <w:rFonts w:hint="default" w:ascii="Times New Roman" w:hAnsi="Times New Roman" w:cs="Times New Roman"/>
                <w:color w:val="000000" w:themeColor="text1"/>
                <w:sz w:val="24"/>
                <w:szCs w:val="24"/>
                <w:lang w:eastAsia="zh-CN" w:bidi="ar-SA"/>
                <w14:textFill>
                  <w14:solidFill>
                    <w14:schemeClr w14:val="tx1"/>
                  </w14:solidFill>
                </w14:textFill>
              </w:rPr>
              <w:t>在钻具、钻孔及具有防渗层的泥浆池中运行。泥浆池下衬1mmHDPE膜防渗，渗透系数＜10</w:t>
            </w:r>
            <w:r>
              <w:rPr>
                <w:rFonts w:hint="default" w:ascii="Times New Roman" w:hAnsi="Times New Roman" w:cs="Times New Roman"/>
                <w:color w:val="000000" w:themeColor="text1"/>
                <w:sz w:val="24"/>
                <w:szCs w:val="24"/>
                <w:vertAlign w:val="superscript"/>
                <w:lang w:eastAsia="zh-CN" w:bidi="ar-SA"/>
                <w14:textFill>
                  <w14:solidFill>
                    <w14:schemeClr w14:val="tx1"/>
                  </w14:solidFill>
                </w14:textFill>
              </w:rPr>
              <w:t>-7</w:t>
            </w:r>
            <w:r>
              <w:rPr>
                <w:rFonts w:hint="default" w:ascii="Times New Roman" w:hAnsi="Times New Roman" w:cs="Times New Roman"/>
                <w:color w:val="000000" w:themeColor="text1"/>
                <w:sz w:val="24"/>
                <w:szCs w:val="24"/>
                <w:lang w:eastAsia="zh-CN" w:bidi="ar-SA"/>
                <w14:textFill>
                  <w14:solidFill>
                    <w14:schemeClr w14:val="tx1"/>
                  </w14:solidFill>
                </w14:textFill>
              </w:rPr>
              <w:t>cm/s，防止污染物下渗进入地下水系统造成污染。</w:t>
            </w:r>
          </w:p>
          <w:p>
            <w:pPr>
              <w:spacing w:line="360" w:lineRule="auto"/>
              <w:ind w:firstLine="480" w:firstLineChars="200"/>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fldChar w:fldCharType="begin"/>
            </w:r>
            <w:r>
              <w:rPr>
                <w:rFonts w:hint="default" w:ascii="Times New Roman" w:hAnsi="Times New Roman" w:cs="Times New Roman"/>
                <w:color w:val="000000" w:themeColor="text1"/>
                <w:sz w:val="24"/>
                <w:szCs w:val="24"/>
                <w:lang w:eastAsia="zh-CN"/>
                <w14:textFill>
                  <w14:solidFill>
                    <w14:schemeClr w14:val="tx1"/>
                  </w14:solidFill>
                </w14:textFill>
              </w:rPr>
              <w:instrText xml:space="preserve"> = 2 \* GB3 \* MERGEFORMAT </w:instrText>
            </w:r>
            <w:r>
              <w:rPr>
                <w:rFonts w:hint="default" w:ascii="Times New Roman" w:hAnsi="Times New Roman" w:cs="Times New Roman"/>
                <w:color w:val="000000" w:themeColor="text1"/>
                <w:sz w:val="24"/>
                <w:szCs w:val="24"/>
                <w14:textFill>
                  <w14:solidFill>
                    <w14:schemeClr w14:val="tx1"/>
                  </w14:solidFill>
                </w14:textFill>
              </w:rPr>
              <w:fldChar w:fldCharType="separate"/>
            </w:r>
            <w:r>
              <w:rPr>
                <w:rFonts w:hint="default" w:ascii="Times New Roman" w:hAnsi="Times New Roman" w:cs="Times New Roman"/>
                <w:color w:val="000000" w:themeColor="text1"/>
                <w:sz w:val="24"/>
                <w:szCs w:val="24"/>
                <w:lang w:eastAsia="zh-CN"/>
                <w14:textFill>
                  <w14:solidFill>
                    <w14:schemeClr w14:val="tx1"/>
                  </w14:solidFill>
                </w14:textFill>
              </w:rPr>
              <w:t>②</w:t>
            </w:r>
            <w:r>
              <w:rPr>
                <w:rFonts w:hint="default" w:ascii="Times New Roman" w:hAnsi="Times New Roman" w:cs="Times New Roman"/>
                <w:color w:val="000000" w:themeColor="text1"/>
                <w:sz w:val="24"/>
                <w:szCs w:val="24"/>
                <w14:textFill>
                  <w14:solidFill>
                    <w14:schemeClr w14:val="tx1"/>
                  </w14:solidFill>
                </w14:textFill>
              </w:rPr>
              <w:fldChar w:fldCharType="end"/>
            </w:r>
            <w:r>
              <w:rPr>
                <w:rFonts w:hint="default" w:ascii="Times New Roman" w:hAnsi="Times New Roman" w:cs="Times New Roman"/>
                <w:color w:val="000000" w:themeColor="text1"/>
                <w:sz w:val="24"/>
                <w:szCs w:val="24"/>
                <w:lang w:eastAsia="zh-CN"/>
                <w14:textFill>
                  <w14:solidFill>
                    <w14:schemeClr w14:val="tx1"/>
                  </w14:solidFill>
                </w14:textFill>
              </w:rPr>
              <w:t>施工工程在固井、下套管时必须严格按照操作规范进行作业，可有效避免钻井液在含水层中的漏失，防止因固井质量问题或套管破裂、报废等原因使泥浆窜入含水层而污染地下水。</w:t>
            </w:r>
          </w:p>
          <w:p>
            <w:pPr>
              <w:pStyle w:val="16"/>
              <w:spacing w:line="360" w:lineRule="auto"/>
              <w:ind w:firstLine="480" w:firstLineChars="200"/>
              <w:jc w:val="both"/>
              <w:outlineLvl w:val="0"/>
              <w:rPr>
                <w:rFonts w:hint="default" w:ascii="Times New Roman" w:hAnsi="Times New Roman" w:eastAsia="黑体"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fldChar w:fldCharType="begin"/>
            </w:r>
            <w:r>
              <w:rPr>
                <w:rFonts w:hint="default" w:ascii="Times New Roman" w:hAnsi="Times New Roman" w:cs="Times New Roman"/>
                <w:color w:val="000000" w:themeColor="text1"/>
                <w14:textFill>
                  <w14:solidFill>
                    <w14:schemeClr w14:val="tx1"/>
                  </w14:solidFill>
                </w14:textFill>
              </w:rPr>
              <w:instrText xml:space="preserve"> = 3 \* GB3 \* MERGEFORMAT </w:instrText>
            </w:r>
            <w:r>
              <w:rPr>
                <w:rFonts w:hint="default" w:ascii="Times New Roman" w:hAnsi="Times New Roman" w:cs="Times New Roman"/>
                <w:color w:val="000000" w:themeColor="text1"/>
                <w14:textFill>
                  <w14:solidFill>
                    <w14:schemeClr w14:val="tx1"/>
                  </w14:solidFill>
                </w14:textFill>
              </w:rPr>
              <w:fldChar w:fldCharType="separate"/>
            </w:r>
            <w:r>
              <w:rPr>
                <w:rFonts w:hint="default" w:ascii="Times New Roman" w:hAnsi="Times New Roman" w:cs="Times New Roman"/>
                <w:color w:val="000000" w:themeColor="text1"/>
                <w14:textFill>
                  <w14:solidFill>
                    <w14:schemeClr w14:val="tx1"/>
                  </w14:solidFill>
                </w14:textFill>
              </w:rPr>
              <w:t>③</w:t>
            </w:r>
            <w:r>
              <w:rPr>
                <w:rFonts w:hint="default" w:ascii="Times New Roman" w:hAnsi="Times New Roman" w:cs="Times New Roman"/>
                <w:color w:val="000000" w:themeColor="text1"/>
                <w14:textFill>
                  <w14:solidFill>
                    <w14:schemeClr w14:val="tx1"/>
                  </w14:solidFill>
                </w14:textFill>
              </w:rPr>
              <w:fldChar w:fldCharType="end"/>
            </w:r>
            <w:r>
              <w:rPr>
                <w:rFonts w:hint="default" w:ascii="Times New Roman" w:hAnsi="Times New Roman" w:cs="Times New Roman"/>
                <w:color w:val="000000" w:themeColor="text1"/>
                <w14:textFill>
                  <w14:solidFill>
                    <w14:schemeClr w14:val="tx1"/>
                  </w14:solidFill>
                </w14:textFill>
              </w:rPr>
              <w:t>终孔后，全孔封孔。</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6、</w:t>
            </w:r>
            <w:r>
              <w:rPr>
                <w:rFonts w:hint="eastAsia"/>
                <w:b/>
                <w:color w:val="000000" w:themeColor="text1"/>
                <w:sz w:val="24"/>
                <w14:textFill>
                  <w14:solidFill>
                    <w14:schemeClr w14:val="tx1"/>
                  </w14:solidFill>
                </w14:textFill>
              </w:rPr>
              <w:t>辐射环境影响分析</w:t>
            </w:r>
          </w:p>
          <w:p>
            <w:pPr>
              <w:spacing w:line="360" w:lineRule="auto"/>
              <w:ind w:firstLine="480" w:firstLineChars="200"/>
              <w:rPr>
                <w:rFonts w:hint="eastAsia"/>
                <w:color w:val="000000" w:themeColor="text1"/>
                <w14:textFill>
                  <w14:solidFill>
                    <w14:schemeClr w14:val="tx1"/>
                  </w14:solidFill>
                </w14:textFill>
              </w:rPr>
            </w:pPr>
            <w:r>
              <w:rPr>
                <w:rFonts w:ascii="Times New Roman" w:hAnsi="Times New Roman" w:eastAsia="宋体" w:cs="Times New Roman"/>
                <w:color w:val="000000" w:themeColor="text1"/>
                <w:kern w:val="0"/>
                <w:sz w:val="24"/>
                <w:szCs w:val="24"/>
                <w:lang w:val="en-US" w:eastAsia="zh-CN" w:bidi="ar-SA"/>
                <w14:textFill>
                  <w14:solidFill>
                    <w14:schemeClr w14:val="tx1"/>
                  </w14:solidFill>
                </w14:textFill>
              </w:rPr>
              <w:t>本项目</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铀矿</w:t>
            </w:r>
            <w:r>
              <w:rPr>
                <w:rFonts w:ascii="Times New Roman" w:hAnsi="Times New Roman" w:eastAsia="宋体" w:cs="Times New Roman"/>
                <w:color w:val="000000" w:themeColor="text1"/>
                <w:kern w:val="0"/>
                <w:sz w:val="24"/>
                <w:szCs w:val="24"/>
                <w:lang w:val="en-US" w:eastAsia="zh-CN" w:bidi="ar-SA"/>
                <w14:textFill>
                  <w14:solidFill>
                    <w14:schemeClr w14:val="tx1"/>
                  </w14:solidFill>
                </w14:textFill>
              </w:rPr>
              <w:t>勘查工作中，地质钻探施工采用湿法钻探工艺，其施工过程中无放射性粉尘产生，不会对附近公众产生浸没外照射、吸入粉尘内照射、地表沉积外照射；钻探施工过程中产生的少量设备冲洗废水主要用于钻井液配置，无液态放射性流出物产生，放射性核素不会向</w:t>
            </w:r>
            <w:r>
              <w:rPr>
                <w:rFonts w:hint="eastAsia" w:cs="Times New Roman"/>
                <w:color w:val="000000" w:themeColor="text1"/>
                <w:kern w:val="0"/>
                <w:sz w:val="24"/>
                <w:szCs w:val="24"/>
                <w:lang w:val="en-US" w:eastAsia="zh-CN" w:bidi="ar-SA"/>
                <w14:textFill>
                  <w14:solidFill>
                    <w14:schemeClr w14:val="tx1"/>
                  </w14:solidFill>
                </w14:textFill>
              </w:rPr>
              <w:t>勘查区</w:t>
            </w:r>
            <w:r>
              <w:rPr>
                <w:rFonts w:ascii="Times New Roman" w:hAnsi="Times New Roman" w:eastAsia="宋体" w:cs="Times New Roman"/>
                <w:color w:val="000000" w:themeColor="text1"/>
                <w:kern w:val="0"/>
                <w:sz w:val="24"/>
                <w:szCs w:val="24"/>
                <w:lang w:val="en-US" w:eastAsia="zh-CN" w:bidi="ar-SA"/>
                <w14:textFill>
                  <w14:solidFill>
                    <w14:schemeClr w14:val="tx1"/>
                  </w14:solidFill>
                </w14:textFill>
              </w:rPr>
              <w:t>周边植物、动物发生转移，不会通过食入途径而对附近公众产生内照射；该项目对公众照射途径主要为吸入氡及其子体内照射，本项目钻孔孔径（仅为122mm左右）较小、钻孔深度较浅，钻孔中含矿层长度远小于钻孔深度（仅为几米~十几米），钻孔岩石表面氡气析出量较少，采用湿法钻探后，由于氡气溶于水、且氡气在水中扩散系数较小（8.2×10-10m2/s），钻孔含矿段岩石表面产生的氡气扩散至地表的量极少。由于本项目钻探区域位于农村地区，居民区位于钻探区域50m外，在钻孔附近空气稀释和氡气自发衰变（半衰期3.825d）作用下，钻探区域50m外环境空气中氡浓度已降至环境本底水平，对公众基本上不产生辐射影响。</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7、</w:t>
            </w:r>
            <w:r>
              <w:rPr>
                <w:rFonts w:hint="eastAsia"/>
                <w:b/>
                <w:color w:val="000000" w:themeColor="text1"/>
                <w:sz w:val="24"/>
                <w14:textFill>
                  <w14:solidFill>
                    <w14:schemeClr w14:val="tx1"/>
                  </w14:solidFill>
                </w14:textFill>
              </w:rPr>
              <w:t>生态环境影响分析</w:t>
            </w:r>
          </w:p>
          <w:p>
            <w:pPr>
              <w:pStyle w:val="16"/>
              <w:adjustRightInd/>
              <w:spacing w:line="360" w:lineRule="auto"/>
              <w:jc w:val="both"/>
              <w:rPr>
                <w:rFonts w:hint="eastAsia" w:ascii="Times New Roman" w:hAnsi="Times New Roman" w:eastAsia="宋体" w:cs="Times New Roman"/>
                <w:b/>
                <w:bCs/>
                <w:color w:val="000000" w:themeColor="text1"/>
                <w14:textFill>
                  <w14:solidFill>
                    <w14:schemeClr w14:val="tx1"/>
                  </w14:solidFill>
                </w14:textFill>
              </w:rPr>
            </w:pPr>
            <w:r>
              <w:rPr>
                <w:rFonts w:hint="eastAsia" w:ascii="Times New Roman" w:hAnsi="Times New Roman" w:eastAsia="宋体" w:cs="Times New Roman"/>
                <w:b/>
                <w:bCs/>
                <w:color w:val="000000" w:themeColor="text1"/>
                <w14:textFill>
                  <w14:solidFill>
                    <w14:schemeClr w14:val="tx1"/>
                  </w14:solidFill>
                </w14:textFill>
              </w:rPr>
              <w:t>7.1评价等级判定</w:t>
            </w:r>
          </w:p>
          <w:p>
            <w:pPr>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项目总占地面积约</w:t>
            </w:r>
            <w:r>
              <w:rPr>
                <w:rFonts w:hint="eastAsia"/>
                <w:bCs/>
                <w:color w:val="000000" w:themeColor="text1"/>
                <w:sz w:val="24"/>
                <w14:textFill>
                  <w14:solidFill>
                    <w14:schemeClr w14:val="tx1"/>
                  </w14:solidFill>
                </w14:textFill>
              </w:rPr>
              <w:t>0</w:t>
            </w:r>
            <w:r>
              <w:rPr>
                <w:bCs/>
                <w:color w:val="000000" w:themeColor="text1"/>
                <w:sz w:val="24"/>
                <w14:textFill>
                  <w14:solidFill>
                    <w14:schemeClr w14:val="tx1"/>
                  </w14:solidFill>
                </w14:textFill>
              </w:rPr>
              <w:t>.0</w:t>
            </w:r>
            <w:r>
              <w:rPr>
                <w:rFonts w:hint="eastAsia"/>
                <w:bCs/>
                <w:color w:val="000000" w:themeColor="text1"/>
                <w:sz w:val="24"/>
                <w:lang w:val="en-US" w:eastAsia="zh-CN"/>
                <w14:textFill>
                  <w14:solidFill>
                    <w14:schemeClr w14:val="tx1"/>
                  </w14:solidFill>
                </w14:textFill>
              </w:rPr>
              <w:t>366</w:t>
            </w:r>
            <w:r>
              <w:rPr>
                <w:rFonts w:hint="eastAsia"/>
                <w:bCs/>
                <w:color w:val="000000" w:themeColor="text1"/>
                <w:sz w:val="24"/>
                <w14:textFill>
                  <w14:solidFill>
                    <w14:schemeClr w14:val="tx1"/>
                  </w14:solidFill>
                </w14:textFill>
              </w:rPr>
              <w:t>k</w:t>
            </w:r>
            <w:r>
              <w:rPr>
                <w:bCs/>
                <w:color w:val="000000" w:themeColor="text1"/>
                <w:sz w:val="24"/>
                <w14:textFill>
                  <w14:solidFill>
                    <w14:schemeClr w14:val="tx1"/>
                  </w14:solidFill>
                </w14:textFill>
              </w:rPr>
              <w:t>m</w:t>
            </w:r>
            <w:r>
              <w:rPr>
                <w:bCs/>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，均为施工临时占地，占地小于2km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环境影响评价技术导则—生态影响》</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HJ19-2011</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分级规定，生态评价工作等级判定为三级。</w:t>
            </w:r>
          </w:p>
          <w:p>
            <w:pPr>
              <w:pStyle w:val="16"/>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7</w:t>
            </w:r>
            <w:r>
              <w:rPr>
                <w:rFonts w:ascii="Times New Roman" w:hAnsi="Times New Roman" w:cs="Times New Roman"/>
                <w:b/>
                <w:bCs/>
                <w:color w:val="000000" w:themeColor="text1"/>
                <w14:textFill>
                  <w14:solidFill>
                    <w14:schemeClr w14:val="tx1"/>
                  </w14:solidFill>
                </w14:textFill>
              </w:rPr>
              <w:t>.</w:t>
            </w:r>
            <w:r>
              <w:rPr>
                <w:rFonts w:hint="eastAsia" w:ascii="Times New Roman" w:hAnsi="Times New Roman" w:cs="Times New Roman"/>
                <w:b/>
                <w:bCs/>
                <w:color w:val="000000" w:themeColor="text1"/>
                <w:lang w:val="en-US" w:eastAsia="zh-CN"/>
                <w14:textFill>
                  <w14:solidFill>
                    <w14:schemeClr w14:val="tx1"/>
                  </w14:solidFill>
                </w14:textFill>
              </w:rPr>
              <w:t>2生态环境</w:t>
            </w:r>
            <w:r>
              <w:rPr>
                <w:rFonts w:ascii="Times New Roman" w:hAnsi="Times New Roman" w:cs="Times New Roman"/>
                <w:b/>
                <w:bCs/>
                <w:color w:val="000000" w:themeColor="text1"/>
                <w14:textFill>
                  <w14:solidFill>
                    <w14:schemeClr w14:val="tx1"/>
                  </w14:solidFill>
                </w14:textFill>
              </w:rPr>
              <w:t>影响分析</w:t>
            </w:r>
          </w:p>
          <w:p>
            <w:pPr>
              <w:pStyle w:val="16"/>
              <w:spacing w:line="360" w:lineRule="auto"/>
              <w:ind w:firstLine="480" w:firstLineChars="200"/>
              <w:jc w:val="both"/>
              <w:rPr>
                <w:bCs/>
                <w:color w:val="000000" w:themeColor="text1"/>
                <w14:textFill>
                  <w14:solidFill>
                    <w14:schemeClr w14:val="tx1"/>
                  </w14:solidFill>
                </w14:textFill>
              </w:rPr>
            </w:pPr>
            <w:r>
              <w:rPr>
                <w:rFonts w:hint="eastAsia"/>
                <w:bCs/>
                <w:color w:val="000000" w:themeColor="text1"/>
                <w14:textFill>
                  <w14:solidFill>
                    <w14:schemeClr w14:val="tx1"/>
                  </w14:solidFill>
                </w14:textFill>
              </w:rPr>
              <w:t>本项目对生态环境的影响主要包括工程临时占地对土地利用、植被、动物、景观、农业等的影响。</w:t>
            </w:r>
          </w:p>
          <w:p>
            <w:pPr>
              <w:pStyle w:val="16"/>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7.2.1土地利用影响分析</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本项目平整钻孔场地占用土地和开挖将会对原地貌造成扰动，并破坏占地范围内的地表植被</w:t>
            </w:r>
            <w:r>
              <w:rPr>
                <w:rFonts w:hint="eastAsia" w:cs="Times New Roman"/>
                <w:color w:val="000000" w:themeColor="text1"/>
                <w:kern w:val="0"/>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2</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年拟共设钻孔</w:t>
            </w:r>
            <w:r>
              <w:rPr>
                <w:rFonts w:hint="eastAsia" w:cs="Times New Roman"/>
                <w:color w:val="000000" w:themeColor="text1"/>
                <w:kern w:val="0"/>
                <w:sz w:val="24"/>
                <w:szCs w:val="24"/>
                <w:lang w:val="en-US" w:eastAsia="zh-CN" w:bidi="ar-SA"/>
                <w14:textFill>
                  <w14:solidFill>
                    <w14:schemeClr w14:val="tx1"/>
                  </w14:solidFill>
                </w14:textFill>
              </w:rPr>
              <w:t>31</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个，202</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3-2026</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年预计设钻孔</w:t>
            </w:r>
            <w:r>
              <w:rPr>
                <w:rFonts w:hint="eastAsia" w:cs="Times New Roman"/>
                <w:color w:val="000000" w:themeColor="text1"/>
                <w:kern w:val="0"/>
                <w:sz w:val="24"/>
                <w:szCs w:val="24"/>
                <w:lang w:val="en-US" w:eastAsia="zh-CN" w:bidi="ar-SA"/>
                <w14:textFill>
                  <w14:solidFill>
                    <w14:schemeClr w14:val="tx1"/>
                  </w14:solidFill>
                </w14:textFill>
              </w:rPr>
              <w:t>213</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个，平均每个钻孔场地占地</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15</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0m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w:t>
            </w:r>
            <w:r>
              <w:rPr>
                <w:rFonts w:hint="eastAsia" w:cs="Times New Roman"/>
                <w:color w:val="000000" w:themeColor="text1"/>
                <w:kern w:val="0"/>
                <w:sz w:val="24"/>
                <w:szCs w:val="24"/>
                <w:lang w:val="en-US" w:eastAsia="zh-CN" w:bidi="ar-SA"/>
                <w14:textFill>
                  <w14:solidFill>
                    <w14:schemeClr w14:val="tx1"/>
                  </w14:solidFill>
                </w14:textFill>
              </w:rPr>
              <w:t>2022年钻孔占地面积4650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lang w:val="en-US" w:eastAsia="zh-CN" w:bidi="ar-SA"/>
                <w14:textFill>
                  <w14:solidFill>
                    <w14:schemeClr w14:val="tx1"/>
                  </w14:solidFill>
                </w14:textFill>
              </w:rPr>
              <w:t>，2023-2026年钻孔占地面积31950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vertAlign w:val="baseline"/>
                <w:lang w:val="en-US" w:eastAsia="zh-CN" w:bidi="ar-SA"/>
                <w14:textFill>
                  <w14:solidFill>
                    <w14:schemeClr w14:val="tx1"/>
                  </w14:solidFill>
                </w14:textFill>
              </w:rPr>
              <w:t>。</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根据计划安排，</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cs="Times New Roman"/>
                <w:color w:val="000000" w:themeColor="text1"/>
                <w:kern w:val="0"/>
                <w:sz w:val="24"/>
                <w:szCs w:val="24"/>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年的钻孔坐标已初步确定，</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cs="Times New Roman"/>
                <w:color w:val="000000" w:themeColor="text1"/>
                <w:kern w:val="0"/>
                <w:sz w:val="24"/>
                <w:szCs w:val="24"/>
                <w:lang w:val="en-US" w:eastAsia="zh-CN" w:bidi="ar-SA"/>
                <w14:textFill>
                  <w14:solidFill>
                    <w14:schemeClr w14:val="tx1"/>
                  </w14:solidFill>
                </w14:textFill>
              </w:rPr>
              <w:t>3-2026</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年的尚未确定</w:t>
            </w:r>
            <w:r>
              <w:rPr>
                <w:rFonts w:hint="eastAsia" w:cs="Times New Roman"/>
                <w:color w:val="000000" w:themeColor="text1"/>
                <w:kern w:val="0"/>
                <w:sz w:val="24"/>
                <w:szCs w:val="24"/>
                <w:lang w:val="en-US" w:eastAsia="zh-CN" w:bidi="ar-SA"/>
                <w14:textFill>
                  <w14:solidFill>
                    <w14:schemeClr w14:val="tx1"/>
                  </w14:solidFill>
                </w14:textFill>
              </w:rPr>
              <w:t>；且</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w:t>
            </w:r>
            <w:r>
              <w:rPr>
                <w:rFonts w:hint="eastAsia" w:cs="Times New Roman"/>
                <w:color w:val="000000" w:themeColor="text1"/>
                <w:kern w:val="0"/>
                <w:sz w:val="24"/>
                <w:szCs w:val="24"/>
                <w:lang w:val="en-US" w:eastAsia="zh-CN" w:bidi="ar-SA"/>
                <w14:textFill>
                  <w14:solidFill>
                    <w14:schemeClr w14:val="tx1"/>
                  </w14:solidFill>
                </w14:textFill>
              </w:rPr>
              <w:t>22</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年拟布设钻孔在勘查中也会根据实际情况进行调整。所以，本次评价根据</w:t>
            </w:r>
            <w:r>
              <w:rPr>
                <w:rFonts w:hint="eastAsia" w:cs="Times New Roman"/>
                <w:color w:val="000000" w:themeColor="text1"/>
                <w:kern w:val="0"/>
                <w:sz w:val="24"/>
                <w:szCs w:val="24"/>
                <w:lang w:val="en-US" w:eastAsia="zh-CN" w:bidi="ar-SA"/>
                <w14:textFill>
                  <w14:solidFill>
                    <w14:schemeClr w14:val="tx1"/>
                  </w14:solidFill>
                </w14:textFill>
              </w:rPr>
              <w:t>每个</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工作内植被分布情况进行定性分析。</w:t>
            </w:r>
          </w:p>
          <w:p>
            <w:pPr>
              <w:pStyle w:val="9"/>
              <w:spacing w:after="0" w:line="360" w:lineRule="auto"/>
              <w:ind w:left="0" w:leftChars="0"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根据《甘肃生态功能区划》、《内蒙古自治区生态功能区划》，巴丹吉林盆地属平原东部防风固沙生态功能区，金塔、鼎新绿洲农业盐渍化生态功能区，平原北部戈壁荒漠风蚀沙化控制生态功能区，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土地利用类型</w:t>
            </w:r>
            <w:r>
              <w:rPr>
                <w:rFonts w:hint="eastAsia" w:cs="Times New Roman"/>
                <w:color w:val="000000" w:themeColor="text1"/>
                <w:kern w:val="2"/>
                <w:sz w:val="24"/>
                <w:szCs w:val="24"/>
                <w:lang w:val="en-US" w:eastAsia="zh-CN" w:bidi="ar-SA"/>
                <w14:textFill>
                  <w14:solidFill>
                    <w14:schemeClr w14:val="tx1"/>
                  </w14:solidFill>
                </w14:textFill>
              </w:rPr>
              <w:t>为荒漠戈壁，有少量草地。</w:t>
            </w:r>
          </w:p>
          <w:p>
            <w:pPr>
              <w:pStyle w:val="9"/>
              <w:spacing w:after="0" w:line="360" w:lineRule="auto"/>
              <w:ind w:left="0" w:leftChars="0"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潮水盆地属绿洲两侧沙漠化重点控制生态功能区，民勤绿洲农业及沙漠化控制生态功能区，龙首山山前牧业及防风固沙生态功能区，绿洲西北部草原化荒漠风蚀沙化控制生态功能区，合黎山北麓风蚀沙化控制生态功能区，河西堡风蚀草原化荒漠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土地利用类型</w:t>
            </w:r>
            <w:r>
              <w:rPr>
                <w:rFonts w:hint="eastAsia" w:cs="Times New Roman"/>
                <w:color w:val="000000" w:themeColor="text1"/>
                <w:kern w:val="2"/>
                <w:sz w:val="24"/>
                <w:szCs w:val="24"/>
                <w:lang w:val="en-US" w:eastAsia="zh-CN" w:bidi="ar-SA"/>
                <w14:textFill>
                  <w14:solidFill>
                    <w14:schemeClr w14:val="tx1"/>
                  </w14:solidFill>
                </w14:textFill>
              </w:rPr>
              <w:t>为荒漠戈壁，有少量草地和耕地。</w:t>
            </w:r>
          </w:p>
          <w:p>
            <w:pPr>
              <w:pStyle w:val="9"/>
              <w:spacing w:after="0" w:line="360" w:lineRule="auto"/>
              <w:ind w:left="0" w:leftChars="0" w:firstLine="480" w:firstLineChars="200"/>
              <w:rPr>
                <w:rFonts w:hint="eastAsia" w:hAnsi="宋体"/>
                <w:color w:val="000000" w:themeColor="text1"/>
                <w:sz w:val="24"/>
                <w:lang w:eastAsia="zh-CN"/>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武腾盆地属绿洲两侧沙漠化重点控制生态功能区，民勤绿洲农业及沙漠化控制生态功能区，古浪农田风蚀沙化敏感生态功能区，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水源涵养、生物多样性保护</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土地利用类型</w:t>
            </w:r>
            <w:r>
              <w:rPr>
                <w:rFonts w:hint="eastAsia" w:cs="Times New Roman"/>
                <w:color w:val="000000" w:themeColor="text1"/>
                <w:kern w:val="2"/>
                <w:sz w:val="24"/>
                <w:szCs w:val="24"/>
                <w:lang w:val="en-US" w:eastAsia="zh-CN" w:bidi="ar-SA"/>
                <w14:textFill>
                  <w14:solidFill>
                    <w14:schemeClr w14:val="tx1"/>
                  </w14:solidFill>
                </w14:textFill>
              </w:rPr>
              <w:t>为荒漠戈壁，有少量耕地和草地。</w:t>
            </w:r>
          </w:p>
          <w:p>
            <w:pPr>
              <w:pStyle w:val="9"/>
              <w:spacing w:after="0" w:line="360" w:lineRule="auto"/>
              <w:ind w:left="0" w:leftChars="0" w:firstLine="480" w:firstLineChars="200"/>
              <w:rPr>
                <w:rFonts w:hint="eastAsia" w:hAnsi="宋体"/>
                <w:color w:val="000000" w:themeColor="text1"/>
                <w:sz w:val="24"/>
                <w:lang w:eastAsia="zh-CN"/>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北山地区属马鬓山风蚀荒漠牧业、采矿生态功能区，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土地利用类型</w:t>
            </w:r>
            <w:r>
              <w:rPr>
                <w:rFonts w:hint="eastAsia" w:cs="Times New Roman"/>
                <w:color w:val="000000" w:themeColor="text1"/>
                <w:kern w:val="2"/>
                <w:sz w:val="24"/>
                <w:szCs w:val="24"/>
                <w:lang w:val="en-US" w:eastAsia="zh-CN" w:bidi="ar-SA"/>
                <w14:textFill>
                  <w14:solidFill>
                    <w14:schemeClr w14:val="tx1"/>
                  </w14:solidFill>
                </w14:textFill>
              </w:rPr>
              <w:t>为荒漠戈壁，有少量草地。</w:t>
            </w:r>
          </w:p>
          <w:p>
            <w:pPr>
              <w:pStyle w:val="9"/>
              <w:spacing w:after="0" w:line="360" w:lineRule="auto"/>
              <w:ind w:left="0" w:leftChars="0"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走廊盆地属河西走廊干旱荒漠、绿洲农业生态亚区；</w:t>
            </w:r>
            <w:r>
              <w:rPr>
                <w:rFonts w:hint="eastAsia" w:hAnsi="宋体"/>
                <w:color w:val="000000" w:themeColor="text1"/>
                <w:sz w:val="24"/>
                <w:lang w:val="en-US" w:eastAsia="zh-CN"/>
                <w14:textFill>
                  <w14:solidFill>
                    <w14:schemeClr w14:val="tx1"/>
                  </w14:solidFill>
                </w14:textFill>
              </w:rPr>
              <w:t>土地利用类型</w:t>
            </w:r>
            <w:r>
              <w:rPr>
                <w:rFonts w:hint="eastAsia" w:cs="Times New Roman"/>
                <w:color w:val="000000" w:themeColor="text1"/>
                <w:kern w:val="2"/>
                <w:sz w:val="24"/>
                <w:szCs w:val="24"/>
                <w:lang w:val="en-US" w:eastAsia="zh-CN" w:bidi="ar-SA"/>
                <w14:textFill>
                  <w14:solidFill>
                    <w14:schemeClr w14:val="tx1"/>
                  </w14:solidFill>
                </w14:textFill>
              </w:rPr>
              <w:t>为荒漠戈壁，有少量草地。</w:t>
            </w:r>
          </w:p>
          <w:p>
            <w:pPr>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drawing>
                <wp:inline distT="0" distB="0" distL="114300" distR="114300">
                  <wp:extent cx="5882005" cy="3275965"/>
                  <wp:effectExtent l="0" t="0" r="10795" b="635"/>
                  <wp:docPr id="5" name="图片 5" descr="水系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水系图"/>
                          <pic:cNvPicPr>
                            <a:picLocks noChangeAspect="1"/>
                          </pic:cNvPicPr>
                        </pic:nvPicPr>
                        <pic:blipFill>
                          <a:blip r:embed="rId21"/>
                          <a:srcRect l="14850" t="39929" r="14579" b="32291"/>
                          <a:stretch>
                            <a:fillRect/>
                          </a:stretch>
                        </pic:blipFill>
                        <pic:spPr>
                          <a:xfrm>
                            <a:off x="0" y="0"/>
                            <a:ext cx="5882005" cy="3275965"/>
                          </a:xfrm>
                          <a:prstGeom prst="rect">
                            <a:avLst/>
                          </a:prstGeom>
                        </pic:spPr>
                      </pic:pic>
                    </a:graphicData>
                  </a:graphic>
                </wp:inline>
              </w:drawing>
            </w:r>
          </w:p>
          <w:p>
            <w:pPr>
              <w:pStyle w:val="4"/>
              <w:keepNext/>
              <w:keepLines/>
              <w:pageBreakBefore w:val="0"/>
              <w:widowControl w:val="0"/>
              <w:tabs>
                <w:tab w:val="left" w:pos="2940"/>
              </w:tabs>
              <w:kinsoku/>
              <w:wordWrap/>
              <w:overflowPunct/>
              <w:topLinePunct w:val="0"/>
              <w:autoSpaceDE/>
              <w:autoSpaceDN/>
              <w:bidi w:val="0"/>
              <w:adjustRightInd/>
              <w:snapToGrid/>
              <w:spacing w:before="0" w:after="0" w:line="240" w:lineRule="auto"/>
              <w:jc w:val="center"/>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图8-1  本项目土地利用类型示意图</w:t>
            </w:r>
          </w:p>
          <w:p>
            <w:pPr>
              <w:pStyle w:val="16"/>
              <w:adjustRightInd/>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综上所述，根据本项目</w:t>
            </w:r>
            <w:r>
              <w:rPr>
                <w:rFonts w:hint="eastAsia" w:ascii="Times New Roman" w:hAnsi="Times New Roman" w:cs="Times New Roman"/>
                <w:color w:val="000000" w:themeColor="text1"/>
                <w:lang w:val="en-US" w:eastAsia="zh-CN"/>
                <w14:textFill>
                  <w14:solidFill>
                    <w14:schemeClr w14:val="tx1"/>
                  </w14:solidFill>
                </w14:textFill>
              </w:rPr>
              <w:t>5</w:t>
            </w:r>
            <w:r>
              <w:rPr>
                <w:rFonts w:hint="default" w:ascii="Times New Roman" w:hAnsi="Times New Roman" w:cs="Times New Roman"/>
                <w:color w:val="000000" w:themeColor="text1"/>
                <w14:textFill>
                  <w14:solidFill>
                    <w14:schemeClr w14:val="tx1"/>
                  </w14:solidFill>
                </w14:textFill>
              </w:rPr>
              <w:t>个</w:t>
            </w:r>
            <w:r>
              <w:rPr>
                <w:rFonts w:hint="eastAsia" w:ascii="Times New Roman" w:hAnsi="Times New Roman" w:cs="Times New Roman"/>
                <w:color w:val="000000" w:themeColor="text1"/>
                <w:lang w:eastAsia="zh-CN"/>
                <w14:textFill>
                  <w14:solidFill>
                    <w14:schemeClr w14:val="tx1"/>
                  </w14:solidFill>
                </w14:textFill>
              </w:rPr>
              <w:t>勘查区</w:t>
            </w:r>
            <w:r>
              <w:rPr>
                <w:rFonts w:hint="default" w:ascii="Times New Roman" w:hAnsi="Times New Roman" w:cs="Times New Roman"/>
                <w:color w:val="000000" w:themeColor="text1"/>
                <w14:textFill>
                  <w14:solidFill>
                    <w14:schemeClr w14:val="tx1"/>
                  </w14:solidFill>
                </w14:textFill>
              </w:rPr>
              <w:t>内土地利用现状调查情况，本项目临时占地类型可能包括以下几种类型：</w:t>
            </w:r>
            <w:r>
              <w:rPr>
                <w:rFonts w:hint="default" w:ascii="Times New Roman" w:hAnsi="Times New Roman" w:cs="Times New Roman"/>
                <w:color w:val="000000" w:themeColor="text1"/>
                <w:lang w:val="en-US" w:eastAsia="zh-CN"/>
                <w14:textFill>
                  <w14:solidFill>
                    <w14:schemeClr w14:val="tx1"/>
                  </w14:solidFill>
                </w14:textFill>
              </w:rPr>
              <w:t>林地、</w:t>
            </w:r>
            <w:r>
              <w:rPr>
                <w:rFonts w:hint="default" w:ascii="Times New Roman" w:hAnsi="Times New Roman" w:cs="Times New Roman"/>
                <w:color w:val="000000" w:themeColor="text1"/>
                <w14:textFill>
                  <w14:solidFill>
                    <w14:schemeClr w14:val="tx1"/>
                  </w14:solidFill>
                </w14:textFill>
              </w:rPr>
              <w:t>草地、戈壁</w:t>
            </w:r>
            <w:r>
              <w:rPr>
                <w:rFonts w:hint="eastAsia" w:ascii="Times New Roman" w:hAnsi="Times New Roman" w:cs="Times New Roman"/>
                <w:color w:val="000000" w:themeColor="text1"/>
                <w:lang w:val="en-US" w:eastAsia="zh-CN"/>
                <w14:textFill>
                  <w14:solidFill>
                    <w14:schemeClr w14:val="tx1"/>
                  </w14:solidFill>
                </w14:textFill>
              </w:rPr>
              <w:t>和耕地</w:t>
            </w:r>
            <w:r>
              <w:rPr>
                <w:rFonts w:hint="default" w:ascii="Times New Roman" w:hAnsi="Times New Roman" w:cs="Times New Roman"/>
                <w:color w:val="000000" w:themeColor="text1"/>
                <w14:textFill>
                  <w14:solidFill>
                    <w14:schemeClr w14:val="tx1"/>
                  </w14:solidFill>
                </w14:textFill>
              </w:rPr>
              <w:t>等，钻探施工会改变上述土地利用功能，破坏占用土地上的植被，但施工结束后，伴随场地平整和植被恢复措施的落实，临时占地可基本恢复原土地利用类型，对</w:t>
            </w:r>
            <w:r>
              <w:rPr>
                <w:rFonts w:hint="eastAsia" w:ascii="Times New Roman" w:hAnsi="Times New Roman" w:cs="Times New Roman"/>
                <w:color w:val="000000" w:themeColor="text1"/>
                <w:lang w:val="en-US" w:eastAsia="zh-CN"/>
                <w14:textFill>
                  <w14:solidFill>
                    <w14:schemeClr w14:val="tx1"/>
                  </w14:solidFill>
                </w14:textFill>
              </w:rPr>
              <w:t>勘查区</w:t>
            </w:r>
            <w:r>
              <w:rPr>
                <w:rFonts w:hint="default" w:ascii="Times New Roman" w:hAnsi="Times New Roman" w:cs="Times New Roman"/>
                <w:color w:val="000000" w:themeColor="text1"/>
                <w14:textFill>
                  <w14:solidFill>
                    <w14:schemeClr w14:val="tx1"/>
                  </w14:solidFill>
                </w14:textFill>
              </w:rPr>
              <w:t>土地利用类型影响较小。</w:t>
            </w:r>
          </w:p>
          <w:p>
            <w:pPr>
              <w:pStyle w:val="16"/>
              <w:spacing w:line="360" w:lineRule="auto"/>
              <w:jc w:val="both"/>
              <w:rPr>
                <w:rFonts w:hint="default"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14:textFill>
                  <w14:solidFill>
                    <w14:schemeClr w14:val="tx1"/>
                  </w14:solidFill>
                </w14:textFill>
              </w:rPr>
              <w:t>7</w:t>
            </w:r>
            <w:r>
              <w:rPr>
                <w:rFonts w:hint="default" w:ascii="Times New Roman" w:hAnsi="Times New Roman" w:eastAsia="宋体" w:cs="Times New Roman"/>
                <w:color w:val="000000" w:themeColor="text1"/>
                <w14:textFill>
                  <w14:solidFill>
                    <w14:schemeClr w14:val="tx1"/>
                  </w14:solidFill>
                </w14:textFill>
              </w:rPr>
              <w:t>.2</w:t>
            </w:r>
            <w:r>
              <w:rPr>
                <w:rFonts w:hint="eastAsia" w:ascii="Times New Roman" w:hAnsi="Times New Roman" w:eastAsia="宋体" w:cs="Times New Roman"/>
                <w:color w:val="000000" w:themeColor="text1"/>
                <w:lang w:val="en-US" w:eastAsia="zh-CN"/>
                <w14:textFill>
                  <w14:solidFill>
                    <w14:schemeClr w14:val="tx1"/>
                  </w14:solidFill>
                </w14:textFill>
              </w:rPr>
              <w:t>.2</w:t>
            </w:r>
            <w:r>
              <w:rPr>
                <w:rFonts w:hint="default" w:ascii="Times New Roman" w:hAnsi="Times New Roman" w:eastAsia="宋体" w:cs="Times New Roman"/>
                <w:color w:val="000000" w:themeColor="text1"/>
                <w14:textFill>
                  <w14:solidFill>
                    <w14:schemeClr w14:val="tx1"/>
                  </w14:solidFill>
                </w14:textFill>
              </w:rPr>
              <w:t>植被影响分析</w:t>
            </w:r>
          </w:p>
          <w:p>
            <w:pPr>
              <w:spacing w:line="360" w:lineRule="auto"/>
              <w:ind w:firstLine="48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对植被的影响主要是临时占地范围内原有植物的剥离、清理及占压，在钻探施工过程中，钻前工程会清理井场施工范围内植物的地上部分与根系，施工作业带的植被由于挖掘土石的堆放、人员的践踏、施工车辆和机具的碾压而受到不同程度的破坏。所以，钻探工程对植被的影响在评价区域内呈点状分布。</w:t>
            </w:r>
          </w:p>
          <w:p>
            <w:pPr>
              <w:spacing w:line="360" w:lineRule="auto"/>
              <w:ind w:firstLine="48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因本项目占地均为临时占地，施工结束采取植被恢复措施后，经过一个完整的植被生长期，占地范围内的植被均可得到恢复，对评价区域植被影响较小。</w:t>
            </w:r>
          </w:p>
          <w:p>
            <w:pPr>
              <w:pStyle w:val="16"/>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7.2.3动物影响分析</w:t>
            </w:r>
          </w:p>
          <w:p>
            <w:pPr>
              <w:spacing w:line="360" w:lineRule="auto"/>
              <w:ind w:firstLine="480"/>
              <w:rPr>
                <w:rFonts w:hint="default" w:ascii="Times New Roman" w:hAnsi="Times New Roman" w:cs="Times New Roman"/>
                <w:color w:val="000000" w:themeColor="text1"/>
                <w:sz w:val="24"/>
                <w:lang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施工期对动物的影响主要是运输、施工噪声、人为活动对该区动物栖息活动会产生一定的干扰，本项目钻探施工临时占地范围小，施工时间短，对野生动物的影响不大。</w:t>
            </w:r>
          </w:p>
          <w:p>
            <w:pPr>
              <w:pStyle w:val="16"/>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7.2.4农业影响分析</w:t>
            </w:r>
          </w:p>
          <w:p>
            <w:pPr>
              <w:pStyle w:val="16"/>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本次评价要求钻探工程避让勘查区内基本农田，对一般耕地等尽量采取避让措施。若根据实际情况需占用耕地，应尽量将施工期安排在非耕作期，施工结束后及时进行复垦。因本项目属于</w:t>
            </w:r>
            <w:r>
              <w:rPr>
                <w:rFonts w:hint="eastAsia" w:ascii="Times New Roman" w:hAnsi="Times New Roman" w:cs="Times New Roman"/>
                <w:color w:val="000000" w:themeColor="text1"/>
                <w:lang w:eastAsia="zh-CN"/>
                <w14:textFill>
                  <w14:solidFill>
                    <w14:schemeClr w14:val="tx1"/>
                  </w14:solidFill>
                </w14:textFill>
              </w:rPr>
              <w:t>勘查</w:t>
            </w:r>
            <w:r>
              <w:rPr>
                <w:rFonts w:hint="default" w:ascii="Times New Roman" w:hAnsi="Times New Roman" w:cs="Times New Roman"/>
                <w:color w:val="000000" w:themeColor="text1"/>
                <w14:textFill>
                  <w14:solidFill>
                    <w14:schemeClr w14:val="tx1"/>
                  </w14:solidFill>
                </w14:textFill>
              </w:rPr>
              <w:t>工程，且单个钻探工程施工期均比较短，若避开耕作期，施工结束后及时采取复垦措施，基本不会对评价区域农业产生影响。</w:t>
            </w:r>
          </w:p>
          <w:p>
            <w:pPr>
              <w:pStyle w:val="16"/>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7.2.5景观影响分析</w:t>
            </w:r>
          </w:p>
          <w:p>
            <w:pPr>
              <w:pStyle w:val="16"/>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施工期会暂时新增评价区域工业景观类型，改变局部原有地形地貌及自然景观，对自然景观产生短期影响。因勘查区一般地处山区或远离城乡居住区的郊区，产生的视觉景观影响较小。伴随施工结束后的植被恢复，将恢复原有景观类型，对景观的影响将逐步减缓并消失。</w:t>
            </w:r>
          </w:p>
          <w:p>
            <w:pPr>
              <w:pStyle w:val="16"/>
              <w:spacing w:line="360" w:lineRule="auto"/>
              <w:jc w:val="both"/>
              <w:rPr>
                <w:rFonts w:hint="eastAsia"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14:textFill>
                  <w14:solidFill>
                    <w14:schemeClr w14:val="tx1"/>
                  </w14:solidFill>
                </w14:textFill>
              </w:rPr>
              <w:t>7.</w:t>
            </w:r>
            <w:r>
              <w:rPr>
                <w:rFonts w:hint="eastAsia" w:ascii="Times New Roman" w:hAnsi="Times New Roman" w:eastAsia="宋体" w:cs="Times New Roman"/>
                <w:color w:val="000000" w:themeColor="text1"/>
                <w:lang w:val="en-US" w:eastAsia="zh-CN"/>
                <w14:textFill>
                  <w14:solidFill>
                    <w14:schemeClr w14:val="tx1"/>
                  </w14:solidFill>
                </w14:textFill>
              </w:rPr>
              <w:t>2.6</w:t>
            </w:r>
            <w:r>
              <w:rPr>
                <w:rFonts w:hint="eastAsia" w:ascii="Times New Roman" w:hAnsi="Times New Roman" w:eastAsia="宋体" w:cs="Times New Roman"/>
                <w:color w:val="000000" w:themeColor="text1"/>
                <w14:textFill>
                  <w14:solidFill>
                    <w14:schemeClr w14:val="tx1"/>
                  </w14:solidFill>
                </w14:textFill>
              </w:rPr>
              <w:t>环境敏感区影响分析</w:t>
            </w:r>
          </w:p>
          <w:p>
            <w:pPr>
              <w:spacing w:line="360" w:lineRule="auto"/>
              <w:ind w:firstLine="480" w:firstLineChars="200"/>
              <w:rPr>
                <w:rFonts w:hint="default" w:ascii="Times New Roman" w:hAnsi="Times New Roman" w:cs="Times New Roman"/>
                <w:snapToGrid w:val="0"/>
                <w:color w:val="000000" w:themeColor="text1"/>
                <w:kern w:val="0"/>
                <w:sz w:val="24"/>
                <w14:textFill>
                  <w14:solidFill>
                    <w14:schemeClr w14:val="tx1"/>
                  </w14:solidFill>
                </w14:textFill>
              </w:rPr>
            </w:pPr>
            <w:r>
              <w:rPr>
                <w:rFonts w:hint="default"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1</w:t>
            </w:r>
            <w:r>
              <w:rPr>
                <w:rFonts w:hint="default"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GB"/>
                <w14:textFill>
                  <w14:solidFill>
                    <w14:schemeClr w14:val="tx1"/>
                  </w14:solidFill>
                </w14:textFill>
              </w:rPr>
              <w:t>自然保护区</w:t>
            </w:r>
          </w:p>
          <w:p>
            <w:p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①</w:t>
            </w:r>
            <w:r>
              <w:rPr>
                <w:rFonts w:hint="default" w:ascii="Times New Roman" w:hAnsi="Times New Roman" w:cs="Times New Roman"/>
                <w:bCs/>
                <w:color w:val="000000" w:themeColor="text1"/>
                <w:sz w:val="24"/>
                <w:lang w:val="en-US" w:eastAsia="zh-CN"/>
                <w14:textFill>
                  <w14:solidFill>
                    <w14:schemeClr w14:val="tx1"/>
                  </w14:solidFill>
                </w14:textFill>
              </w:rPr>
              <w:t>甘肃张掖</w:t>
            </w:r>
            <w:r>
              <w:rPr>
                <w:rFonts w:hint="default" w:ascii="Times New Roman" w:hAnsi="Times New Roman" w:cs="Times New Roman"/>
                <w:color w:val="000000" w:themeColor="text1"/>
                <w:sz w:val="24"/>
                <w:lang w:val="en-US" w:eastAsia="zh-CN"/>
                <w14:textFill>
                  <w14:solidFill>
                    <w14:schemeClr w14:val="tx1"/>
                  </w14:solidFill>
                </w14:textFill>
              </w:rPr>
              <w:t>黑河湿地国家级自然保护区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甘肃张掖黑河湿地国家级自然保护区位于黑河中游，跨甘州、</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"https://baike.baidu.com/item/%E4%B8%B4%E6%B3%BD/7672339" \t "https://baike.baidu.com/item/%E7%94%98%E8%82%83%E5%BC%A0%E6%8E%96%E9%BB%91%E6%B2%B3%E6%B9%BF%E5%9C%B0%E5%9B%BD%E5%AE%B6%E7%BA%A7%E8%87%AA%E7%84%B6%E4%BF%9D%E6%8A%A4%E5%8C%BA/_blank"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临泽</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、高台三县区，范围在东经99°19′21″－100°34′48″，北纬38°57′54″－39°52′30″之间。</w:t>
            </w:r>
            <w:bookmarkStart w:id="18" w:name="ref_[1]_15892002"/>
          </w:p>
          <w:bookmarkEnd w:id="18"/>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bookmarkStart w:id="19" w:name="3"/>
            <w:bookmarkEnd w:id="19"/>
            <w:bookmarkStart w:id="20" w:name="sub15892002_3"/>
            <w:bookmarkEnd w:id="20"/>
            <w:bookmarkStart w:id="21" w:name="区域范围"/>
            <w:bookmarkEnd w:id="21"/>
            <w:r>
              <w:rPr>
                <w:rFonts w:hint="default" w:ascii="Times New Roman" w:hAnsi="Times New Roman" w:cs="Times New Roman"/>
                <w:bCs/>
                <w:color w:val="000000" w:themeColor="text1"/>
                <w:sz w:val="24"/>
                <w:lang w:val="en-US" w:eastAsia="zh-CN"/>
                <w14:textFill>
                  <w14:solidFill>
                    <w14:schemeClr w14:val="tx1"/>
                  </w14:solidFill>
                </w14:textFill>
              </w:rPr>
              <w:t>保护区沿</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"https://baike.baidu.com/item/%E9%BB%91%E6%B2%B3/6040616" \t "https://baike.baidu.com/item/%E7%94%98%E8%82%83%E5%BC%A0%E6%8E%96%E9%BB%91%E6%B2%B3%E6%B9%BF%E5%9C%B0%E5%9B%BD%E5%AE%B6%E7%BA%A7%E8%87%AA%E7%84%B6%E4%BF%9D%E6%8A%A4%E5%8C%BA/_blank"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黑河</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中游干流河道分布，东自甘州区三闸镇新建村起，向西经</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"https://baike.baidu.com/item/%E9%AB%98%E5%8F%B0%E5%8E%BF%E7%BD%97%E5%9F%8E%E4%B9%A1/16218605" \t "https://baike.baidu.com/item/%E7%94%98%E8%82%83%E5%BC%A0%E6%8E%96%E9%BB%91%E6%B2%B3%E6%B9%BF%E5%9C%B0%E5%9B%BD%E5%AE%B6%E7%BA%A7%E8%87%AA%E7%84%B6%E4%BF%9D%E6%8A%A4%E5%8C%BA/_blank"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高台县罗城乡</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盐池滩至黑河正义峡出界处；北自黑河正义峡出界处起，沿黑河干流北岸、山丹河河道至甘州区红沙窝国有林场；南自甘州区三闸镇东泉村起，沿黑河干流南岸，经甘州区沙井镇兴隆村、临泽大沙河至五泉国有林场，沿大沙河河道与黑河干流南岸，至肃南裕固族自治县和高台县交界处。保护区总面积41164.56公顷，其中核心区13640.01公顷，缓冲区12531.21公顷，实验区14993.34公顷，三个功能区基本各占1/3。</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潮水盆地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w:t>
            </w:r>
            <w:r>
              <w:rPr>
                <w:rFonts w:hint="default" w:ascii="Times New Roman" w:hAnsi="Times New Roman" w:cs="Times New Roman"/>
                <w:color w:val="000000" w:themeColor="text1"/>
                <w:sz w:val="24"/>
                <w:lang w:val="en-US" w:eastAsia="zh-CN"/>
                <w14:textFill>
                  <w14:solidFill>
                    <w14:schemeClr w14:val="tx1"/>
                  </w14:solidFill>
                </w14:textFill>
              </w:rPr>
              <w:t>ZKD159-1与其最近，距离为30.6km</w:t>
            </w:r>
            <w:r>
              <w:rPr>
                <w:rFonts w:hint="eastAsia"/>
                <w:color w:val="000000" w:themeColor="text1"/>
                <w:sz w:val="24"/>
                <w14:textFill>
                  <w14:solidFill>
                    <w14:schemeClr w14:val="tx1"/>
                  </w14:solidFill>
                </w14:textFill>
              </w:rPr>
              <w:t>，不会对该自然保护区产生影响。</w:t>
            </w:r>
          </w:p>
          <w:p>
            <w:pPr>
              <w:spacing w:line="360" w:lineRule="auto"/>
              <w:ind w:firstLine="480" w:firstLineChars="200"/>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②民勤连</w:t>
            </w:r>
            <w:r>
              <w:rPr>
                <w:rFonts w:hint="default" w:ascii="Times New Roman" w:hAnsi="Times New Roman" w:cs="Times New Roman"/>
                <w:bCs/>
                <w:color w:val="000000" w:themeColor="text1"/>
                <w:sz w:val="24"/>
                <w:lang w:val="en-US" w:eastAsia="zh-CN"/>
                <w14:textFill>
                  <w14:solidFill>
                    <w14:schemeClr w14:val="tx1"/>
                  </w14:solidFill>
                </w14:textFill>
              </w:rPr>
              <w:t>古城国家自然保护区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民勤连古城国家级自然保护区位于民勤县境内的荒漠区域内，东北被腾格里沙漠包围，西北有巴丹吉林沙漠环绕，北、西、南三面蔽着民勤绿洲，其地理位置在北纬38°10'08''～39°09'10''，东经103°30´00''～103°57´40''。民勤连古城国家级自然保护区南北宽约90km，东西长6.5～125km。以民武公路为界，保护区分东南半区和西北半区，总面积为389882.5公顷，占民勤国土面积的四分之一，是全国面积最大的荒漠生态类型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民勤连古城国家级自然保护区分为核心区、缓冲区和实验区三个功能区，其中核心区面积121058.5公顷，占31.5%，缓冲区面积151664.3公顷，占38.9%，实验区面积117159.7公顷，占30.05%。</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武腾盆地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③甘肃安南坝野骆驼国家自然保护区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安南坝野骆驼国家级自然保护区位于阿尔金山北麓，阿克塞哈萨克族自治县境内，地处库姆塔格沙漠和阿尔金山之间，北接敦煌西湖国家级自然保护区，西邻新疆罗布泊野骆驼国家级自然保护区，南靠青海海西州，地理坐标为东经92°20′～93°19′，北纬39°02′～39°47′，总面积为396000公顷，主要保护对象是野骆驼等野生动物及其栖息环境。</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④甘肃敦煌阳关国家级自然保护区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敦煌阳关国家级自然保护区位于敦煌市阳关镇境内，总面积8.8万公顷，其中核心区面积为2.7322万公顷，缓冲区面积为2.80826万公顷，</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"https://baike.baidu.com/item/%E5%AE%9E%E9%AA%8C%E5%8C%BA" \t "https://baike.baidu.com/item/_blank"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实验区</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面积为3.27731万公顷。保护区主要由戈壁、湿地、沙地、林地和水域组成，是中国西部荒漠区中较为罕见的特殊成因内陆河流生态系统，具有极高的保护价值和科研价值。保护区内有脊椎动物145种，其中列入国家重点保护野生动物名录的有18种，一级保护动物3种，二级保护动物15种；保护区有种子植物141种，其中列入国家重点保护植物名录的有4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⑤甘肃敦煌西湖国家自然保护区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甘肃敦煌西湖国家级自然保护区位于甘肃省酒泉市</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"https://baike.baidu.com/item/%E6%95%A6%E7%85%8C%E5%B8%82"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敦煌市</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西部，西邻库姆塔格沙漠和罗布泊，南接阿克赛哈萨克族自治县，北连新疆维吾尔自治区哈密市，地理坐标为东经92°45′～93°50′，北纬39°45′～40°36′。保护区始建于1992年，2003年6月经国务院批准晋升为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甘肃敦煌西湖国家级自然保护区总面积66万公顷，约占敦煌市土地总面积的21.2%，其中核心区19.8万公顷，缓冲区14.575万公顷，试验区31.625万公顷。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⑥甘肃安西县极旱荒漠国家级自然保护区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安西极旱荒漠国家级自然保护区位于甘肃省瓜州县境内，分南北二片。南片在瓜州县南部，与玉门市和肃北蒙古自治县为邻。保护区总面积80万公顷，是中国第10位大型自然保护区，主要保护对象为极旱荒漠生态系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⑦甘肃盐池湾国家级自然保护区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盐池湾国家级自然保护区位于甘肃肃北蒙古族自治县东南部祁连山区，党河、疏勒河、榆林河的上游，地理坐标为北纬38°26′～39°52′，东经95°21′～97°10′之间，属荒漠类型自然保护区。盐池湾国家级自然保护区总面积136万公顷，实验区面积65.84万公顷，缓冲区面积28万公顷，核心区面积42.16万公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⑧甘肃祁连山国家级自然保护区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甘肃祁连山国家级自然保护区总面积265.3万公顷，区域范围为东经97°25′～103°46′，北纬36°43′～39°36′。其中，核心区面积为802261.6公顷。祁连山国家级自然保护区地跨</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"https://baike.baidu.com/item/%E6%AD%A6%E5%A8%81/353363"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武威</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"https://baike.baidu.com/item/%E9%87%91%E6%98%8C"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金昌</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"https://baike.baidu.com/item/%E5%BC%A0%E6%8E%96"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张掖</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3市的</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"https://baike.baidu.com/item/%E5%87%89%E5%B7%9E/1814"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凉州</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"https://baike.baidu.com/item/%E5%A4%A9%E7%A5%9D%E8%97%8F%E6%97%8F%E8%87%AA%E6%B2%BB%E5%8E%BF"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天祝藏族自治县</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"https://baike.baidu.com/item/%E5%8F%A4%E6%B5%AA"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古浪</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"https://baike.baidu.com/item/%E6%B0%B8%E6%98%8C/2109319"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永昌</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"https://baike.baidu.com/item/%E7%94%98%E5%B7%9E/3505015"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甘州</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"https://baike.baidu.com/item/%E5%B1%B1%E4%B8%B9/229239"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山丹</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"https://baike.baidu.com/item/%E6%B0%91%E4%B9%90/82767"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民乐</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"https://baike.baidu.com/item/%E8%82%83%E5%8D%97%E8%A3%95%E5%9B%BA%E6%97%8F%E8%87%AA%E6%B2%BB%E5%8E%BF"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肃南裕固族自治县</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8县（区）。</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"https://baike.baidu.com/item/%E7%BC%93%E5%86%B2%E5%8C%BA"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缓冲区</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面积为470625.2公顷，实验区面积1380136.2公顷。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走廊盆地和武腾盆地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⑨甘肃东大山省级自然保护区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东大山自然保护区是</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"https://baike.baidu.com/item/%E6%B2%B3%E8%A5%BF%E8%B5%B0%E5%BB%8A/970766" \t "https://baike.baidu.com/item/%E4%B8%9C%E5%A4%A7%E5%B1%B1%E8%87%AA%E7%84%B6%E4%BF%9D%E6%8A%A4%E5%8C%BA/_blank"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河西走廊</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北山的一部分，东经100°45′-100°51′，北纬39°0′-39°04′，距张掖市城东30km处，呈西北西走向。东大山是中生代以来发育成的断块山，属阿拉善台块的一部分，在大地貌上具有断块山的一般特征。保护区各类森林是河西走廊北山较完整的</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"https://baike.baidu.com/item/%E6%A3%AE%E6%9E%97%E7%94%9F%E6%80%81%E7%B3%BB%E7%BB%9F/5931813" \t "https://baike.baidu.com/item/%E4%B8%9C%E5%A4%A7%E5%B1%B1%E8%87%AA%E7%84%B6%E4%BF%9D%E6%8A%A4%E5%8C%BA/_blank"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森林生态系统</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潮水盆地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年拟布设的ZKD240-1</w:t>
            </w:r>
            <w:r>
              <w:rPr>
                <w:rFonts w:hint="eastAsia"/>
                <w:color w:val="000000" w:themeColor="text1"/>
                <w:sz w:val="24"/>
                <w:lang w:val="en-US" w:eastAsia="zh-CN"/>
                <w14:textFill>
                  <w14:solidFill>
                    <w14:schemeClr w14:val="tx1"/>
                  </w14:solidFill>
                </w14:textFill>
              </w:rPr>
              <w:t>与其最近，距离为27.6km</w:t>
            </w:r>
            <w:r>
              <w:rPr>
                <w:rFonts w:hint="eastAsia"/>
                <w:color w:val="000000" w:themeColor="text1"/>
                <w:sz w:val="24"/>
                <w14:textFill>
                  <w14:solidFill>
                    <w14:schemeClr w14:val="tx1"/>
                  </w14:solidFill>
                </w14:textFill>
              </w:rPr>
              <w:t>，不会对该自然保护区产生影响。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⑩甘肃龙首山省级自然保护区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龙首山自然保护区位于甘肃省</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"https://baike.baidu.com/item/%E5%B1%B1%E4%B8%B9%E5%8E%BF/1902992"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山丹县</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境内，东经100°55′-101°，北纬38°55′-38°58分之间，面积25.6km</w:t>
            </w:r>
            <w:r>
              <w:rPr>
                <w:rFonts w:hint="default" w:ascii="Times New Roman" w:hAnsi="Times New Roman" w:eastAsia="宋体"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eastAsia="宋体" w:cs="Times New Roman"/>
                <w:bCs/>
                <w:color w:val="000000" w:themeColor="text1"/>
                <w:sz w:val="24"/>
                <w:lang w:val="en-US" w:eastAsia="zh-CN"/>
                <w14:textFill>
                  <w14:solidFill>
                    <w14:schemeClr w14:val="tx1"/>
                  </w14:solidFill>
                </w14:textFill>
              </w:rPr>
              <w:t>。龙首山为</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"https://baike.baidu.com/item/%E6%B2%B3%E8%A5%BF%E8%B5%B0%E5%BB%8A/970766"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河西走廊</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北山的一部分，海拔在2100-3439m之间，气候属大陆性荒漠气候和大陆性草原气候。其主要保护对象为</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"https://baike.baidu.com/item/%E9%9D%92%E6%B5%B7%E4%BA%91%E6%9D%89/4971355"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青海云杉</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及其森林生态环境。区内有国家</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"https://baike.baidu.com/item/%E9%87%8D%E7%82%B9%E4%BF%9D%E6%8A%A4%E5%8A%A8%E7%89%A9/14736944"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重点保护动物</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"https://baike.baidu.com/item/%E5%B2%A9%E7%BE%8A/803032"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岩羊</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"https://baike.baidu.com/item/%E9%B9%85%E5%96%89%E7%BE%9A/478440"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鹅喉羚</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"https://baike.baidu.com/item/%E7%8C%9E%E7%8C%81/1203680"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猞猁</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及</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"https://baike.baidu.com/item/%E8%8D%89%E5%8E%9F%E9%9B%95/349404"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草原雕</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、金雕、</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"https://baike.baidu.com/item/%E6%9A%97%E8%85%B9%E9%9B%AA%E9%B8%A1/960564" \t "https://baike.baidu.com/item/%E9%BE%99%E9%A6%96%E5%B1%B1%E8%87%AA%E7%84%B6%E4%BF%9D%E6%8A%A4%E5%8C%BA/_blank"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暗腹雪鸡</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、鸢等。</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潮水盆地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年拟布设的ZKD240-1</w:t>
            </w:r>
            <w:r>
              <w:rPr>
                <w:rFonts w:hint="eastAsia"/>
                <w:color w:val="000000" w:themeColor="text1"/>
                <w:sz w:val="24"/>
                <w:lang w:val="en-US" w:eastAsia="zh-CN"/>
                <w14:textFill>
                  <w14:solidFill>
                    <w14:schemeClr w14:val="tx1"/>
                  </w14:solidFill>
                </w14:textFill>
              </w:rPr>
              <w:t>与其最近，距离为39.6km</w:t>
            </w:r>
            <w:r>
              <w:rPr>
                <w:rFonts w:hint="eastAsia"/>
                <w:color w:val="000000" w:themeColor="text1"/>
                <w:sz w:val="24"/>
                <w14:textFill>
                  <w14:solidFill>
                    <w14:schemeClr w14:val="tx1"/>
                  </w14:solidFill>
                </w14:textFill>
              </w:rPr>
              <w:t>，不会对该自然保护区产生影响。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⑪甘肃芨芨泉省级自然保护区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甘肃芨芨泉省级自然保护区距离市区70公里，于2005年经省政府批准成立，总面积共51070.8公顷，是荒漠生态系统类型自然保护区，以保护天然植物群落和珍稀野生动植物种群及其</w:t>
            </w:r>
            <w:r>
              <w:rPr>
                <w:rFonts w:hint="default" w:ascii="Times New Roman" w:hAnsi="Times New Roman" w:eastAsia="宋体" w:cs="Times New Roman"/>
                <w:bCs/>
                <w:color w:val="000000" w:themeColor="text1"/>
                <w:sz w:val="24"/>
                <w:lang w:val="en-US" w:eastAsia="zh-CN"/>
                <w14:textFill>
                  <w14:solidFill>
                    <w14:schemeClr w14:val="tx1"/>
                  </w14:solidFill>
                </w14:textFill>
              </w:rPr>
              <w:t>赖以生存的生态环境，维护生态平衡和生物多样性，保持极度脆弱的荒漠生态系统和自然景观的完整性为主要保护对象。</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潮水盆地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年拟布设的ZKH0-2</w:t>
            </w:r>
            <w:r>
              <w:rPr>
                <w:rFonts w:hint="eastAsia"/>
                <w:color w:val="000000" w:themeColor="text1"/>
                <w:sz w:val="24"/>
                <w:lang w:val="en-US" w:eastAsia="zh-CN"/>
                <w14:textFill>
                  <w14:solidFill>
                    <w14:schemeClr w14:val="tx1"/>
                  </w14:solidFill>
                </w14:textFill>
              </w:rPr>
              <w:t>与其最近，距离为15.7km</w:t>
            </w:r>
            <w:r>
              <w:rPr>
                <w:rFonts w:hint="eastAsia"/>
                <w:color w:val="000000" w:themeColor="text1"/>
                <w:sz w:val="24"/>
                <w14:textFill>
                  <w14:solidFill>
                    <w14:schemeClr w14:val="tx1"/>
                  </w14:solidFill>
                </w14:textFill>
              </w:rPr>
              <w:t>，不会对该自然保护区产生影响。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⑫甘肃瓜州县塘敦湖省级自然保护区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甘肃瓜州塘墩湖省级自然保护区功能区，保护区总面积71556.00hm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，其中：核心区22533.00hm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；缓冲区20240.00hm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；实验区28787.00hm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。范围在东经95°30´42"—96°3´12"、北纬39°52´21"—40°24´56"。保护区由2个分区组成，其中实验区2个分区，缓冲区2个分区，核心区2个分区。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⑬甘肃昌马河省级自然保护区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甘肃昌马河保护区位于甘肃省玉门市境内，成立于1996年；候鸟及其生态系统为主要保护对象。总面积68.25平方千米。具有温带干旱气侯和高寒半干旱气侯特征，年均气温8℃，极端最高气温38.5度，极端最低-27度。年降水量56毫米，无霜期151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⑭甘肃沙枣园子省级自然保护区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沙枣园子自然保护区于金塔县西南角，西起玉门市花海与金塔县交界处的芦草井、疙瘩井、土地庙；南至与嘉峪关、酒泉市相邻的夹山北坡；东从马路山向北至独沙窝，向东南经秃山头井、沙枣树井、马莲井、白水泉至拦河湾；北沿总干渠、共青渠到西头坪，经张家墩、前进至晨光、西移、西红以西的大碱岗滩，经生地湾农场东、南、西界，沿板滩井、木头井、盆坑大山以南的广阔地区；是2002年经</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"https://baike.baidu.com/item/%E7%94%98%E8%82%83%E7%9C%81%E4%BA%BA%E6%B0%91%E6%94%BF%E5%BA%9C/6076402" \t "https://baike.baidu.com/item/%E6%B2%99%E6%9E%A3%E5%9B%AD%E5%AD%90%E8%87%AA%E7%84%B6%E4%BF%9D%E6%8A%A4%E5%8C%BA/_blank"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甘肃省人民政府</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批准建立的省级自然保护区。保护区地理坐标为东经97°58′-98°55′，北纬39°47′-40°30′。护区区域总面积163404公顷，其中：核心区32697公顷，缓冲区63603公顷，实验区67104公顷。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⑮甘肃干海子省级自然保护区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干海子自然保护区位于甘肃省西北，</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"https://baike.baidu.com/item/%E7%8E%89%E9%97%A8" \t "https://baike.baidu.com/item/%E5%B9%B2%E6%B5%B7%E5%AD%90%E8%87%AA%E7%84%B6%E4%BF%9D%E6%8A%A4%E5%8C%BA/_blank"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玉门</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东北75公里；该保护区成立于1983年，保护面积300公顷，海拔1203米；沙质平原上内河流域一个小型永久性微咸水湖泊和河滩沼泽地。主要植被芦苇和柳树灌木，周围地区是矮灌丛。</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走廊盆地和武腾盆地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⑯肃北马鬃山北山羊省级自然保护区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肃北马鬃山北山羊省级自然保护区位于肃北蒙古族自治县马鬃山镇，主要保护动物为北山羊。</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北山地区</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⑰</w:t>
            </w:r>
            <w:r>
              <w:rPr>
                <w:rFonts w:hint="eastAsia" w:ascii="Times New Roman" w:hAnsi="Times New Roman" w:eastAsia="宋体" w:cs="Times New Roman"/>
                <w:bCs/>
                <w:color w:val="000000" w:themeColor="text1"/>
                <w:sz w:val="24"/>
                <w:lang w:val="en-US" w:eastAsia="zh-CN"/>
                <w14:textFill>
                  <w14:solidFill>
                    <w14:schemeClr w14:val="tx1"/>
                  </w14:solidFill>
                </w14:textFill>
              </w:rPr>
              <w:t>甘肃玉门市南山省级自然保护区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甘肃玉门市南山省级自然保护区位于玉门市，成立于2002年，主要保护目标为野生动物及其生境。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⑱</w:t>
            </w:r>
            <w:r>
              <w:rPr>
                <w:rFonts w:hint="eastAsia"/>
                <w:bCs/>
                <w:color w:val="000000" w:themeColor="text1"/>
                <w:sz w:val="24"/>
                <w:lang w:val="en-US" w:eastAsia="zh-CN"/>
                <w14:textFill>
                  <w14:solidFill>
                    <w14:schemeClr w14:val="tx1"/>
                  </w14:solidFill>
                </w14:textFill>
              </w:rPr>
              <w:t>甘肃省疏勒河中下游省级自然保护区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甘肃省瓜州县疏勒河中下游省级内陆湿地自然保护区成立于2002年。以荒漠植被及湿地生态系统为主要保护对象。总面积3242平方千米。属大陆荒漠干旱性气候，年均气温9.9℃。年均降水量47～63毫米，年均蒸发量3033～3246毫米，年均日照时数3260～3280小时，年均8级以上大风日76天。</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"https://www.osgeo.cn/wiki/%E7%96%8F%E5%8B%92%E6%B2%B3"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疏勒河</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为保护区内主要水体，水质达到国家Ⅲ类标准。中下游建有双塔水库，一般蓄水位1330.3米，库容量2.43亿立方米，水库流域面积3.44万平方千米，年均径流量2.97亿立方米。</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⑲</w:t>
            </w:r>
            <w:r>
              <w:rPr>
                <w:rFonts w:hint="eastAsia" w:ascii="Times New Roman" w:hAnsi="Times New Roman" w:eastAsia="宋体" w:cs="Times New Roman"/>
                <w:bCs/>
                <w:color w:val="000000" w:themeColor="text1"/>
                <w:sz w:val="24"/>
                <w:lang w:val="en-US" w:eastAsia="zh-CN"/>
                <w14:textFill>
                  <w14:solidFill>
                    <w14:schemeClr w14:val="tx1"/>
                  </w14:solidFill>
                </w14:textFill>
              </w:rPr>
              <w:t>甘肃敦煌雅丹自然保护区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甘肃敦煌雅丹自然保护区位于敦煌市，为省级自然保护区，成立于2001年12月14日，主要保护对象为雅丹地貌等地质遗迹。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⑳</w:t>
            </w:r>
            <w:r>
              <w:rPr>
                <w:rFonts w:hint="eastAsia" w:ascii="Times New Roman" w:hAnsi="Times New Roman" w:eastAsia="宋体" w:cs="Times New Roman"/>
                <w:bCs/>
                <w:color w:val="000000" w:themeColor="text1"/>
                <w:sz w:val="24"/>
                <w:lang w:val="en-US" w:eastAsia="zh-CN"/>
                <w14:textFill>
                  <w14:solidFill>
                    <w14:schemeClr w14:val="tx1"/>
                  </w14:solidFill>
                </w14:textFill>
              </w:rPr>
              <w:t>甘肃马鬃山自然保护区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甘肃马鬃山自然保护区位于肃北蒙古族自治县，成立于2001年4月10日，为省级自然保护区，主要保护对象为岩山等野生动物。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㉑内蒙古额济纳胡杨林国家级自然保护区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内蒙古额济纳胡杨林国家级自然保护区位于额济纳旗的中心位置—额济纳绿洲，西邻额济纳旗政府驻地达来呼布镇，北临居延海。地理坐标为东经101º03′～101º17′，北纬41º 30′～42º 07′，属野生植物类型自然保护区。保护区总面积26253hm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，核心区面积为8774hm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，缓冲区面积为10018 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，实验区面积为7461hm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巴丹吉林盆地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w:t>
            </w:r>
            <w:r>
              <w:rPr>
                <w:rFonts w:hint="eastAsia"/>
                <w:color w:val="000000" w:themeColor="text1"/>
                <w:sz w:val="24"/>
                <w:lang w:val="en-US" w:eastAsia="zh-CN"/>
                <w14:textFill>
                  <w14:solidFill>
                    <w14:schemeClr w14:val="tx1"/>
                  </w14:solidFill>
                </w14:textFill>
              </w:rPr>
              <w:t>ZK9-2与其最近，距离为25.6</w:t>
            </w:r>
            <w:r>
              <w:rPr>
                <w:rFonts w:hint="eastAsia"/>
                <w:color w:val="000000" w:themeColor="text1"/>
                <w:sz w:val="24"/>
                <w:shd w:val="clear" w:color="auto" w:fill="auto"/>
                <w:lang w:val="en-US" w:eastAsia="zh-CN"/>
                <w14:textFill>
                  <w14:solidFill>
                    <w14:schemeClr w14:val="tx1"/>
                  </w14:solidFill>
                </w14:textFill>
              </w:rPr>
              <w:t>km</w:t>
            </w:r>
            <w:r>
              <w:rPr>
                <w:rFonts w:hint="eastAsia"/>
                <w:color w:val="000000" w:themeColor="text1"/>
                <w:sz w:val="24"/>
                <w14:textFill>
                  <w14:solidFill>
                    <w14:schemeClr w14:val="tx1"/>
                  </w14:solidFill>
                </w14:textFill>
              </w:rPr>
              <w:t>，不会对该自然保护区产生影响。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微软雅黑" w:cs="Times New Roman"/>
                <w:bCs/>
                <w:color w:val="000000" w:themeColor="text1"/>
                <w:sz w:val="24"/>
                <w:lang w:val="en-US" w:eastAsia="zh-CN"/>
                <w14:textFill>
                  <w14:solidFill>
                    <w14:schemeClr w14:val="tx1"/>
                  </w14:solidFill>
                </w14:textFill>
              </w:rPr>
              <w:t>㉒</w:t>
            </w:r>
            <w:r>
              <w:rPr>
                <w:rFonts w:hint="default" w:ascii="Times New Roman" w:hAnsi="Times New Roman" w:eastAsia="宋体" w:cs="Times New Roman"/>
                <w:bCs/>
                <w:color w:val="000000" w:themeColor="text1"/>
                <w:sz w:val="24"/>
                <w:lang w:val="en-US" w:eastAsia="zh-CN"/>
                <w14:textFill>
                  <w14:solidFill>
                    <w14:schemeClr w14:val="tx1"/>
                  </w14:solidFill>
                </w14:textFill>
              </w:rPr>
              <w:t>内蒙古宝日乌拉胡杨林自治区级自然保护区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内蒙古宝日乌拉胡杨林自治区级自然保护区位于内蒙古阿拉善盟额济纳旗，主要保护对象为胡杨林及其生态环境。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该保护区位于</w:t>
            </w:r>
            <w:r>
              <w:rPr>
                <w:rFonts w:hint="default" w:ascii="Times New Roman" w:hAnsi="Times New Roman" w:cs="Times New Roman"/>
                <w:color w:val="000000" w:themeColor="text1"/>
                <w:sz w:val="24"/>
                <w:lang w:val="en-US" w:eastAsia="zh-CN"/>
                <w14:textFill>
                  <w14:solidFill>
                    <w14:schemeClr w14:val="tx1"/>
                  </w14:solidFill>
                </w14:textFill>
              </w:rPr>
              <w:t>巴丹吉林盆地</w:t>
            </w:r>
            <w:r>
              <w:rPr>
                <w:rFonts w:hint="default" w:ascii="Times New Roman" w:hAnsi="Times New Roman" w:cs="Times New Roman"/>
                <w:color w:val="000000" w:themeColor="text1"/>
                <w:sz w:val="24"/>
                <w:lang w:val="en-GB"/>
                <w14:textFill>
                  <w14:solidFill>
                    <w14:schemeClr w14:val="tx1"/>
                  </w14:solidFill>
                </w14:textFill>
              </w:rPr>
              <w:t>内</w:t>
            </w:r>
            <w:r>
              <w:rPr>
                <w:rFonts w:hint="default" w:ascii="Times New Roman" w:hAnsi="Times New Roman" w:cs="Times New Roman"/>
                <w:color w:val="000000" w:themeColor="text1"/>
                <w:sz w:val="24"/>
                <w14:textFill>
                  <w14:solidFill>
                    <w14:schemeClr w14:val="tx1"/>
                  </w14:solidFill>
                </w14:textFill>
              </w:rPr>
              <w:t>，202</w:t>
            </w:r>
            <w:r>
              <w:rPr>
                <w:rFonts w:hint="default" w:ascii="Times New Roman" w:hAnsi="Times New Roman"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14:textFill>
                  <w14:solidFill>
                    <w14:schemeClr w14:val="tx1"/>
                  </w14:solidFill>
                </w14:textFill>
              </w:rPr>
              <w:t>年拟布设的</w:t>
            </w:r>
            <w:r>
              <w:rPr>
                <w:rFonts w:hint="default" w:ascii="Times New Roman" w:hAnsi="Times New Roman" w:cs="Times New Roman"/>
                <w:color w:val="000000" w:themeColor="text1"/>
                <w:sz w:val="24"/>
                <w:lang w:val="en-US" w:eastAsia="zh-CN"/>
                <w14:textFill>
                  <w14:solidFill>
                    <w14:schemeClr w14:val="tx1"/>
                  </w14:solidFill>
                </w14:textFill>
              </w:rPr>
              <w:t>ZK7-2与其最近，距离为</w:t>
            </w:r>
            <w:r>
              <w:rPr>
                <w:rFonts w:hint="eastAsia" w:cs="Times New Roman"/>
                <w:color w:val="000000" w:themeColor="text1"/>
                <w:sz w:val="24"/>
                <w:lang w:val="en-US" w:eastAsia="zh-CN"/>
                <w14:textFill>
                  <w14:solidFill>
                    <w14:schemeClr w14:val="tx1"/>
                  </w14:solidFill>
                </w14:textFill>
              </w:rPr>
              <w:t>67</w:t>
            </w:r>
            <w:r>
              <w:rPr>
                <w:rFonts w:hint="default" w:ascii="Times New Roman" w:hAnsi="Times New Roman" w:cs="Times New Roman"/>
                <w:color w:val="000000" w:themeColor="text1"/>
                <w:sz w:val="24"/>
                <w:lang w:val="en-US" w:eastAsia="zh-CN"/>
                <w14:textFill>
                  <w14:solidFill>
                    <w14:schemeClr w14:val="tx1"/>
                  </w14:solidFill>
                </w14:textFill>
              </w:rPr>
              <w:t>km</w:t>
            </w:r>
            <w:r>
              <w:rPr>
                <w:rFonts w:hint="default" w:ascii="Times New Roman" w:hAnsi="Times New Roman" w:cs="Times New Roman"/>
                <w:color w:val="000000" w:themeColor="text1"/>
                <w:sz w:val="24"/>
                <w14:textFill>
                  <w14:solidFill>
                    <w14:schemeClr w14:val="tx1"/>
                  </w14:solidFill>
                </w14:textFill>
              </w:rPr>
              <w:t>，不会对该自然保护区产生影响。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㉓内蒙古额济纳旗马鬃山古生物化石地质遗迹自治区级自然保护区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内蒙古额济纳旗马鬃山古生物化石自治区级自然保护区位于内蒙古自治区西北边陲额济纳旗境内，属额济纳旗西北边的马鬃山苏木所辖。保护区西与甘肃省肃北县邻接，北与蒙古人民共和国交界，南通甘肃省金塔县。保护区总面积52698公顷。算井子分区范围为算井子四周的白垩纪地层，面积21580公顷；上咸水沟分区范围北至上咸水沟，西南至红旗泉北锰矿点，面积26680公顷；南泉分区范围为南泉四周的白垩纪地层，面积4438公顷。该保护区核心总面积4544公顷，缓冲区总面积35298公顷，实验区总面积12856公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该保护区位于</w:t>
            </w:r>
            <w:r>
              <w:rPr>
                <w:rFonts w:hint="eastAsia" w:cs="Times New Roman"/>
                <w:color w:val="000000" w:themeColor="text1"/>
                <w:sz w:val="24"/>
                <w:lang w:val="en-US" w:eastAsia="zh-CN"/>
                <w14:textFill>
                  <w14:solidFill>
                    <w14:schemeClr w14:val="tx1"/>
                  </w14:solidFill>
                </w14:textFill>
              </w:rPr>
              <w:t>北山地区</w:t>
            </w:r>
            <w:r>
              <w:rPr>
                <w:rFonts w:hint="default" w:ascii="Times New Roman" w:hAnsi="Times New Roman" w:cs="Times New Roman"/>
                <w:color w:val="000000" w:themeColor="text1"/>
                <w:sz w:val="24"/>
                <w:lang w:val="en-GB"/>
                <w14:textFill>
                  <w14:solidFill>
                    <w14:schemeClr w14:val="tx1"/>
                  </w14:solidFill>
                </w14:textFill>
              </w:rPr>
              <w:t>内</w:t>
            </w:r>
            <w:r>
              <w:rPr>
                <w:rFonts w:hint="default" w:ascii="Times New Roman" w:hAnsi="Times New Roman" w:cs="Times New Roman"/>
                <w:color w:val="000000" w:themeColor="text1"/>
                <w:sz w:val="24"/>
                <w14:textFill>
                  <w14:solidFill>
                    <w14:schemeClr w14:val="tx1"/>
                  </w14:solidFill>
                </w14:textFill>
              </w:rPr>
              <w:t>，</w:t>
            </w:r>
            <w:r>
              <w:rPr>
                <w:rFonts w:hint="eastAsia" w:cs="Times New Roman"/>
                <w:color w:val="000000" w:themeColor="text1"/>
                <w:sz w:val="24"/>
                <w:lang w:val="en-US" w:eastAsia="zh-CN"/>
                <w14:textFill>
                  <w14:solidFill>
                    <w14:schemeClr w14:val="tx1"/>
                  </w14:solidFill>
                </w14:textFill>
              </w:rPr>
              <w:t>北山地区</w:t>
            </w:r>
            <w:r>
              <w:rPr>
                <w:rFonts w:hint="default" w:ascii="Times New Roman" w:hAnsi="Times New Roman" w:cs="Times New Roman"/>
                <w:color w:val="000000" w:themeColor="text1"/>
                <w:sz w:val="24"/>
                <w:lang w:val="en-US" w:eastAsia="zh-CN"/>
                <w14:textFill>
                  <w14:solidFill>
                    <w14:schemeClr w14:val="tx1"/>
                  </w14:solidFill>
                </w14:textFill>
              </w:rPr>
              <w:t>为2023-2026拟设钻孔区域，具体钻孔位置尚未确定。因此，本次评价要求钻孔具体施工时，应对</w:t>
            </w:r>
            <w:r>
              <w:rPr>
                <w:rFonts w:hint="eastAsia" w:cs="Times New Roman"/>
                <w:color w:val="000000" w:themeColor="text1"/>
                <w:sz w:val="24"/>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㉔内蒙古额济纳旗梭梭林自治区级自然保护区</w:t>
            </w:r>
          </w:p>
          <w:p>
            <w:pPr>
              <w:spacing w:line="360" w:lineRule="auto"/>
              <w:ind w:firstLine="480" w:firstLineChars="200"/>
              <w:rPr>
                <w:rFonts w:hint="default" w:ascii="Times New Roman" w:hAnsi="Times New Roman" w:cs="Times New Roman"/>
                <w:snapToGrid w:val="0"/>
                <w:color w:val="000000" w:themeColor="text1"/>
                <w:kern w:val="0"/>
                <w:sz w:val="24"/>
                <w14:textFill>
                  <w14:solidFill>
                    <w14:schemeClr w14:val="tx1"/>
                  </w14:solidFill>
                </w14:textFill>
              </w:rPr>
            </w:pPr>
            <w:r>
              <w:rPr>
                <w:rFonts w:hint="default" w:ascii="Times New Roman" w:hAnsi="Times New Roman" w:cs="Times New Roman"/>
                <w:snapToGrid w:val="0"/>
                <w:color w:val="000000" w:themeColor="text1"/>
                <w:kern w:val="0"/>
                <w:sz w:val="24"/>
                <w14:textFill>
                  <w14:solidFill>
                    <w14:schemeClr w14:val="tx1"/>
                  </w14:solidFill>
                </w14:textFill>
              </w:rPr>
              <w:t>额济纳旗梭梭林自然保护区，总面积66667m</w:t>
            </w:r>
            <w:r>
              <w:rPr>
                <w:rFonts w:hint="default" w:ascii="Times New Roman" w:hAnsi="Times New Roman" w:cs="Times New Roman"/>
                <w:snapToGrid w:val="0"/>
                <w:color w:val="000000" w:themeColor="text1"/>
                <w:kern w:val="0"/>
                <w:sz w:val="24"/>
                <w:vertAlign w:val="superscript"/>
                <w14:textFill>
                  <w14:solidFill>
                    <w14:schemeClr w14:val="tx1"/>
                  </w14:solidFill>
                </w14:textFill>
              </w:rPr>
              <w:t>2</w:t>
            </w:r>
            <w:r>
              <w:rPr>
                <w:rFonts w:hint="default" w:ascii="Times New Roman" w:hAnsi="Times New Roman" w:cs="Times New Roman"/>
                <w:snapToGrid w:val="0"/>
                <w:color w:val="000000" w:themeColor="text1"/>
                <w:kern w:val="0"/>
                <w:sz w:val="24"/>
                <w14:textFill>
                  <w14:solidFill>
                    <w14:schemeClr w14:val="tx1"/>
                  </w14:solidFill>
                </w14:textFill>
              </w:rPr>
              <w:t>，主要保护对象为荒漠生态系统及梭梭林、肉苁蓉等野生动植物，荒漠生态。</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该保护区位于</w:t>
            </w:r>
            <w:r>
              <w:rPr>
                <w:rFonts w:hint="eastAsia" w:cs="Times New Roman"/>
                <w:color w:val="000000" w:themeColor="text1"/>
                <w:sz w:val="24"/>
                <w:lang w:val="en-US" w:eastAsia="zh-CN"/>
                <w14:textFill>
                  <w14:solidFill>
                    <w14:schemeClr w14:val="tx1"/>
                  </w14:solidFill>
                </w14:textFill>
              </w:rPr>
              <w:t>北山地区</w:t>
            </w:r>
            <w:r>
              <w:rPr>
                <w:rFonts w:hint="default" w:ascii="Times New Roman" w:hAnsi="Times New Roman" w:cs="Times New Roman"/>
                <w:color w:val="000000" w:themeColor="text1"/>
                <w:sz w:val="24"/>
                <w:lang w:val="en-GB"/>
                <w14:textFill>
                  <w14:solidFill>
                    <w14:schemeClr w14:val="tx1"/>
                  </w14:solidFill>
                </w14:textFill>
              </w:rPr>
              <w:t>内</w:t>
            </w:r>
            <w:r>
              <w:rPr>
                <w:rFonts w:hint="default" w:ascii="Times New Roman" w:hAnsi="Times New Roman" w:cs="Times New Roman"/>
                <w:color w:val="000000" w:themeColor="text1"/>
                <w:sz w:val="24"/>
                <w14:textFill>
                  <w14:solidFill>
                    <w14:schemeClr w14:val="tx1"/>
                  </w14:solidFill>
                </w14:textFill>
              </w:rPr>
              <w:t>，</w:t>
            </w:r>
            <w:r>
              <w:rPr>
                <w:rFonts w:hint="eastAsia" w:cs="Times New Roman"/>
                <w:color w:val="000000" w:themeColor="text1"/>
                <w:sz w:val="24"/>
                <w:lang w:val="en-US" w:eastAsia="zh-CN"/>
                <w14:textFill>
                  <w14:solidFill>
                    <w14:schemeClr w14:val="tx1"/>
                  </w14:solidFill>
                </w14:textFill>
              </w:rPr>
              <w:t>北山地区</w:t>
            </w:r>
            <w:r>
              <w:rPr>
                <w:rFonts w:hint="default" w:ascii="Times New Roman" w:hAnsi="Times New Roman" w:cs="Times New Roman"/>
                <w:color w:val="000000" w:themeColor="text1"/>
                <w:sz w:val="24"/>
                <w:lang w:val="en-US" w:eastAsia="zh-CN"/>
                <w14:textFill>
                  <w14:solidFill>
                    <w14:schemeClr w14:val="tx1"/>
                  </w14:solidFill>
                </w14:textFill>
              </w:rPr>
              <w:t>为2023-2026拟设钻孔区域，具体钻孔位置尚未确定。因此，本次评价要求钻孔具体施工时，应对</w:t>
            </w:r>
            <w:r>
              <w:rPr>
                <w:rFonts w:hint="eastAsia" w:cs="Times New Roman"/>
                <w:color w:val="000000" w:themeColor="text1"/>
                <w:sz w:val="24"/>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㉕内蒙古腾格里沙漠自治区级自然保护区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内蒙古腾格里沙漠自治区级自然保护区位于内蒙古自治区西部的</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"https://baike.baidu.com/item/%E8%85%BE%E6%A0%BC%E9%87%8C%E6%B2%99%E6%BC%A0/1681257"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腾格里沙漠</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东南缘，包括</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"https://baike.baidu.com/item/%E8%85%BE%E6%A0%BC%E9%87%8C%E9%A2%9D%E9%87%8C%E6%96%AF%E8%8B%8F%E6%9C%A8/8118955"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腾格里额里斯苏木</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"https://baike.baidu.com/item/%E6%B8%A9%E9%83%BD%E5%B0%94%E5%8B%92%E5%9B%BE%E9%95%87/8091653"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温都尔勒图镇</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"https://baike.baidu.com/item/%E5%B7%B4%E6%B6%A6%E5%88%AB%E7%AB%8B%E9%95%87/8094788"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巴润别立镇</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和</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"https://baike.baidu.com/item/%E5%98%89%E5%B0%94%E5%98%8E%E5%8B%92%E8%B5%9B%E6%B1%89%E9%95%87/8094554"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嘉尔嘎勒赛汉镇</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的部分区域，东部延伸至</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"https://baike.baidu.com/item/%E5%98%89%E5%B0%94%E5%98%8E%E5%8B%92%E8%B5%9B%E6%B1%89%E9%95%87/8094554"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嘉尔嘎勒赛汉镇</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西端，西部跨越至</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"https://baike.baidu.com/item/%E6%B8%A9%E9%83%BD%E5%B0%94%E5%8B%92%E5%9B%BE%E9%95%87/8091653"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温都尔勒图镇</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东北，北部覆盖</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"https://baike.baidu.com/item/%E5%98%89%E5%B0%94%E5%98%8E%E5%8B%92%E8%B5%9B%E6%B1%89%E9%95%87/8094554"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嘉尔嘎勒赛汉镇</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南端，南部毗临</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"https://baike.baidu.com/item/%E5%AE%81%E5%A4%8F%E5%9B%9E%E6%97%8F%E8%87%AA%E6%B2%BB%E5%8C%BA/11229891"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宁夏回族自治区</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中卫县。地理坐标介于东经103°55′14″~105°41′18″，北纬37°31′18"~38°26′48"之间，总面积721707公顷，于2003年晋升为自治区级自然保护区。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武腾盆地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（2）风景名胜区</w:t>
            </w:r>
          </w:p>
          <w:p>
            <w:pPr>
              <w:spacing w:line="360" w:lineRule="auto"/>
              <w:ind w:firstLine="480" w:firstLineChars="200"/>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①</w:t>
            </w:r>
            <w:r>
              <w:rPr>
                <w:rFonts w:hint="eastAsia" w:cs="Times New Roman"/>
                <w:b w:val="0"/>
                <w:bCs w:val="0"/>
                <w:color w:val="000000" w:themeColor="text1"/>
                <w:kern w:val="2"/>
                <w:sz w:val="24"/>
                <w:szCs w:val="24"/>
                <w:lang w:val="en-US" w:eastAsia="zh-CN" w:bidi="ar-SA"/>
                <w14:textFill>
                  <w14:solidFill>
                    <w14:schemeClr w14:val="tx1"/>
                  </w14:solidFill>
                </w14:textFill>
              </w:rPr>
              <w:t>大漠胡杨景区</w:t>
            </w:r>
          </w:p>
          <w:p>
            <w:pPr>
              <w:spacing w:line="360" w:lineRule="auto"/>
              <w:ind w:firstLine="480" w:firstLineChars="200"/>
              <w:rPr>
                <w:rFonts w:hint="eastAsia" w:cs="Times New Roman"/>
                <w:bCs/>
                <w:color w:val="000000" w:themeColor="text1"/>
                <w:sz w:val="24"/>
                <w:lang w:val="en-US" w:eastAsia="zh-CN"/>
                <w14:textFill>
                  <w14:solidFill>
                    <w14:schemeClr w14:val="tx1"/>
                  </w14:solidFill>
                </w14:textFill>
              </w:rPr>
            </w:pPr>
            <w:r>
              <w:rPr>
                <w:rFonts w:hint="eastAsia" w:cs="Times New Roman"/>
                <w:bCs/>
                <w:color w:val="000000" w:themeColor="text1"/>
                <w:sz w:val="24"/>
                <w:lang w:val="en-US" w:eastAsia="zh-CN"/>
                <w14:textFill>
                  <w14:solidFill>
                    <w14:schemeClr w14:val="tx1"/>
                  </w14:solidFill>
                </w14:textFill>
              </w:rPr>
              <w:t>大漠胡杨景区位于</w:t>
            </w:r>
            <w:r>
              <w:rPr>
                <w:rFonts w:hint="eastAsia" w:cs="Times New Roman"/>
                <w:bCs/>
                <w:color w:val="000000" w:themeColor="text1"/>
                <w:sz w:val="24"/>
                <w:lang w:val="en-US" w:eastAsia="zh-CN"/>
                <w14:textFill>
                  <w14:solidFill>
                    <w14:schemeClr w14:val="tx1"/>
                  </w14:solidFill>
                </w14:textFill>
              </w:rPr>
              <w:fldChar w:fldCharType="begin"/>
            </w:r>
            <w:r>
              <w:rPr>
                <w:rFonts w:hint="eastAsia" w:cs="Times New Roman"/>
                <w:bCs/>
                <w:color w:val="000000" w:themeColor="text1"/>
                <w:sz w:val="24"/>
                <w:lang w:val="en-US" w:eastAsia="zh-CN"/>
                <w14:textFill>
                  <w14:solidFill>
                    <w14:schemeClr w14:val="tx1"/>
                  </w14:solidFill>
                </w14:textFill>
              </w:rPr>
              <w:instrText xml:space="preserve"> HYPERLINK "https://baike.baidu.com/item/%E5%86%85%E8%92%99%E5%8F%A4/173741" \t "https://baike.baidu.com/item/%E5%A4%A7%E6%BC%A0%E8%83%A1%E6%9D%A8%E6%99%AF%E5%8C%BA/_blank" </w:instrText>
            </w:r>
            <w:r>
              <w:rPr>
                <w:rFonts w:hint="eastAsia" w:cs="Times New Roman"/>
                <w:bCs/>
                <w:color w:val="000000" w:themeColor="text1"/>
                <w:sz w:val="24"/>
                <w:lang w:val="en-US" w:eastAsia="zh-CN"/>
                <w14:textFill>
                  <w14:solidFill>
                    <w14:schemeClr w14:val="tx1"/>
                  </w14:solidFill>
                </w14:textFill>
              </w:rPr>
              <w:fldChar w:fldCharType="separate"/>
            </w:r>
            <w:r>
              <w:rPr>
                <w:rFonts w:hint="eastAsia" w:cs="Times New Roman"/>
                <w:bCs/>
                <w:color w:val="000000" w:themeColor="text1"/>
                <w:sz w:val="24"/>
                <w:lang w:val="en-US" w:eastAsia="zh-CN"/>
                <w14:textFill>
                  <w14:solidFill>
                    <w14:schemeClr w14:val="tx1"/>
                  </w14:solidFill>
                </w14:textFill>
              </w:rPr>
              <w:t>内蒙古</w:t>
            </w:r>
            <w:r>
              <w:rPr>
                <w:rFonts w:hint="eastAsia" w:cs="Times New Roman"/>
                <w:bCs/>
                <w:color w:val="000000" w:themeColor="text1"/>
                <w:sz w:val="24"/>
                <w:lang w:val="en-US" w:eastAsia="zh-CN"/>
                <w14:textFill>
                  <w14:solidFill>
                    <w14:schemeClr w14:val="tx1"/>
                  </w14:solidFill>
                </w14:textFill>
              </w:rPr>
              <w:fldChar w:fldCharType="end"/>
            </w:r>
            <w:r>
              <w:rPr>
                <w:rFonts w:hint="eastAsia" w:cs="Times New Roman"/>
                <w:bCs/>
                <w:color w:val="000000" w:themeColor="text1"/>
                <w:sz w:val="24"/>
                <w:lang w:val="en-US" w:eastAsia="zh-CN"/>
                <w14:textFill>
                  <w14:solidFill>
                    <w14:schemeClr w14:val="tx1"/>
                  </w14:solidFill>
                </w14:textFill>
              </w:rPr>
              <w:t>自治区</w:t>
            </w:r>
            <w:r>
              <w:rPr>
                <w:rFonts w:hint="eastAsia" w:cs="Times New Roman"/>
                <w:bCs/>
                <w:color w:val="000000" w:themeColor="text1"/>
                <w:sz w:val="24"/>
                <w:lang w:val="en-US" w:eastAsia="zh-CN"/>
                <w14:textFill>
                  <w14:solidFill>
                    <w14:schemeClr w14:val="tx1"/>
                  </w14:solidFill>
                </w14:textFill>
              </w:rPr>
              <w:fldChar w:fldCharType="begin"/>
            </w:r>
            <w:r>
              <w:rPr>
                <w:rFonts w:hint="eastAsia" w:cs="Times New Roman"/>
                <w:bCs/>
                <w:color w:val="000000" w:themeColor="text1"/>
                <w:sz w:val="24"/>
                <w:lang w:val="en-US" w:eastAsia="zh-CN"/>
                <w14:textFill>
                  <w14:solidFill>
                    <w14:schemeClr w14:val="tx1"/>
                  </w14:solidFill>
                </w14:textFill>
              </w:rPr>
              <w:instrText xml:space="preserve"> HYPERLINK "https://baike.baidu.com/item/%E9%98%BF%E6%8B%89%E5%96%84/11161620" \t "https://baike.baidu.com/item/%E5%A4%A7%E6%BC%A0%E8%83%A1%E6%9D%A8%E6%99%AF%E5%8C%BA/_blank" </w:instrText>
            </w:r>
            <w:r>
              <w:rPr>
                <w:rFonts w:hint="eastAsia" w:cs="Times New Roman"/>
                <w:bCs/>
                <w:color w:val="000000" w:themeColor="text1"/>
                <w:sz w:val="24"/>
                <w:lang w:val="en-US" w:eastAsia="zh-CN"/>
                <w14:textFill>
                  <w14:solidFill>
                    <w14:schemeClr w14:val="tx1"/>
                  </w14:solidFill>
                </w14:textFill>
              </w:rPr>
              <w:fldChar w:fldCharType="separate"/>
            </w:r>
            <w:r>
              <w:rPr>
                <w:rFonts w:hint="eastAsia" w:cs="Times New Roman"/>
                <w:bCs/>
                <w:color w:val="000000" w:themeColor="text1"/>
                <w:sz w:val="24"/>
                <w:lang w:val="en-US" w:eastAsia="zh-CN"/>
                <w14:textFill>
                  <w14:solidFill>
                    <w14:schemeClr w14:val="tx1"/>
                  </w14:solidFill>
                </w14:textFill>
              </w:rPr>
              <w:t>阿拉善</w:t>
            </w:r>
            <w:r>
              <w:rPr>
                <w:rFonts w:hint="eastAsia" w:cs="Times New Roman"/>
                <w:bCs/>
                <w:color w:val="000000" w:themeColor="text1"/>
                <w:sz w:val="24"/>
                <w:lang w:val="en-US" w:eastAsia="zh-CN"/>
                <w14:textFill>
                  <w14:solidFill>
                    <w14:schemeClr w14:val="tx1"/>
                  </w14:solidFill>
                </w14:textFill>
              </w:rPr>
              <w:fldChar w:fldCharType="end"/>
            </w:r>
            <w:r>
              <w:rPr>
                <w:rFonts w:hint="eastAsia" w:cs="Times New Roman"/>
                <w:bCs/>
                <w:color w:val="000000" w:themeColor="text1"/>
                <w:sz w:val="24"/>
                <w:lang w:val="en-US" w:eastAsia="zh-CN"/>
                <w14:textFill>
                  <w14:solidFill>
                    <w14:schemeClr w14:val="tx1"/>
                  </w14:solidFill>
                </w14:textFill>
              </w:rPr>
              <w:t>盟</w:t>
            </w:r>
            <w:r>
              <w:rPr>
                <w:rFonts w:hint="eastAsia" w:cs="Times New Roman"/>
                <w:bCs/>
                <w:color w:val="000000" w:themeColor="text1"/>
                <w:sz w:val="24"/>
                <w:lang w:val="en-US" w:eastAsia="zh-CN"/>
                <w14:textFill>
                  <w14:solidFill>
                    <w14:schemeClr w14:val="tx1"/>
                  </w14:solidFill>
                </w14:textFill>
              </w:rPr>
              <w:fldChar w:fldCharType="begin"/>
            </w:r>
            <w:r>
              <w:rPr>
                <w:rFonts w:hint="eastAsia" w:cs="Times New Roman"/>
                <w:bCs/>
                <w:color w:val="000000" w:themeColor="text1"/>
                <w:sz w:val="24"/>
                <w:lang w:val="en-US" w:eastAsia="zh-CN"/>
                <w14:textFill>
                  <w14:solidFill>
                    <w14:schemeClr w14:val="tx1"/>
                  </w14:solidFill>
                </w14:textFill>
              </w:rPr>
              <w:instrText xml:space="preserve"> HYPERLINK "https://baike.baidu.com/item/%E9%A2%9D%E6%B5%8E%E7%BA%B3%E6%97%97/7611392" \t "https://baike.baidu.com/item/%E5%A4%A7%E6%BC%A0%E8%83%A1%E6%9D%A8%E6%99%AF%E5%8C%BA/_blank" </w:instrText>
            </w:r>
            <w:r>
              <w:rPr>
                <w:rFonts w:hint="eastAsia" w:cs="Times New Roman"/>
                <w:bCs/>
                <w:color w:val="000000" w:themeColor="text1"/>
                <w:sz w:val="24"/>
                <w:lang w:val="en-US" w:eastAsia="zh-CN"/>
                <w14:textFill>
                  <w14:solidFill>
                    <w14:schemeClr w14:val="tx1"/>
                  </w14:solidFill>
                </w14:textFill>
              </w:rPr>
              <w:fldChar w:fldCharType="separate"/>
            </w:r>
            <w:r>
              <w:rPr>
                <w:rFonts w:hint="eastAsia" w:cs="Times New Roman"/>
                <w:bCs/>
                <w:color w:val="000000" w:themeColor="text1"/>
                <w:sz w:val="24"/>
                <w:lang w:val="en-US" w:eastAsia="zh-CN"/>
                <w14:textFill>
                  <w14:solidFill>
                    <w14:schemeClr w14:val="tx1"/>
                  </w14:solidFill>
                </w14:textFill>
              </w:rPr>
              <w:t>额济纳旗</w:t>
            </w:r>
            <w:r>
              <w:rPr>
                <w:rFonts w:hint="eastAsia" w:cs="Times New Roman"/>
                <w:bCs/>
                <w:color w:val="000000" w:themeColor="text1"/>
                <w:sz w:val="24"/>
                <w:lang w:val="en-US" w:eastAsia="zh-CN"/>
                <w14:textFill>
                  <w14:solidFill>
                    <w14:schemeClr w14:val="tx1"/>
                  </w14:solidFill>
                </w14:textFill>
              </w:rPr>
              <w:fldChar w:fldCharType="end"/>
            </w:r>
            <w:r>
              <w:rPr>
                <w:rFonts w:hint="eastAsia" w:cs="Times New Roman"/>
                <w:bCs/>
                <w:color w:val="000000" w:themeColor="text1"/>
                <w:sz w:val="24"/>
                <w:lang w:val="en-US" w:eastAsia="zh-CN"/>
                <w14:textFill>
                  <w14:solidFill>
                    <w14:schemeClr w14:val="tx1"/>
                  </w14:solidFill>
                </w14:textFill>
              </w:rPr>
              <w:fldChar w:fldCharType="begin"/>
            </w:r>
            <w:r>
              <w:rPr>
                <w:rFonts w:hint="eastAsia" w:cs="Times New Roman"/>
                <w:bCs/>
                <w:color w:val="000000" w:themeColor="text1"/>
                <w:sz w:val="24"/>
                <w:lang w:val="en-US" w:eastAsia="zh-CN"/>
                <w14:textFill>
                  <w14:solidFill>
                    <w14:schemeClr w14:val="tx1"/>
                  </w14:solidFill>
                </w14:textFill>
              </w:rPr>
              <w:instrText xml:space="preserve"> HYPERLINK "https://baike.baidu.com/item/%E8%BE%BE%E6%9D%A5%E5%91%BC%E5%B8%83%E9%95%87/8595440" \t "https://baike.baidu.com/item/%E5%A4%A7%E6%BC%A0%E8%83%A1%E6%9D%A8%E6%99%AF%E5%8C%BA/_blank" </w:instrText>
            </w:r>
            <w:r>
              <w:rPr>
                <w:rFonts w:hint="eastAsia" w:cs="Times New Roman"/>
                <w:bCs/>
                <w:color w:val="000000" w:themeColor="text1"/>
                <w:sz w:val="24"/>
                <w:lang w:val="en-US" w:eastAsia="zh-CN"/>
                <w14:textFill>
                  <w14:solidFill>
                    <w14:schemeClr w14:val="tx1"/>
                  </w14:solidFill>
                </w14:textFill>
              </w:rPr>
              <w:fldChar w:fldCharType="separate"/>
            </w:r>
            <w:r>
              <w:rPr>
                <w:rFonts w:hint="eastAsia" w:cs="Times New Roman"/>
                <w:bCs/>
                <w:color w:val="000000" w:themeColor="text1"/>
                <w:sz w:val="24"/>
                <w:lang w:val="en-US" w:eastAsia="zh-CN"/>
                <w14:textFill>
                  <w14:solidFill>
                    <w14:schemeClr w14:val="tx1"/>
                  </w14:solidFill>
                </w14:textFill>
              </w:rPr>
              <w:t>达来呼布镇</w:t>
            </w:r>
            <w:r>
              <w:rPr>
                <w:rFonts w:hint="eastAsia" w:cs="Times New Roman"/>
                <w:bCs/>
                <w:color w:val="000000" w:themeColor="text1"/>
                <w:sz w:val="24"/>
                <w:lang w:val="en-US" w:eastAsia="zh-CN"/>
                <w14:textFill>
                  <w14:solidFill>
                    <w14:schemeClr w14:val="tx1"/>
                  </w14:solidFill>
                </w14:textFill>
              </w:rPr>
              <w:fldChar w:fldCharType="end"/>
            </w:r>
            <w:r>
              <w:rPr>
                <w:rFonts w:hint="eastAsia" w:cs="Times New Roman"/>
                <w:bCs/>
                <w:color w:val="000000" w:themeColor="text1"/>
                <w:sz w:val="24"/>
                <w:lang w:val="en-US" w:eastAsia="zh-CN"/>
                <w14:textFill>
                  <w14:solidFill>
                    <w14:schemeClr w14:val="tx1"/>
                  </w14:solidFill>
                </w14:textFill>
              </w:rPr>
              <w:t>，景区占地面积1500公顷，集沙漠、弱水、红柳、怪树、胡杨林于一体，拥有神奇的自然景观和独特的地域文化，堪称大漠“明珠”。</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该</w:t>
            </w:r>
            <w:r>
              <w:rPr>
                <w:rFonts w:hint="eastAsia" w:cs="Times New Roman"/>
                <w:color w:val="000000" w:themeColor="text1"/>
                <w:sz w:val="24"/>
                <w:lang w:val="en-US" w:eastAsia="zh-CN"/>
                <w14:textFill>
                  <w14:solidFill>
                    <w14:schemeClr w14:val="tx1"/>
                  </w14:solidFill>
                </w14:textFill>
              </w:rPr>
              <w:t>风景名胜区</w:t>
            </w:r>
            <w:r>
              <w:rPr>
                <w:rFonts w:hint="default" w:ascii="Times New Roman" w:hAnsi="Times New Roman" w:cs="Times New Roman"/>
                <w:color w:val="000000" w:themeColor="text1"/>
                <w:sz w:val="24"/>
                <w14:textFill>
                  <w14:solidFill>
                    <w14:schemeClr w14:val="tx1"/>
                  </w14:solidFill>
                </w14:textFill>
              </w:rPr>
              <w:t>位于</w:t>
            </w:r>
            <w:r>
              <w:rPr>
                <w:rFonts w:hint="default" w:ascii="Times New Roman" w:hAnsi="Times New Roman" w:cs="Times New Roman"/>
                <w:color w:val="000000" w:themeColor="text1"/>
                <w:sz w:val="24"/>
                <w:lang w:val="en-US" w:eastAsia="zh-CN"/>
                <w14:textFill>
                  <w14:solidFill>
                    <w14:schemeClr w14:val="tx1"/>
                  </w14:solidFill>
                </w14:textFill>
              </w:rPr>
              <w:t>巴丹吉林盆地</w:t>
            </w:r>
            <w:r>
              <w:rPr>
                <w:rFonts w:hint="default" w:ascii="Times New Roman" w:hAnsi="Times New Roman" w:cs="Times New Roman"/>
                <w:color w:val="000000" w:themeColor="text1"/>
                <w:sz w:val="24"/>
                <w:lang w:val="en-GB"/>
                <w14:textFill>
                  <w14:solidFill>
                    <w14:schemeClr w14:val="tx1"/>
                  </w14:solidFill>
                </w14:textFill>
              </w:rPr>
              <w:t>内</w:t>
            </w:r>
            <w:r>
              <w:rPr>
                <w:rFonts w:hint="default" w:ascii="Times New Roman" w:hAnsi="Times New Roman" w:cs="Times New Roman"/>
                <w:color w:val="000000" w:themeColor="text1"/>
                <w:sz w:val="24"/>
                <w14:textFill>
                  <w14:solidFill>
                    <w14:schemeClr w14:val="tx1"/>
                  </w14:solidFill>
                </w14:textFill>
              </w:rPr>
              <w:t>，202</w:t>
            </w:r>
            <w:r>
              <w:rPr>
                <w:rFonts w:hint="default" w:ascii="Times New Roman" w:hAnsi="Times New Roman"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14:textFill>
                  <w14:solidFill>
                    <w14:schemeClr w14:val="tx1"/>
                  </w14:solidFill>
                </w14:textFill>
              </w:rPr>
              <w:t>年拟布设的</w:t>
            </w:r>
            <w:r>
              <w:rPr>
                <w:rFonts w:hint="default" w:ascii="Times New Roman" w:hAnsi="Times New Roman" w:cs="Times New Roman"/>
                <w:color w:val="000000" w:themeColor="text1"/>
                <w:sz w:val="24"/>
                <w:lang w:val="en-US" w:eastAsia="zh-CN"/>
                <w14:textFill>
                  <w14:solidFill>
                    <w14:schemeClr w14:val="tx1"/>
                  </w14:solidFill>
                </w14:textFill>
              </w:rPr>
              <w:t>ZK</w:t>
            </w:r>
            <w:r>
              <w:rPr>
                <w:rFonts w:hint="eastAsia" w:cs="Times New Roman"/>
                <w:color w:val="000000" w:themeColor="text1"/>
                <w:sz w:val="24"/>
                <w:lang w:val="en-US" w:eastAsia="zh-CN"/>
                <w14:textFill>
                  <w14:solidFill>
                    <w14:schemeClr w14:val="tx1"/>
                  </w14:solidFill>
                </w14:textFill>
              </w:rPr>
              <w:t>0-7</w:t>
            </w:r>
            <w:r>
              <w:rPr>
                <w:rFonts w:hint="default" w:ascii="Times New Roman" w:hAnsi="Times New Roman" w:cs="Times New Roman"/>
                <w:color w:val="000000" w:themeColor="text1"/>
                <w:sz w:val="24"/>
                <w:lang w:val="en-US" w:eastAsia="zh-CN"/>
                <w14:textFill>
                  <w14:solidFill>
                    <w14:schemeClr w14:val="tx1"/>
                  </w14:solidFill>
                </w14:textFill>
              </w:rPr>
              <w:t>与其最近，距离为</w:t>
            </w:r>
            <w:r>
              <w:rPr>
                <w:rFonts w:hint="eastAsia" w:cs="Times New Roman"/>
                <w:color w:val="000000" w:themeColor="text1"/>
                <w:sz w:val="24"/>
                <w:lang w:val="en-US" w:eastAsia="zh-CN"/>
                <w14:textFill>
                  <w14:solidFill>
                    <w14:schemeClr w14:val="tx1"/>
                  </w14:solidFill>
                </w14:textFill>
              </w:rPr>
              <w:t>35</w:t>
            </w:r>
            <w:r>
              <w:rPr>
                <w:rFonts w:hint="default" w:ascii="Times New Roman" w:hAnsi="Times New Roman" w:cs="Times New Roman"/>
                <w:color w:val="000000" w:themeColor="text1"/>
                <w:sz w:val="24"/>
                <w:lang w:val="en-US" w:eastAsia="zh-CN"/>
                <w14:textFill>
                  <w14:solidFill>
                    <w14:schemeClr w14:val="tx1"/>
                  </w14:solidFill>
                </w14:textFill>
              </w:rPr>
              <w:t>km</w:t>
            </w:r>
            <w:r>
              <w:rPr>
                <w:rFonts w:hint="default" w:ascii="Times New Roman" w:hAnsi="Times New Roman" w:cs="Times New Roman"/>
                <w:color w:val="000000" w:themeColor="text1"/>
                <w:sz w:val="24"/>
                <w14:textFill>
                  <w14:solidFill>
                    <w14:schemeClr w14:val="tx1"/>
                  </w14:solidFill>
                </w14:textFill>
              </w:rPr>
              <w:t>，不会对该</w:t>
            </w:r>
            <w:r>
              <w:rPr>
                <w:rFonts w:hint="eastAsia" w:cs="Times New Roman"/>
                <w:color w:val="000000" w:themeColor="text1"/>
                <w:sz w:val="24"/>
                <w:lang w:val="en-US" w:eastAsia="zh-CN"/>
                <w14:textFill>
                  <w14:solidFill>
                    <w14:schemeClr w14:val="tx1"/>
                  </w14:solidFill>
                </w14:textFill>
              </w:rPr>
              <w:t>风景名胜区</w:t>
            </w:r>
            <w:r>
              <w:rPr>
                <w:rFonts w:hint="default" w:ascii="Times New Roman" w:hAnsi="Times New Roman" w:cs="Times New Roman"/>
                <w:color w:val="000000" w:themeColor="text1"/>
                <w:sz w:val="24"/>
                <w14:textFill>
                  <w14:solidFill>
                    <w14:schemeClr w14:val="tx1"/>
                  </w14:solidFill>
                </w14:textFill>
              </w:rPr>
              <w:t>产生影响。</w:t>
            </w:r>
          </w:p>
          <w:p>
            <w:pPr>
              <w:spacing w:line="360" w:lineRule="auto"/>
              <w:ind w:firstLine="480" w:firstLineChars="200"/>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s="Times New Roman"/>
                <w:bCs/>
                <w:color w:val="000000" w:themeColor="text1"/>
                <w:sz w:val="24"/>
                <w:lang w:val="en-US" w:eastAsia="zh-CN"/>
                <w14:textFill>
                  <w14:solidFill>
                    <w14:schemeClr w14:val="tx1"/>
                  </w14:solidFill>
                </w14:textFill>
              </w:rPr>
              <w:t>②</w:t>
            </w:r>
            <w:r>
              <w:rPr>
                <w:rFonts w:hint="eastAsia" w:cs="Times New Roman"/>
                <w:b w:val="0"/>
                <w:bCs w:val="0"/>
                <w:color w:val="000000" w:themeColor="text1"/>
                <w:kern w:val="2"/>
                <w:sz w:val="24"/>
                <w:szCs w:val="24"/>
                <w:lang w:val="en-US" w:eastAsia="zh-CN" w:bidi="ar-SA"/>
                <w14:textFill>
                  <w14:solidFill>
                    <w14:schemeClr w14:val="tx1"/>
                  </w14:solidFill>
                </w14:textFill>
              </w:rPr>
              <w:t>黑城弱水胡杨风景区</w:t>
            </w:r>
          </w:p>
          <w:p>
            <w:pPr>
              <w:spacing w:line="360" w:lineRule="auto"/>
              <w:ind w:firstLine="480" w:firstLineChars="200"/>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黑城弱水胡杨风景区位于内蒙古自治区阿拉善盟额济纳旗213国道（酒航路98公里）旁，占地面积35平方公里，</w:t>
            </w:r>
            <w:r>
              <w:rPr>
                <w:rFonts w:hint="eastAsia" w:cs="Times New Roman"/>
                <w:bCs/>
                <w:color w:val="000000" w:themeColor="text1"/>
                <w:sz w:val="24"/>
                <w:lang w:val="en-US" w:eastAsia="zh-CN"/>
                <w14:textFill>
                  <w14:solidFill>
                    <w14:schemeClr w14:val="tx1"/>
                  </w14:solidFill>
                </w14:textFill>
              </w:rPr>
              <w:t>包括</w:t>
            </w:r>
            <w:r>
              <w:rPr>
                <w:rFonts w:hint="default" w:ascii="Times New Roman" w:hAnsi="Times New Roman" w:eastAsia="宋体" w:cs="Times New Roman"/>
                <w:bCs/>
                <w:color w:val="000000" w:themeColor="text1"/>
                <w:sz w:val="24"/>
                <w:lang w:val="en-US" w:eastAsia="zh-CN"/>
                <w14:textFill>
                  <w14:solidFill>
                    <w14:schemeClr w14:val="tx1"/>
                  </w14:solidFill>
                </w14:textFill>
              </w:rPr>
              <w:t>千年不死胡杨林（弱水胡杨）、千年不朽怪树林、千年秘境黑水城、涅槃重生凤凰林（沙漠胡杨）、柔情三千古弱水和沙漠戈壁探险谷。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该</w:t>
            </w:r>
            <w:r>
              <w:rPr>
                <w:rFonts w:hint="eastAsia" w:cs="Times New Roman"/>
                <w:color w:val="000000" w:themeColor="text1"/>
                <w:sz w:val="24"/>
                <w:lang w:val="en-US" w:eastAsia="zh-CN"/>
                <w14:textFill>
                  <w14:solidFill>
                    <w14:schemeClr w14:val="tx1"/>
                  </w14:solidFill>
                </w14:textFill>
              </w:rPr>
              <w:t>风景名胜区</w:t>
            </w:r>
            <w:r>
              <w:rPr>
                <w:rFonts w:hint="default" w:ascii="Times New Roman" w:hAnsi="Times New Roman" w:cs="Times New Roman"/>
                <w:color w:val="000000" w:themeColor="text1"/>
                <w:sz w:val="24"/>
                <w14:textFill>
                  <w14:solidFill>
                    <w14:schemeClr w14:val="tx1"/>
                  </w14:solidFill>
                </w14:textFill>
              </w:rPr>
              <w:t>位于</w:t>
            </w:r>
            <w:r>
              <w:rPr>
                <w:rFonts w:hint="default" w:ascii="Times New Roman" w:hAnsi="Times New Roman" w:cs="Times New Roman"/>
                <w:color w:val="000000" w:themeColor="text1"/>
                <w:sz w:val="24"/>
                <w:lang w:val="en-US" w:eastAsia="zh-CN"/>
                <w14:textFill>
                  <w14:solidFill>
                    <w14:schemeClr w14:val="tx1"/>
                  </w14:solidFill>
                </w14:textFill>
              </w:rPr>
              <w:t>巴丹吉林盆地</w:t>
            </w:r>
            <w:r>
              <w:rPr>
                <w:rFonts w:hint="default" w:ascii="Times New Roman" w:hAnsi="Times New Roman" w:cs="Times New Roman"/>
                <w:color w:val="000000" w:themeColor="text1"/>
                <w:sz w:val="24"/>
                <w:lang w:val="en-GB"/>
                <w14:textFill>
                  <w14:solidFill>
                    <w14:schemeClr w14:val="tx1"/>
                  </w14:solidFill>
                </w14:textFill>
              </w:rPr>
              <w:t>内</w:t>
            </w:r>
            <w:r>
              <w:rPr>
                <w:rFonts w:hint="default" w:ascii="Times New Roman" w:hAnsi="Times New Roman" w:cs="Times New Roman"/>
                <w:color w:val="000000" w:themeColor="text1"/>
                <w:sz w:val="24"/>
                <w14:textFill>
                  <w14:solidFill>
                    <w14:schemeClr w14:val="tx1"/>
                  </w14:solidFill>
                </w14:textFill>
              </w:rPr>
              <w:t>，202</w:t>
            </w:r>
            <w:r>
              <w:rPr>
                <w:rFonts w:hint="default" w:ascii="Times New Roman" w:hAnsi="Times New Roman"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14:textFill>
                  <w14:solidFill>
                    <w14:schemeClr w14:val="tx1"/>
                  </w14:solidFill>
                </w14:textFill>
              </w:rPr>
              <w:t>年拟布设的</w:t>
            </w:r>
            <w:r>
              <w:rPr>
                <w:rFonts w:hint="default" w:ascii="Times New Roman" w:hAnsi="Times New Roman" w:cs="Times New Roman"/>
                <w:color w:val="000000" w:themeColor="text1"/>
                <w:sz w:val="24"/>
                <w:lang w:val="en-US" w:eastAsia="zh-CN"/>
                <w14:textFill>
                  <w14:solidFill>
                    <w14:schemeClr w14:val="tx1"/>
                  </w14:solidFill>
                </w14:textFill>
              </w:rPr>
              <w:t>ZK</w:t>
            </w:r>
            <w:r>
              <w:rPr>
                <w:rFonts w:hint="eastAsia" w:cs="Times New Roman"/>
                <w:color w:val="000000" w:themeColor="text1"/>
                <w:sz w:val="24"/>
                <w:lang w:val="en-US" w:eastAsia="zh-CN"/>
                <w14:textFill>
                  <w14:solidFill>
                    <w14:schemeClr w14:val="tx1"/>
                  </w14:solidFill>
                </w14:textFill>
              </w:rPr>
              <w:t>0-7</w:t>
            </w:r>
            <w:r>
              <w:rPr>
                <w:rFonts w:hint="default" w:ascii="Times New Roman" w:hAnsi="Times New Roman" w:cs="Times New Roman"/>
                <w:color w:val="000000" w:themeColor="text1"/>
                <w:sz w:val="24"/>
                <w:lang w:val="en-US" w:eastAsia="zh-CN"/>
                <w14:textFill>
                  <w14:solidFill>
                    <w14:schemeClr w14:val="tx1"/>
                  </w14:solidFill>
                </w14:textFill>
              </w:rPr>
              <w:t>与其最近，距离为</w:t>
            </w:r>
            <w:r>
              <w:rPr>
                <w:rFonts w:hint="eastAsia" w:cs="Times New Roman"/>
                <w:color w:val="000000" w:themeColor="text1"/>
                <w:sz w:val="24"/>
                <w:lang w:val="en-US" w:eastAsia="zh-CN"/>
                <w14:textFill>
                  <w14:solidFill>
                    <w14:schemeClr w14:val="tx1"/>
                  </w14:solidFill>
                </w14:textFill>
              </w:rPr>
              <w:t>30.4</w:t>
            </w:r>
            <w:r>
              <w:rPr>
                <w:rFonts w:hint="default" w:ascii="Times New Roman" w:hAnsi="Times New Roman" w:cs="Times New Roman"/>
                <w:color w:val="000000" w:themeColor="text1"/>
                <w:sz w:val="24"/>
                <w:lang w:val="en-US" w:eastAsia="zh-CN"/>
                <w14:textFill>
                  <w14:solidFill>
                    <w14:schemeClr w14:val="tx1"/>
                  </w14:solidFill>
                </w14:textFill>
              </w:rPr>
              <w:t>km</w:t>
            </w:r>
            <w:r>
              <w:rPr>
                <w:rFonts w:hint="default" w:ascii="Times New Roman" w:hAnsi="Times New Roman" w:cs="Times New Roman"/>
                <w:color w:val="000000" w:themeColor="text1"/>
                <w:sz w:val="24"/>
                <w14:textFill>
                  <w14:solidFill>
                    <w14:schemeClr w14:val="tx1"/>
                  </w14:solidFill>
                </w14:textFill>
              </w:rPr>
              <w:t>，不会对该</w:t>
            </w:r>
            <w:r>
              <w:rPr>
                <w:rFonts w:hint="eastAsia" w:cs="Times New Roman"/>
                <w:color w:val="000000" w:themeColor="text1"/>
                <w:sz w:val="24"/>
                <w:lang w:val="en-US" w:eastAsia="zh-CN"/>
                <w14:textFill>
                  <w14:solidFill>
                    <w14:schemeClr w14:val="tx1"/>
                  </w14:solidFill>
                </w14:textFill>
              </w:rPr>
              <w:t>风景名胜区</w:t>
            </w:r>
            <w:r>
              <w:rPr>
                <w:rFonts w:hint="default" w:ascii="Times New Roman" w:hAnsi="Times New Roman" w:cs="Times New Roman"/>
                <w:color w:val="000000" w:themeColor="text1"/>
                <w:sz w:val="24"/>
                <w14:textFill>
                  <w14:solidFill>
                    <w14:schemeClr w14:val="tx1"/>
                  </w14:solidFill>
                </w14:textFill>
              </w:rPr>
              <w:t>产生影响。</w:t>
            </w:r>
          </w:p>
          <w:p>
            <w:pPr>
              <w:spacing w:line="360" w:lineRule="auto"/>
              <w:ind w:firstLine="480" w:firstLineChars="200"/>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s="Times New Roman"/>
                <w:bCs/>
                <w:color w:val="000000" w:themeColor="text1"/>
                <w:sz w:val="24"/>
                <w:lang w:val="en-US" w:eastAsia="zh-CN"/>
                <w14:textFill>
                  <w14:solidFill>
                    <w14:schemeClr w14:val="tx1"/>
                  </w14:solidFill>
                </w14:textFill>
              </w:rPr>
              <w:t>③</w:t>
            </w:r>
            <w:r>
              <w:rPr>
                <w:rFonts w:hint="default" w:ascii="Times New Roman" w:hAnsi="Times New Roman" w:eastAsia="宋体" w:cs="Times New Roman"/>
                <w:bCs/>
                <w:color w:val="000000" w:themeColor="text1"/>
                <w:sz w:val="24"/>
                <w:lang w:val="en-US" w:eastAsia="zh-CN"/>
                <w14:textFill>
                  <w14:solidFill>
                    <w14:schemeClr w14:val="tx1"/>
                  </w14:solidFill>
                </w14:textFill>
              </w:rPr>
              <w:t>鸣沙山</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鸣沙山：鸣沙山月牙泉风景名胜区，位于敦煌城南5km，鸣沙山以沙动成响而得名。东汉称沙角山，俗名神沙山，晋代始称鸣沙山，其山东西长40km，南北宽约20km，主峰海拔1715m。峰恋危峭，山脊如刃，经缩复初；人乘沙流，有鼓角之声，轻若丝竹，重若雷鸣，此即“沙岭晴鸣”。</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风景名胜区</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spacing w:line="360" w:lineRule="auto"/>
              <w:ind w:firstLine="480" w:firstLineChars="200"/>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s="Times New Roman"/>
                <w:bCs/>
                <w:color w:val="000000" w:themeColor="text1"/>
                <w:sz w:val="24"/>
                <w:lang w:val="en-US" w:eastAsia="zh-CN"/>
                <w14:textFill>
                  <w14:solidFill>
                    <w14:schemeClr w14:val="tx1"/>
                  </w14:solidFill>
                </w14:textFill>
              </w:rPr>
              <w:t>④</w:t>
            </w:r>
            <w:r>
              <w:rPr>
                <w:rFonts w:hint="default" w:ascii="Times New Roman" w:hAnsi="Times New Roman" w:eastAsia="宋体" w:cs="Times New Roman"/>
                <w:bCs/>
                <w:color w:val="000000" w:themeColor="text1"/>
                <w:sz w:val="24"/>
                <w:lang w:val="en-US" w:eastAsia="zh-CN"/>
                <w14:textFill>
                  <w14:solidFill>
                    <w14:schemeClr w14:val="tx1"/>
                  </w14:solidFill>
                </w14:textFill>
              </w:rPr>
              <w:t>月牙泉景区</w:t>
            </w:r>
          </w:p>
          <w:p>
            <w:pPr>
              <w:spacing w:line="360" w:lineRule="auto"/>
              <w:ind w:firstLine="480" w:firstLineChars="200"/>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月牙泉：古称沙井，俗称药泉，自汉朝起极为“敦煌八景”之一。月牙泉东西长200m，南北宽25m，泉水平均水深0.8m，有“沙漠第一泉”之称。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风景名胜区</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（3）地质公园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①</w:t>
            </w:r>
            <w:r>
              <w:rPr>
                <w:rFonts w:hint="eastAsia" w:ascii="Times New Roman" w:hAnsi="Times New Roman" w:cs="Times New Roman"/>
                <w:bCs/>
                <w:color w:val="000000" w:themeColor="text1"/>
                <w:sz w:val="24"/>
                <w:lang w:val="en-US" w:eastAsia="zh-CN"/>
                <w14:textFill>
                  <w14:solidFill>
                    <w14:schemeClr w14:val="tx1"/>
                  </w14:solidFill>
                </w14:textFill>
              </w:rPr>
              <w:t>敦煌世界地质公园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敦煌世界地质公园位于</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"https://baike.baidu.com/item/%E7%94%98%E8%82%83"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甘肃</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省</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"https://baike.baidu.com/item/%E6%95%A6%E7%85%8C/6143"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敦煌</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市，由雅丹景区、鸣沙山-月牙泉景区以及自然景观游览区和</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"https://baike.baidu.com/item/%E6%96%87%E5%8C%96%E9%81%97%E5%9D%80"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文化遗址</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游览区组成，面积2180.75平方公里。特殊的地质背景和极端干旱的气候条件形成的地貌景观，与特殊的地理位置和</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"https://baike.baidu.com/item/%E5%8F%A4%E4%B8%9D%E7%BB%B8%E4%B9%8B%E8%B7%AF/7996413"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古丝绸之路</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形成的文化遗址在这里浑然成为一体。雅丹地貌、鸣沙山-月牙泉，以及沙漠、戈壁和西湖湿地是大自然的造化；</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"https://baike.baidu.com/item/%E8%8E%AB%E9%AB%98%E7%AA%9F/303038"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莫高窟</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"https://baike.baidu.com/item/%E5%8F%A4%E4%B8%9D%E7%BB%B8%E4%B9%8B%E8%B7%AF"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古丝绸之路</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文化遗址阳关、</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"https://baike.baidu.com/item/%E7%8E%89%E9%97%A8%E5%85%B3/5869"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玉门关</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以及古军事遗址</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"https://baike.baidu.com/item/%E6%B1%89%E9%95%BF%E5%9F%8E/6099328"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汉长城</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"https://baike.baidu.com/item/%E6%B2%B3%E4%BB%93%E5%9F%8E/8717734"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河仓城</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等则是敦煌文化历史的写照。</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2015年9月19日，敦煌地质公园成功入选</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"https://baike.baidu.com/item/%E8%81%94%E5%90%88%E5%9B%BD%E6%95%99%E7%A7%91%E6%96%87%E7%BB%84%E7%BB%87"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联合国教科文组织</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世界地质公园网络名录，被授予“敦煌世界地质公园”称号。敦煌世界地质公园是</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"https://baike.baidu.com/item/%E7%94%98%E8%82%83"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甘肃</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省首家，全国第32家，世界第113家</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"https://baike.baidu.com/item/%E4%B8%96%E7%95%8C%E5%9C%B0%E8%B4%A8%E5%85%AC%E5%9B%AD/3604728"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世界地质公园</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地质公园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②甘肃敦煌雅丹国家地质公园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敦煌雅丹国家地质公园：位于地质公园西端，距敦煌市区160千米，面积346.35km。雅丹地貌是气候极端干旱区的代表性地貌类型，是约十万年以来风、水为主要营力侵蚀第四纪沉积物的结果。主要景观为规模宏大、气势磅礴的大型垄岗状、墙状和塔柱状等雅丹体，它们拟人似物，栩栩如生，成为了我国西部名副其实的“魔鬼城”，与浩瀚无垠的戈壁、沙漠景观相辅相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地质公园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③玉门硅化木省级地质公园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甘肃玉门硅化木地质公园位于</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"https://baike.baidu.com/item/%E7%8E%89%E9%97%A8%E5%B8%82/2865050" \t "https://baike.baidu.com/item/%E7%A1%85%E5%8C%96%E6%9C%A8%E5%9C%B0%E8%B4%A8%E5%85%AC%E5%9B%AD/_blank"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玉门市</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西北约80km。该园区地处河西走廊西端，系挟持于北祁连扳块缝合线与阿尔金走滑断裂之间的拉分盆地。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地质公园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④肃北公婆泉恐龙地质公园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肃北公婆泉恐龙地质公园位于酒泉肃北县公婆泉盆地，面积为2288.34km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，主体地质遗迹为恐龙等古生物实体及遗迹化石。</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地质公园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北山地区</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⑤永昌县北海子湿地省级地质公园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永昌县北海子湿地风景区位于永昌县城北1km，总面积544hm</w:t>
            </w:r>
            <w:r>
              <w:rPr>
                <w:rFonts w:hint="default"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地质公园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武腾盆地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⑥</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内蒙古阿拉善沙漠世界地质公园</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阿拉善沙漠世界地质公园位于内蒙古自治区最西部的阿拉善盟境内，阿拉善沙漠世界地质公园特殊的地理位置、地质构造、生态环境和气候条件形成了以沙漠、戈壁为主的地质景观，全面反映了我国西北地区风力地质作用形成的各种典型的地质遗迹，是中国、也是世界上唯一系统而完整展示风力地质作用过程和以沙漠地质遗迹为主体的世界地质公园。总面积630.37km</w:t>
            </w:r>
            <w:r>
              <w:rPr>
                <w:rFonts w:hint="default" w:ascii="Times New Roman" w:hAnsi="Times New Roman" w:cs="Times New Roman"/>
                <w:color w:val="000000" w:themeColor="text1"/>
                <w:sz w:val="24"/>
                <w:vertAlign w:val="superscript"/>
                <w14:textFill>
                  <w14:solidFill>
                    <w14:schemeClr w14:val="tx1"/>
                  </w14:solidFill>
                </w14:textFill>
              </w:rPr>
              <w:t>2</w:t>
            </w:r>
            <w:r>
              <w:rPr>
                <w:rFonts w:hint="default" w:ascii="Times New Roman" w:hAnsi="Times New Roman" w:cs="Times New Roman"/>
                <w:color w:val="000000" w:themeColor="text1"/>
                <w:sz w:val="24"/>
                <w14:textFill>
                  <w14:solidFill>
                    <w14:schemeClr w14:val="tx1"/>
                  </w14:solidFill>
                </w14:textFill>
              </w:rPr>
              <w:t>，由巴丹吉林、腾格里和居延3个园区及其所属的10个景区组成。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地质公园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巴丹吉林盆地和武腾盆地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巴丹吉林盆地内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w:t>
            </w:r>
            <w:r>
              <w:rPr>
                <w:rFonts w:hint="eastAsia"/>
                <w:color w:val="000000" w:themeColor="text1"/>
                <w:sz w:val="24"/>
                <w:lang w:val="en-US" w:eastAsia="zh-CN"/>
                <w14:textFill>
                  <w14:solidFill>
                    <w14:schemeClr w14:val="tx1"/>
                  </w14:solidFill>
                </w14:textFill>
              </w:rPr>
              <w:t>ZK9-2与其最近，距离为28km</w:t>
            </w:r>
            <w:r>
              <w:rPr>
                <w:rFonts w:hint="eastAsia"/>
                <w:color w:val="000000" w:themeColor="text1"/>
                <w:sz w:val="24"/>
                <w14:textFill>
                  <w14:solidFill>
                    <w14:schemeClr w14:val="tx1"/>
                  </w14:solidFill>
                </w14:textFill>
              </w:rPr>
              <w:t>，不会对该自然保护区产生影响</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武腾盆地为2023-2026拟设钻孔区域，具体钻孔位置尚未确定。因此，本次评价要求钻孔具体施工时，应对勘查区该环境敏感目标进行避让。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ascii="Times New Roman" w:hAnsi="Times New Roman" w:cs="Times New Roman"/>
                <w:bCs/>
                <w:color w:val="000000" w:themeColor="text1"/>
                <w:sz w:val="24"/>
                <w:lang w:val="en-US" w:eastAsia="zh-CN"/>
                <w14:textFill>
                  <w14:solidFill>
                    <w14:schemeClr w14:val="tx1"/>
                  </w14:solidFill>
                </w14:textFill>
              </w:rPr>
              <w:t>⑦金塔黑河省级质公园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金塔黑河省级地质公园位于甘肃省酒泉市金塔县鼎新镇大墩门水库上游</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黑河自南向北径流</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长约6km</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此段河谷西岸高陡</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东岸宽缓</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河曲十分发育</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有大湾9处</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小湾13处</w:t>
            </w:r>
            <w:r>
              <w:rPr>
                <w:rFonts w:hint="eastAsia" w:ascii="Times New Roman" w:hAnsi="Times New Roman" w:cs="Times New Roman"/>
                <w:bCs/>
                <w:color w:val="000000" w:themeColor="text1"/>
                <w:sz w:val="24"/>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地质公园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4</w:t>
            </w:r>
            <w:r>
              <w:rPr>
                <w:rFonts w:hint="default" w:ascii="Times New Roman" w:hAnsi="Times New Roman" w:cs="Times New Roman"/>
                <w:bCs/>
                <w:color w:val="000000" w:themeColor="text1"/>
                <w:sz w:val="24"/>
                <w:lang w:val="en-US" w:eastAsia="zh-CN"/>
                <w14:textFill>
                  <w14:solidFill>
                    <w14:schemeClr w14:val="tx1"/>
                  </w14:solidFill>
                </w14:textFill>
              </w:rPr>
              <w:t>）森林公园</w:t>
            </w:r>
          </w:p>
          <w:p>
            <w:p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①</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内蒙古额济纳胡杨林国家森林公园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蒙古额济纳胡杨林国家森林公园总面积5636公顷，位于</w:t>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"https://baike.baidu.com/item/%E5%86%85%E8%92%99%E5%8F%A4/173741"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内蒙古</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cs="Times New Roman"/>
                <w:bCs/>
                <w:color w:val="000000" w:themeColor="text1"/>
                <w:sz w:val="24"/>
                <w:lang w:val="en-US" w:eastAsia="zh-CN"/>
                <w14:textFill>
                  <w14:solidFill>
                    <w14:schemeClr w14:val="tx1"/>
                  </w14:solidFill>
                </w14:textFill>
              </w:rPr>
              <w:instrText xml:space="preserve"> HYPERLINK "https://baike.baidu.com/item/%E9%A2%9D%E6%B5%8E%E7%BA%B3%E6%97%97/7611392" \t "https://baike.baidu.com/item/_blank" </w:instrText>
            </w:r>
            <w:r>
              <w:rPr>
                <w:rFonts w:hint="default" w:ascii="Times New Roman" w:hAnsi="Times New Roman"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bCs/>
                <w:color w:val="000000" w:themeColor="text1"/>
                <w:sz w:val="24"/>
                <w:lang w:val="en-US" w:eastAsia="zh-CN"/>
                <w14:textFill>
                  <w14:solidFill>
                    <w14:schemeClr w14:val="tx1"/>
                  </w14:solidFill>
                </w14:textFill>
              </w:rPr>
              <w:t>额济纳旗</w:t>
            </w:r>
            <w:r>
              <w:rPr>
                <w:rFonts w:hint="default" w:ascii="Times New Roman" w:hAnsi="Times New Roman"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cs="Times New Roman"/>
                <w:bCs/>
                <w:color w:val="000000" w:themeColor="text1"/>
                <w:sz w:val="24"/>
                <w:lang w:val="en-US" w:eastAsia="zh-CN"/>
                <w14:textFill>
                  <w14:solidFill>
                    <w14:schemeClr w14:val="tx1"/>
                  </w14:solidFill>
                </w14:textFill>
              </w:rPr>
              <w:t>。集沙漠、戈壁、草原、湖泊、胡杨林于一体，拥有神奇的自然景观和独特的人文景观，堪称阿拉善大漠的一颗璀璨明珠。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森林公园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巴丹吉林盆地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巴丹吉林盆地内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年拟布设的ZK0-7</w:t>
            </w:r>
            <w:r>
              <w:rPr>
                <w:rFonts w:hint="eastAsia"/>
                <w:color w:val="000000" w:themeColor="text1"/>
                <w:sz w:val="24"/>
                <w:lang w:val="en-US" w:eastAsia="zh-CN"/>
                <w14:textFill>
                  <w14:solidFill>
                    <w14:schemeClr w14:val="tx1"/>
                  </w14:solidFill>
                </w14:textFill>
              </w:rPr>
              <w:t>与其最近，距离为37.2km</w:t>
            </w:r>
            <w:r>
              <w:rPr>
                <w:rFonts w:hint="eastAsia"/>
                <w:color w:val="000000" w:themeColor="text1"/>
                <w:sz w:val="24"/>
                <w14:textFill>
                  <w14:solidFill>
                    <w14:schemeClr w14:val="tx1"/>
                  </w14:solidFill>
                </w14:textFill>
              </w:rPr>
              <w:t>，不会对该自然保护区产生影响</w:t>
            </w:r>
            <w:r>
              <w:rPr>
                <w:rFonts w:hint="eastAsia"/>
                <w:color w:val="000000" w:themeColor="text1"/>
                <w:sz w:val="24"/>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cs="Times New Roman"/>
                <w:bCs/>
                <w:color w:val="000000" w:themeColor="text1"/>
                <w:sz w:val="24"/>
                <w:lang w:val="en-US" w:eastAsia="zh-CN"/>
                <w14:textFill>
                  <w14:solidFill>
                    <w14:schemeClr w14:val="tx1"/>
                  </w14:solidFill>
                </w14:textFill>
              </w:rPr>
            </w:pPr>
            <w:r>
              <w:rPr>
                <w:rFonts w:hint="eastAsia" w:cs="Times New Roman"/>
                <w:bCs/>
                <w:color w:val="000000" w:themeColor="text1"/>
                <w:sz w:val="24"/>
                <w:lang w:val="en-US" w:eastAsia="zh-CN"/>
                <w14:textFill>
                  <w14:solidFill>
                    <w14:schemeClr w14:val="tx1"/>
                  </w14:solidFill>
                </w14:textFill>
              </w:rPr>
              <w:t>②敦煌市阳关沙漠森林公园</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阳关沙漠森林公园位于甘肃省敦煌市西南80公里处的南胡林场附近，距阳关故城10公里。1993年开始，在原南胡林场的基础上，当地有关部门陆续建成了葡萄长廊、葡萄观赏区、沙生植物园、动物园、游泳池、儿童娱乐场和南湖度假别墅，这里已成为省级沙漠森林公园，是敦煌阳关旅游县上的重要一景。</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森林公园</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（5）重要湿地</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①</w:t>
            </w:r>
            <w:r>
              <w:rPr>
                <w:rFonts w:hint="default" w:ascii="Times New Roman" w:hAnsi="Times New Roman" w:cs="Times New Roman"/>
                <w:color w:val="000000" w:themeColor="text1"/>
                <w:sz w:val="24"/>
                <w14:textFill>
                  <w14:solidFill>
                    <w14:schemeClr w14:val="tx1"/>
                  </w14:solidFill>
                </w14:textFill>
              </w:rPr>
              <w:t>居延海湿地</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居延海湿地位于内蒙古自治区额济纳旗以北40公里，内蒙古西部沙漠内，邻近中蒙边界。面积约33000公顷，海拔890米。是众多水鸟迁飞时的驿站，是内蒙北方沙漠地区少有的湿地。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该保护区位于</w:t>
            </w:r>
            <w:r>
              <w:rPr>
                <w:rFonts w:hint="eastAsia"/>
                <w:color w:val="000000" w:themeColor="text1"/>
                <w:sz w:val="24"/>
                <w:lang w:val="en-US" w:eastAsia="zh-CN"/>
                <w14:textFill>
                  <w14:solidFill>
                    <w14:schemeClr w14:val="tx1"/>
                  </w14:solidFill>
                </w14:textFill>
              </w:rPr>
              <w:t>巴丹吉林盆地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巴丹吉林盆地内</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年拟布设的ZK</w:t>
            </w:r>
            <w:r>
              <w:rPr>
                <w:rFonts w:hint="eastAsia"/>
                <w:color w:val="000000" w:themeColor="text1"/>
                <w:sz w:val="24"/>
                <w:lang w:val="en-US" w:eastAsia="zh-CN"/>
                <w14:textFill>
                  <w14:solidFill>
                    <w14:schemeClr w14:val="tx1"/>
                  </w14:solidFill>
                </w14:textFill>
              </w:rPr>
              <w:t>9-2与其最近，距离为13.9km</w:t>
            </w:r>
            <w:r>
              <w:rPr>
                <w:rFonts w:hint="eastAsia"/>
                <w:color w:val="000000" w:themeColor="text1"/>
                <w:sz w:val="24"/>
                <w14:textFill>
                  <w14:solidFill>
                    <w14:schemeClr w14:val="tx1"/>
                  </w14:solidFill>
                </w14:textFill>
              </w:rPr>
              <w:t>，不会对该自然保护区产生影响</w:t>
            </w:r>
            <w:r>
              <w:rPr>
                <w:rFonts w:hint="eastAsia"/>
                <w:color w:val="000000" w:themeColor="text1"/>
                <w:sz w:val="24"/>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（6）水源保护地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①嘉峪关饮用水水源保护区</w:t>
            </w:r>
          </w:p>
          <w:p>
            <w:p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嘉峪关饮用水水源保护区为集中式生活饮用水水源地，保护对象为地下水。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水源地</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②北大河饮用水水源保护区</w:t>
            </w:r>
          </w:p>
          <w:p>
            <w:pPr>
              <w:spacing w:line="360" w:lineRule="auto"/>
              <w:ind w:firstLine="480" w:firstLineChars="200"/>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北大河饮用水水源保护区为集中式生活饮用水水源地，保护对象为地下水。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水源地</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世界文化遗产</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kern w:val="2"/>
                <w:sz w:val="24"/>
                <w:szCs w:val="24"/>
                <w:lang w:val="en-US" w:eastAsia="zh-CN" w:bidi="ar-SA"/>
                <w14:textFill>
                  <w14:solidFill>
                    <w14:schemeClr w14:val="tx1"/>
                  </w14:solidFill>
                </w14:textFill>
              </w:rPr>
              <w:t>①甘肃敦煌莫高窟</w:t>
            </w:r>
          </w:p>
          <w:p>
            <w:pPr>
              <w:spacing w:line="360" w:lineRule="auto"/>
              <w:ind w:firstLine="480" w:firstLineChars="200"/>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莫高窟，俗称千佛洞，坐落在</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"https://baike.baidu.com/item/%E6%B2%B3%E8%A5%BF%E8%B5%B0%E5%BB%8A/970766"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河西走廊</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西端的</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"https://baike.baidu.com/item/%E6%95%A6%E7%85%8C/6143"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敦煌</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。它始建于</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"https://baike.baidu.com/item/%E5%89%8D%E7%A7%A6/751438"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前秦</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宣昭帝</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"https://baike.baidu.com/item/%E8%8B%BB%E5%9D%9A/7413811"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苻坚</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时期，后历经</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"https://baike.baidu.com/item/%E5%8C%97%E6%9C%9D/456678"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北朝</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"https://baike.baidu.com/item/%E9%9A%8B%E6%9C%9D/196103"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隋朝</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"https://baike.baidu.com/item/%E5%94%90%E6%9C%9D/53699"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唐朝</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"https://baike.baidu.com/item/%E4%BA%94%E4%BB%A3%E5%8D%81%E5%9B%BD/433599"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五代十国</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"https://baike.baidu.com/item/%E8%A5%BF%E5%A4%8F/698"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西夏</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"https://baike.baidu.com/item/%E5%85%83%E6%9C%9D/266205"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元朝</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等历代的兴建，形成巨大的规模，有洞窟735个，壁画4.5万</w:t>
            </w:r>
            <w:r>
              <w:rPr>
                <w:rFonts w:hint="eastAsia" w:ascii="Times New Roman" w:hAnsi="Times New Roman" w:eastAsia="宋体" w:cs="Times New Roman"/>
                <w:bCs/>
                <w:color w:val="000000" w:themeColor="text1"/>
                <w:sz w:val="24"/>
                <w:lang w:val="en-US" w:eastAsia="zh-CN"/>
                <w14:textFill>
                  <w14:solidFill>
                    <w14:schemeClr w14:val="tx1"/>
                  </w14:solidFill>
                </w14:textFill>
              </w:rPr>
              <w:t>m</w:t>
            </w:r>
            <w:r>
              <w:rPr>
                <w:rFonts w:hint="eastAsia" w:ascii="Times New Roman" w:hAnsi="Times New Roman" w:eastAsia="宋体"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eastAsia="宋体" w:cs="Times New Roman"/>
                <w:bCs/>
                <w:color w:val="000000" w:themeColor="text1"/>
                <w:sz w:val="24"/>
                <w:lang w:val="en-US" w:eastAsia="zh-CN"/>
                <w14:textFill>
                  <w14:solidFill>
                    <w14:schemeClr w14:val="tx1"/>
                  </w14:solidFill>
                </w14:textFill>
              </w:rPr>
              <w:t>、泥质彩塑2415尊，是</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"https://baike.baidu.com/item/%E4%B8%96%E7%95%8C/24458"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世界</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上现存规模最大、内容最丰富的</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4"/>
                <w:lang w:val="en-US" w:eastAsia="zh-CN"/>
                <w14:textFill>
                  <w14:solidFill>
                    <w14:schemeClr w14:val="tx1"/>
                  </w14:solidFill>
                </w14:textFill>
              </w:rPr>
              <w:instrText xml:space="preserve"> HYPERLINK "https://baike.baidu.com/item/%E4%BD%9B%E6%95%99%E8%89%BA%E6%9C%AF/1452397" \t "https://baike.baidu.com/item/%E8%8E%AB%E9%AB%98%E7%AA%9F/_blank" </w:instrTex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4"/>
                <w:lang w:val="en-US" w:eastAsia="zh-CN"/>
                <w14:textFill>
                  <w14:solidFill>
                    <w14:schemeClr w14:val="tx1"/>
                  </w14:solidFill>
                </w14:textFill>
              </w:rPr>
              <w:t>佛教艺术</w:t>
            </w:r>
            <w:r>
              <w:rPr>
                <w:rFonts w:hint="default" w:ascii="Times New Roman" w:hAnsi="Times New Roman" w:eastAsia="宋体" w:cs="Times New Roman"/>
                <w:bCs/>
                <w:color w:val="000000" w:themeColor="text1"/>
                <w:sz w:val="24"/>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4"/>
                <w:lang w:val="en-US" w:eastAsia="zh-CN"/>
                <w14:textFill>
                  <w14:solidFill>
                    <w14:schemeClr w14:val="tx1"/>
                  </w14:solidFill>
                </w14:textFill>
              </w:rPr>
              <w:t>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文化遗产</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②甘肃嘉峪关关城</w:t>
            </w:r>
          </w:p>
          <w:p>
            <w:pPr>
              <w:pStyle w:val="18"/>
              <w:numPr>
                <w:ilvl w:val="0"/>
                <w:numId w:val="0"/>
              </w:numPr>
              <w:spacing w:line="360" w:lineRule="auto"/>
              <w:ind w:leftChars="0"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嘉峪关关城在</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"https://baike.baidu.com/item/%E5%98%89%E5%B3%AA%E5%85%B3" \t "https://baike.baidu.com/item/%E5%98%89%E5%B3%AA%E5%85%B3%E5%85%B3%E5%9F%8E/_blank" </w:instrTex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嘉峪关</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市区西南6公里处，位于嘉峪关最狭窄的山谷中部，地势最高的嘉峪山上，城关两翼的城墙横穿沙漠戈壁，向北8公里连黑山</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"https://baike.baidu.com/item/%E6%82%AC%E5%A3%81%E9%95%BF%E5%9F%8E/8886324" \t "https://baike.baidu.com/item/%E5%98%89%E5%B3%AA%E5%85%B3%E5%85%B3%E5%9F%8E/_blank" </w:instrTex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悬壁长城</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，向南7公里，接天下第一墩，是明代万里长城西端</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"https://baike.baidu.com/item/%E4%B8%BB%E5%AE%B0" \t "https://baike.baidu.com/item/%E5%98%89%E5%B3%AA%E5%85%B3%E5%85%B3%E5%9F%8E/_blank" </w:instrTex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主宰</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，自古为河西第一隘口。关城始建于明洪武五年(1372年)，从初建到筑成一座完整的</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"https://baike.baidu.com/item/%E5%85%B3%E9%9A%98/165816" \t "https://baike.baidu.com/item/%E5%98%89%E5%B3%AA%E5%85%B3%E5%85%B3%E5%9F%8E/_blank" </w:instrTex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关隘</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，经历了168年（1372－1539年）的时间，是</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"https://baike.baidu.com/item/%E6%98%8E%E4%BB%A3%E9%95%BF%E5%9F%8E/11058648" \t "https://baike.baidu.com/item/%E5%98%89%E5%B3%AA%E5%85%B3%E5%85%B3%E5%9F%8E/_blank" </w:instrTex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明代长城</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沿线九镇所辖千余个关隘中最雄险的一座，保存完好。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该</w:t>
            </w:r>
            <w:r>
              <w:rPr>
                <w:rFonts w:hint="eastAsia"/>
                <w:color w:val="000000" w:themeColor="text1"/>
                <w:sz w:val="24"/>
                <w:lang w:val="en-US" w:eastAsia="zh-CN"/>
                <w14:textFill>
                  <w14:solidFill>
                    <w14:schemeClr w14:val="tx1"/>
                  </w14:solidFill>
                </w14:textFill>
              </w:rPr>
              <w:t>文化遗产</w:t>
            </w:r>
            <w:r>
              <w:rPr>
                <w:rFonts w:hint="eastAsia"/>
                <w:color w:val="000000" w:themeColor="text1"/>
                <w:sz w:val="24"/>
                <w14:textFill>
                  <w14:solidFill>
                    <w14:schemeClr w14:val="tx1"/>
                  </w14:solidFill>
                </w14:textFill>
              </w:rPr>
              <w:t>位于</w:t>
            </w:r>
            <w:r>
              <w:rPr>
                <w:rFonts w:hint="eastAsia"/>
                <w:color w:val="000000" w:themeColor="text1"/>
                <w:sz w:val="24"/>
                <w:lang w:val="en-US" w:eastAsia="zh-CN"/>
                <w14:textFill>
                  <w14:solidFill>
                    <w14:schemeClr w14:val="tx1"/>
                  </w14:solidFill>
                </w14:textFill>
              </w:rPr>
              <w:t>走廊盆地</w:t>
            </w:r>
            <w:r>
              <w:rPr>
                <w:rFonts w:hint="eastAsia"/>
                <w:color w:val="000000" w:themeColor="text1"/>
                <w:sz w:val="24"/>
                <w:lang w:val="en-GB"/>
                <w14:textFill>
                  <w14:solidFill>
                    <w14:schemeClr w14:val="tx1"/>
                  </w14:solidFill>
                </w14:textFill>
              </w:rPr>
              <w:t>内</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为2023-2026拟设钻孔区域，具体钻孔位置尚未确定。因此，本次评价要求钻孔具体施工时，应对勘查区该环境敏感目标进行避让。</w:t>
            </w:r>
          </w:p>
          <w:p>
            <w:pPr>
              <w:pStyle w:val="18"/>
              <w:numPr>
                <w:ilvl w:val="0"/>
                <w:numId w:val="0"/>
              </w:numPr>
              <w:spacing w:line="360" w:lineRule="auto"/>
              <w:ind w:leftChars="0" w:firstLine="462" w:firstLineChars="200"/>
              <w:rPr>
                <w:rFonts w:hint="eastAsia"/>
                <w:b/>
                <w:color w:val="000000" w:themeColor="text1"/>
                <w:sz w:val="24"/>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年拟布设钻孔在勘查中会根据实际情况进行调整，同时</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钻孔位置尚未确定。因此，评价要求</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年钻孔调整以及</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拟布设的钻孔具体施工时，应对</w:t>
            </w:r>
            <w:r>
              <w:rPr>
                <w:rFonts w:hint="eastAsia" w:ascii="宋体" w:hAnsi="宋体" w:cs="宋体"/>
                <w:b/>
                <w:bCs/>
                <w:color w:val="000000" w:themeColor="text1"/>
                <w:kern w:val="0"/>
                <w:sz w:val="23"/>
                <w:szCs w:val="23"/>
                <w:lang w:val="en-US" w:eastAsia="zh-CN" w:bidi="ar"/>
                <w14:textFill>
                  <w14:solidFill>
                    <w14:schemeClr w14:val="tx1"/>
                  </w14:solidFill>
                </w14:textFill>
              </w:rPr>
              <w:t>勘查区</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内环境敏感区的进行避让。</w:t>
            </w:r>
          </w:p>
          <w:p>
            <w:pPr>
              <w:pStyle w:val="1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8、</w:t>
            </w:r>
            <w:r>
              <w:rPr>
                <w:b/>
                <w:color w:val="000000" w:themeColor="text1"/>
                <w:sz w:val="24"/>
                <w14:textFill>
                  <w14:solidFill>
                    <w14:schemeClr w14:val="tx1"/>
                  </w14:solidFill>
                </w14:textFill>
              </w:rPr>
              <w:t>环境风险</w:t>
            </w:r>
            <w:r>
              <w:rPr>
                <w:rFonts w:hint="eastAsia"/>
                <w:b/>
                <w:color w:val="000000" w:themeColor="text1"/>
                <w:sz w:val="24"/>
                <w14:textFill>
                  <w14:solidFill>
                    <w14:schemeClr w14:val="tx1"/>
                  </w14:solidFill>
                </w14:textFill>
              </w:rPr>
              <w:t>评价</w:t>
            </w:r>
          </w:p>
          <w:p>
            <w:pPr>
              <w:pStyle w:val="16"/>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22" w:name="_Toc15047099"/>
            <w:r>
              <w:rPr>
                <w:rFonts w:hint="eastAsia" w:ascii="Times New Roman" w:hAnsi="Times New Roman" w:cs="Times New Roman"/>
                <w:b/>
                <w:bCs/>
                <w:color w:val="000000" w:themeColor="text1"/>
                <w14:textFill>
                  <w14:solidFill>
                    <w14:schemeClr w14:val="tx1"/>
                  </w14:solidFill>
                </w14:textFill>
              </w:rPr>
              <w:t>8.1风险调查</w:t>
            </w:r>
            <w:bookmarkEnd w:id="22"/>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根据《建设项目环境风险评价技术导则》（HJ169-2018）附录B可知，铀矿地质</w:t>
            </w:r>
            <w:r>
              <w:rPr>
                <w:rFonts w:hint="eastAsia"/>
                <w:snapToGrid w:val="0"/>
                <w:color w:val="000000" w:themeColor="text1"/>
                <w:kern w:val="0"/>
                <w:sz w:val="24"/>
                <w:lang w:eastAsia="zh-CN"/>
                <w14:textFill>
                  <w14:solidFill>
                    <w14:schemeClr w14:val="tx1"/>
                  </w14:solidFill>
                </w14:textFill>
              </w:rPr>
              <w:t>勘查</w:t>
            </w:r>
            <w:r>
              <w:rPr>
                <w:rFonts w:hint="eastAsia"/>
                <w:snapToGrid w:val="0"/>
                <w:color w:val="000000" w:themeColor="text1"/>
                <w:kern w:val="0"/>
                <w:sz w:val="24"/>
                <w14:textFill>
                  <w14:solidFill>
                    <w14:schemeClr w14:val="tx1"/>
                  </w14:solidFill>
                </w14:textFill>
              </w:rPr>
              <w:t>项目涉及的危险物质为柴油发电机使用的</w:t>
            </w:r>
            <w:r>
              <w:rPr>
                <w:rFonts w:hint="eastAsia"/>
                <w:color w:val="000000" w:themeColor="text1"/>
                <w:sz w:val="24"/>
                <w14:textFill>
                  <w14:solidFill>
                    <w14:schemeClr w14:val="tx1"/>
                  </w14:solidFill>
                </w14:textFill>
              </w:rPr>
              <w:t>油类物质（柴油），主要风险源为井场储存柴油油料区</w:t>
            </w:r>
            <w:r>
              <w:rPr>
                <w:rFonts w:hint="eastAsia"/>
                <w:snapToGrid w:val="0"/>
                <w:color w:val="000000" w:themeColor="text1"/>
                <w:kern w:val="0"/>
                <w:sz w:val="24"/>
                <w14:textFill>
                  <w14:solidFill>
                    <w14:schemeClr w14:val="tx1"/>
                  </w14:solidFill>
                </w14:textFill>
              </w:rPr>
              <w:t>。</w:t>
            </w:r>
          </w:p>
          <w:p>
            <w:pPr>
              <w:pStyle w:val="16"/>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23" w:name="_Toc16675491"/>
            <w:r>
              <w:rPr>
                <w:rFonts w:hint="eastAsia" w:ascii="Times New Roman" w:hAnsi="Times New Roman" w:cs="Times New Roman"/>
                <w:b/>
                <w:bCs/>
                <w:color w:val="000000" w:themeColor="text1"/>
                <w14:textFill>
                  <w14:solidFill>
                    <w14:schemeClr w14:val="tx1"/>
                  </w14:solidFill>
                </w14:textFill>
              </w:rPr>
              <w:t>8.2环境敏感目标</w:t>
            </w:r>
            <w:bookmarkEnd w:id="23"/>
            <w:r>
              <w:rPr>
                <w:rFonts w:hint="eastAsia" w:ascii="Times New Roman" w:hAnsi="Times New Roman" w:cs="Times New Roman"/>
                <w:b/>
                <w:bCs/>
                <w:color w:val="000000" w:themeColor="text1"/>
                <w14:textFill>
                  <w14:solidFill>
                    <w14:schemeClr w14:val="tx1"/>
                  </w14:solidFill>
                </w14:textFill>
              </w:rPr>
              <w:t>调查</w:t>
            </w:r>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项目柴油储区可能的影响途径为大气、地表水、地下水等，本项目环境风险评价范围敏感分布情况见详见表</w:t>
            </w:r>
            <w:r>
              <w:rPr>
                <w:rFonts w:hint="eastAsia"/>
                <w:snapToGrid w:val="0"/>
                <w:color w:val="000000" w:themeColor="text1"/>
                <w:kern w:val="0"/>
                <w:sz w:val="24"/>
                <w:lang w:val="en-US" w:eastAsia="zh-CN"/>
                <w14:textFill>
                  <w14:solidFill>
                    <w14:schemeClr w14:val="tx1"/>
                  </w14:solidFill>
                </w14:textFill>
              </w:rPr>
              <w:t>5-7</w:t>
            </w:r>
            <w:r>
              <w:rPr>
                <w:rFonts w:hint="eastAsia"/>
                <w:snapToGrid w:val="0"/>
                <w:color w:val="000000" w:themeColor="text1"/>
                <w:kern w:val="0"/>
                <w:sz w:val="24"/>
                <w14:textFill>
                  <w14:solidFill>
                    <w14:schemeClr w14:val="tx1"/>
                  </w14:solidFill>
                </w14:textFill>
              </w:rPr>
              <w:t>。</w:t>
            </w:r>
          </w:p>
          <w:p>
            <w:pPr>
              <w:pStyle w:val="16"/>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8.3评价等级判定</w:t>
            </w:r>
          </w:p>
          <w:p>
            <w:pPr>
              <w:adjustRightInd w:val="0"/>
              <w:snapToGrid w:val="0"/>
              <w:spacing w:line="500" w:lineRule="exact"/>
              <w:ind w:right="-321"/>
              <w:outlineLvl w:val="0"/>
              <w:rPr>
                <w:rFonts w:hint="eastAsia" w:ascii="Times New Roman" w:hAnsi="Times New Roman" w:cs="Times New Roman"/>
                <w:b w:val="0"/>
                <w:bCs/>
                <w:color w:val="000000" w:themeColor="text1"/>
                <w:sz w:val="24"/>
                <w:szCs w:val="24"/>
                <w:lang w:eastAsia="zh-CN"/>
                <w14:textFill>
                  <w14:solidFill>
                    <w14:schemeClr w14:val="tx1"/>
                  </w14:solidFill>
                </w14:textFill>
              </w:rPr>
            </w:pPr>
            <w:r>
              <w:rPr>
                <w:rFonts w:hint="eastAsia" w:ascii="Times New Roman" w:hAnsi="Times New Roman" w:cs="Times New Roman"/>
                <w:b w:val="0"/>
                <w:bCs/>
                <w:color w:val="000000" w:themeColor="text1"/>
                <w:sz w:val="24"/>
                <w:szCs w:val="24"/>
                <w:lang w:eastAsia="zh-CN"/>
                <w14:textFill>
                  <w14:solidFill>
                    <w14:schemeClr w14:val="tx1"/>
                  </w14:solidFill>
                </w14:textFill>
              </w:rPr>
              <w:t>8.3.1风险潜势初判</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）附录C，本项目危险物质数量与临界量比值（Q）：</w:t>
            </w:r>
          </w:p>
          <w:p>
            <w:pPr>
              <w:spacing w:line="360" w:lineRule="auto"/>
              <w:jc w:val="center"/>
              <w:rPr>
                <w:color w:val="000000" w:themeColor="text1"/>
                <w:sz w:val="24"/>
                <w14:textFill>
                  <w14:solidFill>
                    <w14:schemeClr w14:val="tx1"/>
                  </w14:solidFill>
                </w14:textFill>
              </w:rPr>
            </w:pPr>
            <w:r>
              <w:rPr>
                <w:color w:val="000000" w:themeColor="text1"/>
                <w14:textFill>
                  <w14:solidFill>
                    <w14:schemeClr w14:val="tx1"/>
                  </w14:solidFill>
                </w14:textFill>
              </w:rPr>
              <w:drawing>
                <wp:inline distT="0" distB="0" distL="0" distR="0">
                  <wp:extent cx="1470660" cy="377190"/>
                  <wp:effectExtent l="0" t="0" r="7620" b="381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2" cstate="screen">
                            <a:extLst>
                              <a:ext uri="{28A0092B-C50C-407E-A947-70E740481C1C}">
                                <a14:useLocalDpi xmlns:a14="http://schemas.microsoft.com/office/drawing/2010/main" val="0"/>
                              </a:ext>
                            </a:extLst>
                          </a:blip>
                          <a:stretch>
                            <a:fillRect/>
                          </a:stretch>
                        </pic:blipFill>
                        <pic:spPr>
                          <a:xfrm>
                            <a:off x="0" y="0"/>
                            <a:ext cx="1558430" cy="400139"/>
                          </a:xfrm>
                          <a:prstGeom prst="rect">
                            <a:avLst/>
                          </a:prstGeom>
                        </pic:spPr>
                      </pic:pic>
                    </a:graphicData>
                  </a:graphic>
                </wp:inline>
              </w:drawing>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式中：q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n</w:t>
            </w:r>
            <w:r>
              <w:rPr>
                <w:rFonts w:hint="eastAsia"/>
                <w:color w:val="000000" w:themeColor="text1"/>
                <w:sz w:val="24"/>
                <w14:textFill>
                  <w14:solidFill>
                    <w14:schemeClr w14:val="tx1"/>
                  </w14:solidFill>
                </w14:textFill>
              </w:rPr>
              <w:t>——每种危险物质的最大存在重量，t；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3</w:t>
            </w:r>
            <w:r>
              <w:rPr>
                <w:rFonts w:hint="eastAsia"/>
                <w:color w:val="000000" w:themeColor="text1"/>
                <w:sz w:val="24"/>
                <w14:textFill>
                  <w14:solidFill>
                    <w14:schemeClr w14:val="tx1"/>
                  </w14:solidFill>
                </w14:textFill>
              </w:rPr>
              <w:t>——每种危险物质的临界量，t；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当Q＜1时，该项目环境风险潜势为Ⅰ。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当Q≥1时，将Q值划分为：（1）1≤Q＜10；（2）10≤Q＜100；（3）Q≥100。</w:t>
            </w:r>
          </w:p>
          <w:p>
            <w:pPr>
              <w:spacing w:line="360" w:lineRule="auto"/>
              <w:ind w:firstLine="480" w:firstLineChars="200"/>
              <w:rPr>
                <w:color w:val="000000" w:themeColor="text1"/>
                <w:sz w:val="24"/>
                <w14:textFill>
                  <w14:solidFill>
                    <w14:schemeClr w14:val="tx1"/>
                  </w14:solidFill>
                </w14:textFill>
              </w:rPr>
            </w:pPr>
            <w:r>
              <w:rPr>
                <w:rFonts w:hint="eastAsia" w:ascii="宋体" w:cs="宋体"/>
                <w:color w:val="000000" w:themeColor="text1"/>
                <w:kern w:val="0"/>
                <w:sz w:val="24"/>
                <w14:textFill>
                  <w14:solidFill>
                    <w14:schemeClr w14:val="tx1"/>
                  </w14:solidFill>
                </w14:textFill>
              </w:rPr>
              <w:t>本项目为铀矿钻探项目，钻探时</w:t>
            </w:r>
            <w:r>
              <w:rPr>
                <w:rFonts w:hint="eastAsia" w:ascii="宋体" w:hAnsi="宋体" w:cs="宋体"/>
                <w:color w:val="000000" w:themeColor="text1"/>
                <w:kern w:val="0"/>
                <w:sz w:val="24"/>
                <w:lang w:bidi="ar"/>
                <w14:textFill>
                  <w14:solidFill>
                    <w14:schemeClr w14:val="tx1"/>
                  </w14:solidFill>
                </w14:textFill>
              </w:rPr>
              <w:t>以柴油作为燃料。经调查，钻探一般为单井进行，一口井钻完再进行下一口，不同时钻探多口井，井场设油料区临时储存柴油，</w:t>
            </w:r>
            <w:r>
              <w:rPr>
                <w:rFonts w:hint="eastAsia"/>
                <w:color w:val="000000" w:themeColor="text1"/>
                <w:sz w:val="24"/>
                <w14:textFill>
                  <w14:solidFill>
                    <w14:schemeClr w14:val="tx1"/>
                  </w14:solidFill>
                </w14:textFill>
              </w:rPr>
              <w:t>油料区柴油储存量为3-5桶（160kg/桶），按最大储存量5桶计算，则最大存在量0.8t。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8</w:t>
            </w:r>
            <w:r>
              <w:rPr>
                <w:rFonts w:hint="eastAsia"/>
                <w:b w:val="0"/>
                <w:bCs w:val="0"/>
                <w:color w:val="000000" w:themeColor="text1"/>
                <w:sz w:val="24"/>
                <w14:textFill>
                  <w14:solidFill>
                    <w14:schemeClr w14:val="tx1"/>
                  </w14:solidFill>
                </w14:textFill>
              </w:rPr>
              <w:t xml:space="preserve">  </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建设项目</w:t>
            </w:r>
            <w:r>
              <w:rPr>
                <w:b w:val="0"/>
                <w:bCs w:val="0"/>
                <w:color w:val="000000" w:themeColor="text1"/>
                <w:sz w:val="24"/>
                <w14:textFill>
                  <w14:solidFill>
                    <w14:schemeClr w14:val="tx1"/>
                  </w14:solidFill>
                </w14:textFill>
              </w:rPr>
              <w:t>Q</w:t>
            </w:r>
            <w:r>
              <w:rPr>
                <w:rFonts w:hint="eastAsia"/>
                <w:b w:val="0"/>
                <w:bCs w:val="0"/>
                <w:color w:val="000000" w:themeColor="text1"/>
                <w:sz w:val="24"/>
                <w14:textFill>
                  <w14:solidFill>
                    <w14:schemeClr w14:val="tx1"/>
                  </w14:solidFill>
                </w14:textFill>
              </w:rPr>
              <w:t>值确定</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987"/>
              <w:gridCol w:w="1315"/>
              <w:gridCol w:w="2222"/>
              <w:gridCol w:w="1741"/>
              <w:gridCol w:w="22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危险物质名称</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CAS号</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最大存在总量q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临界量Q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该种危险物质Q值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柴油</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0.8</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2500</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0.00032</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根据上表，危险物质数量及临界量比值为0.00032，Q＜1，因此本项目</w:t>
            </w:r>
            <w:r>
              <w:rPr>
                <w:color w:val="000000" w:themeColor="text1"/>
                <w:sz w:val="24"/>
                <w14:textFill>
                  <w14:solidFill>
                    <w14:schemeClr w14:val="tx1"/>
                  </w14:solidFill>
                </w14:textFill>
              </w:rPr>
              <w:t>环境风险潜势为Ⅰ</w:t>
            </w:r>
            <w:r>
              <w:rPr>
                <w:rFonts w:hint="eastAsia"/>
                <w:color w:val="000000" w:themeColor="text1"/>
                <w:sz w:val="24"/>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spacing w:line="360" w:lineRule="auto"/>
              <w:ind w:right="-323"/>
              <w:textAlignment w:val="auto"/>
              <w:outlineLvl w:val="0"/>
              <w:rPr>
                <w:rFonts w:ascii="Times New Roman" w:hAnsi="Times New Roman" w:cs="Times New Roman"/>
                <w:b w:val="0"/>
                <w:bCs/>
                <w:color w:val="000000" w:themeColor="text1"/>
                <w:sz w:val="24"/>
                <w:szCs w:val="24"/>
                <w:lang w:eastAsia="zh-CN"/>
                <w14:textFill>
                  <w14:solidFill>
                    <w14:schemeClr w14:val="tx1"/>
                  </w14:solidFill>
                </w14:textFill>
              </w:rPr>
            </w:pPr>
            <w:r>
              <w:rPr>
                <w:rFonts w:hint="eastAsia" w:ascii="Times New Roman" w:hAnsi="Times New Roman" w:cs="Times New Roman"/>
                <w:b w:val="0"/>
                <w:bCs/>
                <w:color w:val="000000" w:themeColor="text1"/>
                <w:sz w:val="24"/>
                <w:szCs w:val="24"/>
                <w:lang w:eastAsia="zh-CN"/>
                <w14:textFill>
                  <w14:solidFill>
                    <w14:schemeClr w14:val="tx1"/>
                  </w14:solidFill>
                </w14:textFill>
              </w:rPr>
              <w:t>8.3.2评价等级划分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）第4</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节，评价工作等级划分见表</w:t>
            </w:r>
            <w:r>
              <w:rPr>
                <w:rFonts w:hint="eastAsia"/>
                <w:color w:val="000000" w:themeColor="text1"/>
                <w:sz w:val="24"/>
                <w:lang w:val="en-US" w:eastAsia="zh-CN"/>
                <w14:textFill>
                  <w14:solidFill>
                    <w14:schemeClr w14:val="tx1"/>
                  </w14:solidFill>
                </w14:textFill>
              </w:rPr>
              <w:t>8</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9</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9</w:t>
            </w:r>
            <w:r>
              <w:rPr>
                <w:b w:val="0"/>
                <w:bCs/>
                <w:color w:val="000000" w:themeColor="text1"/>
                <w:sz w:val="24"/>
                <w14:textFill>
                  <w14:solidFill>
                    <w14:schemeClr w14:val="tx1"/>
                  </w14:solidFill>
                </w14:textFill>
              </w:rPr>
              <w:t xml:space="preserve">  </w:t>
            </w:r>
            <w:r>
              <w:rPr>
                <w:rFonts w:hint="eastAsia"/>
                <w:b w:val="0"/>
                <w:bCs/>
                <w:color w:val="000000" w:themeColor="text1"/>
                <w:sz w:val="24"/>
                <w14:textFill>
                  <w14:solidFill>
                    <w14:schemeClr w14:val="tx1"/>
                  </w14:solidFill>
                </w14:textFill>
              </w:rPr>
              <w:t>评价工作等级划分</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2411"/>
              <w:gridCol w:w="1949"/>
              <w:gridCol w:w="1949"/>
              <w:gridCol w:w="1617"/>
              <w:gridCol w:w="16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环境风险潜势</w:t>
                  </w:r>
                </w:p>
              </w:tc>
              <w:tc>
                <w:tcPr>
                  <w:tcW w:w="1021"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Ⅳ、Ⅳ</w:t>
                  </w:r>
                  <w:r>
                    <w:rPr>
                      <w:rFonts w:eastAsia="宋体" w:cs="Times New Roman"/>
                      <w:color w:val="000000" w:themeColor="text1"/>
                      <w:vertAlign w:val="superscript"/>
                      <w14:textFill>
                        <w14:solidFill>
                          <w14:schemeClr w14:val="tx1"/>
                        </w14:solidFill>
                      </w14:textFill>
                    </w:rPr>
                    <w:t>+</w:t>
                  </w:r>
                </w:p>
              </w:tc>
              <w:tc>
                <w:tcPr>
                  <w:tcW w:w="1021"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Ⅲ</w:t>
                  </w:r>
                </w:p>
              </w:tc>
              <w:tc>
                <w:tcPr>
                  <w:tcW w:w="847"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Ⅱ</w:t>
                  </w:r>
                </w:p>
              </w:tc>
              <w:tc>
                <w:tcPr>
                  <w:tcW w:w="847"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评价工作等级</w:t>
                  </w:r>
                </w:p>
              </w:tc>
              <w:tc>
                <w:tcPr>
                  <w:tcW w:w="1021"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一</w:t>
                  </w:r>
                </w:p>
              </w:tc>
              <w:tc>
                <w:tcPr>
                  <w:tcW w:w="1021"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二</w:t>
                  </w:r>
                </w:p>
              </w:tc>
              <w:tc>
                <w:tcPr>
                  <w:tcW w:w="847"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三</w:t>
                  </w:r>
                </w:p>
              </w:tc>
              <w:tc>
                <w:tcPr>
                  <w:tcW w:w="847" w:type="pct"/>
                  <w:tcBorders>
                    <w:tl2br w:val="nil"/>
                    <w:tr2bl w:val="nil"/>
                  </w:tcBorders>
                  <w:vAlign w:val="center"/>
                </w:tcPr>
                <w:p>
                  <w:pPr>
                    <w:pStyle w:val="2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简单分析</w:t>
                  </w:r>
                  <w:r>
                    <w:rPr>
                      <w:rFonts w:hint="eastAsia" w:eastAsia="宋体" w:cs="Times New Roman"/>
                      <w:color w:val="000000" w:themeColor="text1"/>
                      <w:vertAlign w:val="superscript"/>
                      <w14:textFill>
                        <w14:solidFill>
                          <w14:schemeClr w14:val="tx1"/>
                        </w14:solidFill>
                      </w14:textFill>
                    </w:rPr>
                    <w: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000" w:type="pct"/>
                  <w:gridSpan w:val="5"/>
                  <w:tcBorders>
                    <w:tl2br w:val="nil"/>
                    <w:tr2bl w:val="nil"/>
                  </w:tcBorders>
                  <w:vAlign w:val="center"/>
                </w:tcPr>
                <w:p>
                  <w:pPr>
                    <w:pStyle w:val="23"/>
                    <w:jc w:val="both"/>
                    <w:rPr>
                      <w:rFonts w:eastAsia="宋体" w:cs="Times New Roman"/>
                      <w:color w:val="000000" w:themeColor="text1"/>
                      <w14:textFill>
                        <w14:solidFill>
                          <w14:schemeClr w14:val="tx1"/>
                        </w14:solidFill>
                      </w14:textFill>
                    </w:rPr>
                  </w:pPr>
                  <w:r>
                    <w:rPr>
                      <w:rFonts w:hint="eastAsia" w:eastAsia="宋体" w:cs="Times New Roman"/>
                      <w:color w:val="000000" w:themeColor="text1"/>
                      <w:vertAlign w:val="superscript"/>
                      <w14:textFill>
                        <w14:solidFill>
                          <w14:schemeClr w14:val="tx1"/>
                        </w14:solidFill>
                      </w14:textFill>
                    </w:rPr>
                    <w:t>a</w:t>
                  </w:r>
                  <w:r>
                    <w:rPr>
                      <w:rFonts w:hint="eastAsia" w:eastAsia="宋体" w:cs="Times New Roman"/>
                      <w:color w:val="000000" w:themeColor="text1"/>
                      <w14:textFill>
                        <w14:solidFill>
                          <w14:schemeClr w14:val="tx1"/>
                        </w14:solidFill>
                      </w14:textFill>
                    </w:rPr>
                    <w:t>是相对于详细评价工作内容而言，在描述危险物质、环境影响途径、环境危害后果、风险防范措施等方面给出定性的说明。</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本项目环境风险潜势为</w:t>
            </w:r>
            <w:r>
              <w:rPr>
                <w:color w:val="000000" w:themeColor="text1"/>
                <w:sz w:val="24"/>
                <w14:textFill>
                  <w14:solidFill>
                    <w14:schemeClr w14:val="tx1"/>
                  </w14:solidFill>
                </w14:textFill>
              </w:rPr>
              <w:t>Ⅰ</w:t>
            </w:r>
            <w:r>
              <w:rPr>
                <w:rFonts w:hint="eastAsia"/>
                <w:color w:val="000000" w:themeColor="text1"/>
                <w:sz w:val="24"/>
                <w14:textFill>
                  <w14:solidFill>
                    <w14:schemeClr w14:val="tx1"/>
                  </w14:solidFill>
                </w14:textFill>
              </w:rPr>
              <w:t>，因此评价工作等级为简单分析。</w:t>
            </w:r>
          </w:p>
          <w:p>
            <w:pPr>
              <w:keepNext w:val="0"/>
              <w:keepLines w:val="0"/>
              <w:pageBreakBefore w:val="0"/>
              <w:widowControl w:val="0"/>
              <w:kinsoku/>
              <w:wordWrap/>
              <w:overflowPunct/>
              <w:topLinePunct w:val="0"/>
              <w:autoSpaceDE/>
              <w:autoSpaceDN/>
              <w:bidi w:val="0"/>
              <w:adjustRightInd w:val="0"/>
              <w:snapToGrid/>
              <w:spacing w:line="360" w:lineRule="auto"/>
              <w:ind w:right="-323"/>
              <w:textAlignment w:val="auto"/>
              <w:outlineLvl w:val="0"/>
              <w:rPr>
                <w:rFonts w:hint="eastAsia" w:ascii="Times New Roman" w:hAnsi="Times New Roman" w:cs="Times New Roman"/>
                <w:b w:val="0"/>
                <w:bCs/>
                <w:color w:val="000000" w:themeColor="text1"/>
                <w:sz w:val="24"/>
                <w:szCs w:val="24"/>
                <w:lang w:eastAsia="zh-CN"/>
                <w14:textFill>
                  <w14:solidFill>
                    <w14:schemeClr w14:val="tx1"/>
                  </w14:solidFill>
                </w14:textFill>
              </w:rPr>
            </w:pPr>
            <w:bookmarkStart w:id="24" w:name="_Toc16675492"/>
            <w:r>
              <w:rPr>
                <w:rFonts w:hint="eastAsia" w:ascii="Times New Roman" w:hAnsi="Times New Roman" w:cs="Times New Roman"/>
                <w:b w:val="0"/>
                <w:bCs/>
                <w:color w:val="000000" w:themeColor="text1"/>
                <w:sz w:val="24"/>
                <w:szCs w:val="24"/>
                <w:lang w:eastAsia="zh-CN"/>
                <w14:textFill>
                  <w14:solidFill>
                    <w14:schemeClr w14:val="tx1"/>
                  </w14:solidFill>
                </w14:textFill>
              </w:rPr>
              <w:t>8.3.3环境风险识别</w:t>
            </w:r>
            <w:bookmarkEnd w:id="24"/>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通过对本项目工艺流程及原</w:t>
            </w:r>
            <w:r>
              <w:rPr>
                <w:rFonts w:hint="eastAsia"/>
                <w:color w:val="000000" w:themeColor="text1"/>
                <w:sz w:val="24"/>
                <w14:textFill>
                  <w14:solidFill>
                    <w14:schemeClr w14:val="tx1"/>
                  </w14:solidFill>
                </w14:textFill>
              </w:rPr>
              <w:t>辅材</w:t>
            </w:r>
            <w:r>
              <w:rPr>
                <w:color w:val="000000" w:themeColor="text1"/>
                <w:sz w:val="24"/>
                <w14:textFill>
                  <w14:solidFill>
                    <w14:schemeClr w14:val="tx1"/>
                  </w14:solidFill>
                </w14:textFill>
              </w:rPr>
              <w:t>料、产品分析，依据危险性物质的类别和物质量，分析本项目涉及的主要危险性物质是</w:t>
            </w:r>
            <w:r>
              <w:rPr>
                <w:rFonts w:hint="eastAsia"/>
                <w:color w:val="000000" w:themeColor="text1"/>
                <w:sz w:val="24"/>
                <w14:textFill>
                  <w14:solidFill>
                    <w14:schemeClr w14:val="tx1"/>
                  </w14:solidFill>
                </w14:textFill>
              </w:rPr>
              <w:t>柴油</w:t>
            </w:r>
            <w:r>
              <w:rPr>
                <w:color w:val="000000" w:themeColor="text1"/>
                <w:sz w:val="24"/>
                <w14:textFill>
                  <w14:solidFill>
                    <w14:schemeClr w14:val="tx1"/>
                  </w14:solidFill>
                </w14:textFill>
              </w:rPr>
              <w:t>，柴油是有色透明液体</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轻质石油产品</w:t>
            </w:r>
            <w:r>
              <w:rPr>
                <w:rFonts w:hint="eastAsia"/>
                <w:color w:val="000000" w:themeColor="text1"/>
                <w:sz w:val="24"/>
                <w14:textFill>
                  <w14:solidFill>
                    <w14:schemeClr w14:val="tx1"/>
                  </w14:solidFill>
                </w14:textFill>
              </w:rPr>
              <w:t>，是易燃液体，</w:t>
            </w:r>
            <w:r>
              <w:rPr>
                <w:color w:val="000000" w:themeColor="text1"/>
                <w:sz w:val="24"/>
                <w14:textFill>
                  <w14:solidFill>
                    <w14:schemeClr w14:val="tx1"/>
                  </w14:solidFill>
                </w14:textFill>
              </w:rPr>
              <w:t>有火灾和爆炸的危险。</w:t>
            </w:r>
            <w:r>
              <w:rPr>
                <w:rFonts w:hint="eastAsia"/>
                <w:color w:val="000000" w:themeColor="text1"/>
                <w:sz w:val="24"/>
                <w14:textFill>
                  <w14:solidFill>
                    <w14:schemeClr w14:val="tx1"/>
                  </w14:solidFill>
                </w14:textFill>
              </w:rPr>
              <w:t>柴油理化性质及危险特性见表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10</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10</w:t>
            </w:r>
            <w:r>
              <w:rPr>
                <w:rFonts w:hint="eastAsia"/>
                <w:b w:val="0"/>
                <w:bCs/>
                <w:color w:val="000000" w:themeColor="text1"/>
                <w:sz w:val="24"/>
                <w14:textFill>
                  <w14:solidFill>
                    <w14:schemeClr w14:val="tx1"/>
                  </w14:solidFill>
                </w14:textFill>
              </w:rPr>
              <w:t xml:space="preserve">  柴油的理化性质及危险特性表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28" w:type="dxa"/>
                <w:left w:w="57" w:type="dxa"/>
                <w:bottom w:w="28" w:type="dxa"/>
                <w:right w:w="28" w:type="dxa"/>
              </w:tblCellMar>
            </w:tblPr>
            <w:tblGrid>
              <w:gridCol w:w="715"/>
              <w:gridCol w:w="1290"/>
              <w:gridCol w:w="1239"/>
              <w:gridCol w:w="1762"/>
              <w:gridCol w:w="1840"/>
              <w:gridCol w:w="1586"/>
              <w:gridCol w:w="11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标识</w:t>
                  </w:r>
                </w:p>
              </w:tc>
              <w:tc>
                <w:tcPr>
                  <w:tcW w:w="676" w:type="pct"/>
                  <w:tcBorders>
                    <w:tl2br w:val="nil"/>
                    <w:tr2bl w:val="nil"/>
                  </w:tcBorders>
                  <w:vAlign w:val="center"/>
                </w:tcPr>
                <w:p>
                  <w:pPr>
                    <w:pStyle w:val="24"/>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pacing w:val="-20"/>
                      <w:sz w:val="21"/>
                      <w:szCs w:val="21"/>
                      <w14:textFill>
                        <w14:solidFill>
                          <w14:schemeClr w14:val="tx1"/>
                        </w14:solidFill>
                      </w14:textFill>
                    </w:rPr>
                    <w:t>中文名:</w:t>
                  </w:r>
                </w:p>
              </w:tc>
              <w:tc>
                <w:tcPr>
                  <w:tcW w:w="1572" w:type="pct"/>
                  <w:gridSpan w:val="2"/>
                  <w:tcBorders>
                    <w:tl2br w:val="nil"/>
                    <w:tr2bl w:val="nil"/>
                  </w:tcBorders>
                  <w:vAlign w:val="center"/>
                </w:tcPr>
                <w:p>
                  <w:pPr>
                    <w:pStyle w:val="24"/>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柴油</w:t>
                  </w:r>
                </w:p>
              </w:tc>
              <w:tc>
                <w:tcPr>
                  <w:tcW w:w="964" w:type="pct"/>
                  <w:tcBorders>
                    <w:tl2br w:val="nil"/>
                    <w:tr2bl w:val="nil"/>
                  </w:tcBorders>
                  <w:vAlign w:val="center"/>
                </w:tcPr>
                <w:p>
                  <w:pPr>
                    <w:pStyle w:val="24"/>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pacing w:val="-10"/>
                      <w:sz w:val="21"/>
                      <w:szCs w:val="21"/>
                      <w14:textFill>
                        <w14:solidFill>
                          <w14:schemeClr w14:val="tx1"/>
                        </w14:solidFill>
                      </w14:textFill>
                    </w:rPr>
                    <w:t>英文名</w:t>
                  </w:r>
                </w:p>
              </w:tc>
              <w:tc>
                <w:tcPr>
                  <w:tcW w:w="1413" w:type="pct"/>
                  <w:gridSpan w:val="2"/>
                  <w:tcBorders>
                    <w:tl2br w:val="nil"/>
                    <w:tr2bl w:val="nil"/>
                  </w:tcBorders>
                  <w:vAlign w:val="center"/>
                </w:tcPr>
                <w:p>
                  <w:pPr>
                    <w:pStyle w:val="24"/>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Diesel oil；Diesel fuel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CAS号</w:t>
                  </w:r>
                </w:p>
              </w:tc>
              <w:tc>
                <w:tcPr>
                  <w:tcW w:w="3949" w:type="pct"/>
                  <w:gridSpan w:val="5"/>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理化性质</w:t>
                  </w: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外观与性状</w:t>
                  </w:r>
                </w:p>
              </w:tc>
              <w:tc>
                <w:tcPr>
                  <w:tcW w:w="3949" w:type="pct"/>
                  <w:gridSpan w:val="5"/>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稍有粘性的棕色液体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熔点(℃)</w:t>
                  </w:r>
                </w:p>
              </w:tc>
              <w:tc>
                <w:tcPr>
                  <w:tcW w:w="1572"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-18</w:t>
                  </w:r>
                </w:p>
              </w:tc>
              <w:tc>
                <w:tcPr>
                  <w:tcW w:w="964"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沸点(℃)</w:t>
                  </w:r>
                </w:p>
              </w:tc>
              <w:tc>
                <w:tcPr>
                  <w:tcW w:w="1413"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282-338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相对密度(水=1)</w:t>
                  </w:r>
                </w:p>
              </w:tc>
              <w:tc>
                <w:tcPr>
                  <w:tcW w:w="1572"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0.84-0.9</w:t>
                  </w:r>
                </w:p>
              </w:tc>
              <w:tc>
                <w:tcPr>
                  <w:tcW w:w="964"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相对蒸气密度</w:t>
                  </w:r>
                </w:p>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(空气=1)</w:t>
                  </w:r>
                </w:p>
              </w:tc>
              <w:tc>
                <w:tcPr>
                  <w:tcW w:w="1413"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主要用途</w:t>
                  </w:r>
                </w:p>
              </w:tc>
              <w:tc>
                <w:tcPr>
                  <w:tcW w:w="3949" w:type="pct"/>
                  <w:gridSpan w:val="5"/>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用作柴油机的燃料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溶解性</w:t>
                  </w:r>
                </w:p>
              </w:tc>
              <w:tc>
                <w:tcPr>
                  <w:tcW w:w="3949" w:type="pct"/>
                  <w:gridSpan w:val="5"/>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不溶于水，能与多种有机溶剂混溶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燃烧爆炸危险性</w:t>
                  </w:r>
                </w:p>
              </w:tc>
              <w:tc>
                <w:tcPr>
                  <w:tcW w:w="676"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引燃温度(℃)</w:t>
                  </w:r>
                </w:p>
              </w:tc>
              <w:tc>
                <w:tcPr>
                  <w:tcW w:w="649"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335</w:t>
                  </w:r>
                </w:p>
              </w:tc>
              <w:tc>
                <w:tcPr>
                  <w:tcW w:w="923"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爆炸上限(V％)</w:t>
                  </w:r>
                </w:p>
              </w:tc>
              <w:tc>
                <w:tcPr>
                  <w:tcW w:w="964"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w:t>
                  </w:r>
                </w:p>
              </w:tc>
              <w:tc>
                <w:tcPr>
                  <w:tcW w:w="831"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闪点(℃)</w:t>
                  </w:r>
                </w:p>
              </w:tc>
              <w:tc>
                <w:tcPr>
                  <w:tcW w:w="582"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49"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923"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爆炸下限(V％)</w:t>
                  </w:r>
                </w:p>
              </w:tc>
              <w:tc>
                <w:tcPr>
                  <w:tcW w:w="964"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0.7</w:t>
                  </w:r>
                </w:p>
              </w:tc>
              <w:tc>
                <w:tcPr>
                  <w:tcW w:w="831"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582"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危险特性</w:t>
                  </w:r>
                </w:p>
              </w:tc>
              <w:tc>
                <w:tcPr>
                  <w:tcW w:w="3949" w:type="pct"/>
                  <w:gridSpan w:val="5"/>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遇明火、高热或与氧化剂接触，有引起燃烧爆炸的危险。若遇高热，容器内压增大，有开裂和爆炸的危险。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禁忌物</w:t>
                  </w:r>
                </w:p>
              </w:tc>
              <w:tc>
                <w:tcPr>
                  <w:tcW w:w="3949" w:type="pct"/>
                  <w:gridSpan w:val="5"/>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强氧化剂、卤素。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灭火方法</w:t>
                  </w:r>
                </w:p>
              </w:tc>
              <w:tc>
                <w:tcPr>
                  <w:tcW w:w="3949" w:type="pct"/>
                  <w:gridSpan w:val="5"/>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喷水冷却容器，可能的话将容器从火场移至空旷处。</w:t>
                  </w:r>
                </w:p>
                <w:p>
                  <w:pPr>
                    <w:rPr>
                      <w:bCs/>
                      <w:color w:val="000000" w:themeColor="text1"/>
                      <w:szCs w:val="21"/>
                      <w14:textFill>
                        <w14:solidFill>
                          <w14:schemeClr w14:val="tx1"/>
                        </w14:solidFill>
                      </w14:textFill>
                    </w:rPr>
                  </w:pPr>
                  <w:r>
                    <w:rPr>
                      <w:bCs/>
                      <w:color w:val="000000" w:themeColor="text1"/>
                      <w:kern w:val="0"/>
                      <w:szCs w:val="21"/>
                      <w14:textFill>
                        <w14:solidFill>
                          <w14:schemeClr w14:val="tx1"/>
                        </w14:solidFill>
                      </w14:textFill>
                    </w:rPr>
                    <w:t>灭火剂：泡沫、干粉、二氧化碳。用水灭火无效。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毒性及健康危害</w:t>
                  </w:r>
                </w:p>
              </w:tc>
              <w:tc>
                <w:tcPr>
                  <w:tcW w:w="676"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环境标准</w:t>
                  </w:r>
                </w:p>
              </w:tc>
              <w:tc>
                <w:tcPr>
                  <w:tcW w:w="1572"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中国MAC（mg/m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前苏联MAC（mg/m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TLVTN</w:t>
                  </w:r>
                </w:p>
              </w:tc>
              <w:tc>
                <w:tcPr>
                  <w:tcW w:w="2377" w:type="pct"/>
                  <w:gridSpan w:val="3"/>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TLVWN</w:t>
                  </w:r>
                </w:p>
              </w:tc>
              <w:tc>
                <w:tcPr>
                  <w:tcW w:w="2377" w:type="pct"/>
                  <w:gridSpan w:val="3"/>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侵入途径</w:t>
                  </w:r>
                </w:p>
              </w:tc>
              <w:tc>
                <w:tcPr>
                  <w:tcW w:w="3949" w:type="pct"/>
                  <w:gridSpan w:val="5"/>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吸入、食入、经皮吸收。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毒理学资料</w:t>
                  </w:r>
                </w:p>
              </w:tc>
              <w:tc>
                <w:tcPr>
                  <w:tcW w:w="3949" w:type="pct"/>
                  <w:gridSpan w:val="5"/>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LD50：7500mg/kg（大鼠经口）</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LC50：无资料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健康危害</w:t>
                  </w:r>
                </w:p>
              </w:tc>
              <w:tc>
                <w:tcPr>
                  <w:tcW w:w="3949" w:type="pct"/>
                  <w:gridSpan w:val="5"/>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皮肤接触可为主要吸收途径，可致急性肾脏损害。柴油可引起接触性皮炎、油性痤疮。吸入其雾滴或液体呛入可引起吸入性肺炎。能经胎盘进入胎儿血中。柴油废气可引起眼、鼻刺激症状，头晕及头痛。</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包装与储运</w:t>
                  </w: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危险货物包装标志</w:t>
                  </w:r>
                </w:p>
              </w:tc>
              <w:tc>
                <w:tcPr>
                  <w:tcW w:w="3949" w:type="pct"/>
                  <w:gridSpan w:val="5"/>
                  <w:tcBorders>
                    <w:tl2br w:val="nil"/>
                    <w:tr2bl w:val="nil"/>
                  </w:tcBorders>
                  <w:vAlign w:val="center"/>
                </w:tcPr>
                <w:p>
                  <w:pPr>
                    <w:pStyle w:val="24"/>
                    <w:jc w:val="left"/>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Z01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储运注意事项</w:t>
                  </w:r>
                </w:p>
              </w:tc>
              <w:tc>
                <w:tcPr>
                  <w:tcW w:w="3949" w:type="pct"/>
                  <w:gridSpan w:val="5"/>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储存于阴凉、通风的库房。远离火种、热源。应与氧化剂、卤素分开存放，切忌混储。采用防爆型照明、通风设施。禁止使用易产生火花的机械设备和工具。储区应备有泄漏应急处理设备和合适的收容材料。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防护措施</w:t>
                  </w:r>
                </w:p>
              </w:tc>
              <w:tc>
                <w:tcPr>
                  <w:tcW w:w="4625" w:type="pct"/>
                  <w:gridSpan w:val="6"/>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皮肤接触：立即脱去污染的衣着，用肥皂水和清水彻底冲洗皮肤。就医。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眼睛接触：提起眼睑，用流动清水或生理盐水冲洗。就医。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吸入：迅速脱离现场至空气新鲜处。保持呼吸道通畅。如呼吸困难，给输氧。如呼吸停止，立即进行人工呼吸。就医。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食入：尽快彻底洗胃。就医。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2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泄漏处理</w:t>
                  </w:r>
                </w:p>
              </w:tc>
              <w:tc>
                <w:tcPr>
                  <w:tcW w:w="4625" w:type="pct"/>
                  <w:gridSpan w:val="6"/>
                  <w:tcBorders>
                    <w:tl2br w:val="nil"/>
                    <w:tr2bl w:val="nil"/>
                  </w:tcBorders>
                  <w:vAlign w:val="center"/>
                </w:tcPr>
                <w:p>
                  <w:pPr>
                    <w:pStyle w:val="2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迅速撤离泄漏污染区人员至安全区，并进行隔离，严格限制出入。切断火源。建议应急处理人员戴自给正压式呼吸器，穿一般作业工作服。尽可能切断泄漏源。防止流入下水道、排洪沟等限制性空间。小量泄漏：用活性炭或其它惰性材料吸收。大量泄漏：构筑围堤或挖坑收容。用泵转移至槽车或专用收集器内，回收或运至废物处理场所处置</w:t>
                  </w:r>
                  <w:r>
                    <w:rPr>
                      <w:rFonts w:ascii="Times New Roman" w:hAnsi="Times New Roman" w:eastAsia="宋体" w:cs="Times New Roman"/>
                      <w:bCs/>
                      <w:color w:val="000000" w:themeColor="text1"/>
                      <w:spacing w:val="-2"/>
                      <w:sz w:val="21"/>
                      <w:szCs w:val="21"/>
                      <w14:textFill>
                        <w14:solidFill>
                          <w14:schemeClr w14:val="tx1"/>
                        </w14:solidFill>
                      </w14:textFill>
                    </w:rPr>
                    <w:t>。</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项目储存的柴油属于第3类危险化学品，具有以下危险特性：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①易燃性：油品的组成有碳氢化合物及其衍生物，是可燃性有机物质，在有大量助燃物的空气中，只要有足够点火能量，会发生燃烧。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②易爆性：柴油的蒸汽与空气组成气体达到爆炸极限时，遇到引爆源，即发生爆炸。</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③易受热膨胀性：油品受热后，温度升高，体积膨胀，储存油品的密闭油桶如靠近高热或日光暴晒，受热膨胀，储罐内压力增右，容易造成容器胀破。</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④毒性：油品及其蒸汽都具有一定的毒性，属于刺激性、麻醉性的低毒物质。</w:t>
            </w:r>
          </w:p>
          <w:p>
            <w:pPr>
              <w:keepNext w:val="0"/>
              <w:keepLines w:val="0"/>
              <w:pageBreakBefore w:val="0"/>
              <w:widowControl w:val="0"/>
              <w:kinsoku/>
              <w:wordWrap/>
              <w:overflowPunct/>
              <w:topLinePunct w:val="0"/>
              <w:autoSpaceDE/>
              <w:autoSpaceDN/>
              <w:bidi w:val="0"/>
              <w:adjustRightInd w:val="0"/>
              <w:snapToGrid/>
              <w:spacing w:line="360" w:lineRule="auto"/>
              <w:ind w:right="-323"/>
              <w:textAlignment w:val="auto"/>
              <w:outlineLvl w:val="0"/>
              <w:rPr>
                <w:color w:val="000000" w:themeColor="text1"/>
                <w:sz w:val="24"/>
                <w14:textFill>
                  <w14:solidFill>
                    <w14:schemeClr w14:val="tx1"/>
                  </w14:solidFill>
                </w14:textFill>
              </w:rPr>
            </w:pPr>
            <w:r>
              <w:rPr>
                <w:rFonts w:hint="eastAsia" w:ascii="Times New Roman" w:hAnsi="Times New Roman" w:cs="Times New Roman"/>
                <w:b w:val="0"/>
                <w:bCs/>
                <w:color w:val="000000" w:themeColor="text1"/>
                <w:sz w:val="24"/>
                <w:szCs w:val="24"/>
                <w:lang w:eastAsia="zh-CN"/>
                <w14:textFill>
                  <w14:solidFill>
                    <w14:schemeClr w14:val="tx1"/>
                  </w14:solidFill>
                </w14:textFill>
              </w:rPr>
              <w:t>8.3.</w:t>
            </w:r>
            <w:r>
              <w:rPr>
                <w:rFonts w:hint="eastAsia" w:ascii="Times New Roman" w:hAnsi="Times New Roman" w:cs="Times New Roman"/>
                <w:b w:val="0"/>
                <w:bCs/>
                <w:color w:val="000000" w:themeColor="text1"/>
                <w:sz w:val="24"/>
                <w:szCs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环境风险识别结果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本项目风险物质为柴油，柴油储存过程中储油桶发生泄漏时存在发生火灾爆炸事故的可能性，因为柴油属于易燃、易爆物质，泄漏到环境中遇明火、高热易燃烧爆炸。本项目环境风险识别结果具体见表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11</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11</w:t>
            </w:r>
            <w:r>
              <w:rPr>
                <w:b w:val="0"/>
                <w:bCs/>
                <w:color w:val="000000" w:themeColor="text1"/>
                <w:sz w:val="24"/>
                <w14:textFill>
                  <w14:solidFill>
                    <w14:schemeClr w14:val="tx1"/>
                  </w14:solidFill>
                </w14:textFill>
              </w:rPr>
              <w:t xml:space="preserve"> </w:t>
            </w:r>
            <w:r>
              <w:rPr>
                <w:rFonts w:hint="eastAsia"/>
                <w:b w:val="0"/>
                <w:bCs/>
                <w:color w:val="000000" w:themeColor="text1"/>
                <w:sz w:val="24"/>
                <w14:textFill>
                  <w14:solidFill>
                    <w14:schemeClr w14:val="tx1"/>
                  </w14:solidFill>
                </w14:textFill>
              </w:rPr>
              <w:t xml:space="preserve"> 建设项目环境风险识别表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5"/>
              <w:gridCol w:w="1143"/>
              <w:gridCol w:w="1002"/>
              <w:gridCol w:w="2285"/>
              <w:gridCol w:w="1573"/>
              <w:gridCol w:w="239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危险单元</w:t>
                  </w:r>
                </w:p>
              </w:tc>
              <w:tc>
                <w:tcPr>
                  <w:tcW w:w="59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风险源</w:t>
                  </w:r>
                </w:p>
              </w:tc>
              <w:tc>
                <w:tcPr>
                  <w:tcW w:w="52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主要危险物质</w:t>
                  </w:r>
                </w:p>
              </w:tc>
              <w:tc>
                <w:tcPr>
                  <w:tcW w:w="11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环境风险类型</w:t>
                  </w:r>
                </w:p>
              </w:tc>
              <w:tc>
                <w:tcPr>
                  <w:tcW w:w="82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环境影响途径</w:t>
                  </w:r>
                </w:p>
              </w:tc>
              <w:tc>
                <w:tcPr>
                  <w:tcW w:w="125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可能受影响的环境</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敏感目标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油料区</w:t>
                  </w:r>
                </w:p>
              </w:tc>
              <w:tc>
                <w:tcPr>
                  <w:tcW w:w="59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液体泄露</w:t>
                  </w:r>
                </w:p>
              </w:tc>
              <w:tc>
                <w:tcPr>
                  <w:tcW w:w="52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w:t>
                  </w:r>
                </w:p>
              </w:tc>
              <w:tc>
                <w:tcPr>
                  <w:tcW w:w="11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泄露</w:t>
                  </w:r>
                  <w:r>
                    <w:rPr>
                      <w:rFonts w:hint="eastAsia"/>
                      <w:color w:val="000000" w:themeColor="text1"/>
                      <w:szCs w:val="21"/>
                      <w14:textFill>
                        <w14:solidFill>
                          <w14:schemeClr w14:val="tx1"/>
                        </w14:solidFill>
                      </w14:textFill>
                    </w:rPr>
                    <w:t>、火灾等引发的伴生/次生污染物</w:t>
                  </w:r>
                </w:p>
              </w:tc>
              <w:tc>
                <w:tcPr>
                  <w:tcW w:w="82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大气、地下水、地下水</w:t>
                  </w:r>
                </w:p>
              </w:tc>
              <w:tc>
                <w:tcPr>
                  <w:tcW w:w="125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周边环境大气、地下水</w:t>
                  </w:r>
                </w:p>
              </w:tc>
            </w:tr>
          </w:tbl>
          <w:p>
            <w:pPr>
              <w:pStyle w:val="18"/>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8.3.5</w:t>
            </w:r>
            <w:r>
              <w:rPr>
                <w:rFonts w:hint="eastAsia"/>
                <w:color w:val="000000" w:themeColor="text1"/>
                <w:sz w:val="24"/>
                <w14:textFill>
                  <w14:solidFill>
                    <w14:schemeClr w14:val="tx1"/>
                  </w14:solidFill>
                </w14:textFill>
              </w:rPr>
              <w:t>环境风险</w:t>
            </w:r>
            <w:r>
              <w:rPr>
                <w:rFonts w:hint="eastAsia"/>
                <w:color w:val="000000" w:themeColor="text1"/>
                <w:sz w:val="24"/>
                <w:lang w:val="en-US" w:eastAsia="zh-CN"/>
                <w14:textFill>
                  <w14:solidFill>
                    <w14:schemeClr w14:val="tx1"/>
                  </w14:solidFill>
                </w14:textFill>
              </w:rPr>
              <w:t>影响</w:t>
            </w:r>
            <w:r>
              <w:rPr>
                <w:rFonts w:hint="eastAsia"/>
                <w:color w:val="000000" w:themeColor="text1"/>
                <w:sz w:val="24"/>
                <w14:textFill>
                  <w14:solidFill>
                    <w14:schemeClr w14:val="tx1"/>
                  </w14:solidFill>
                </w14:textFill>
              </w:rPr>
              <w:t>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项目主要事故源于油料区柴油泄漏，一旦发生泄漏事故，柴油进入环境，将对河流、土壤、地下水、生物造成污染，同时由于柴油泄漏造成油品挥发，油蒸汽逸散，进而发生火灾、爆炸和中毒事故。</w:t>
            </w:r>
          </w:p>
          <w:p>
            <w:pPr>
              <w:autoSpaceDE/>
              <w:autoSpaceDN/>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本项目井场单独设置油料区，油料区柴油储存量为3-5桶（160kg/桶），发生最大可信事故为单桶柴油发生泄漏，按单桶柴油油桶全部破损，泄漏量为0.16t。油料区地面采取水泥硬化防渗处理，因此在发生泄漏情况下，油料不会渗入地下，不会对地下水和土壤产生影响。井场周边无明显地表水体，不会产生大量油料泄漏，因此不会对地表水体产生影响。柴油燃烧或者爆炸产生的污染物主要是CO</w:t>
            </w:r>
            <w:r>
              <w:rPr>
                <w:rFonts w:hint="eastAsia"/>
                <w:color w:val="000000" w:themeColor="text1"/>
                <w:sz w:val="24"/>
                <w:szCs w:val="24"/>
                <w:vertAlign w:val="subscript"/>
                <w:lang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、CO、非甲烷总烃等，项目储油量小，燃烧后经过很快扩散，对环境空气的影响较小。项目井场距敏感点较远，因此对环境敏感点影响较小。</w:t>
            </w:r>
          </w:p>
          <w:p>
            <w:pPr>
              <w:pStyle w:val="18"/>
              <w:numPr>
                <w:ilvl w:val="0"/>
                <w:numId w:val="0"/>
              </w:numPr>
              <w:spacing w:line="360" w:lineRule="auto"/>
              <w:rPr>
                <w:color w:val="000000" w:themeColor="text1"/>
                <w:sz w:val="24"/>
                <w14:textFill>
                  <w14:solidFill>
                    <w14:schemeClr w14:val="tx1"/>
                  </w14:solidFill>
                </w14:textFill>
              </w:rPr>
            </w:pPr>
            <w:bookmarkStart w:id="25" w:name="_Toc461051472"/>
            <w:bookmarkStart w:id="26" w:name="_Toc470462669"/>
            <w:bookmarkStart w:id="27" w:name="_Toc29147"/>
            <w:bookmarkStart w:id="28" w:name="_Toc8443"/>
            <w:bookmarkStart w:id="29" w:name="_Toc20126"/>
            <w:bookmarkStart w:id="30" w:name="_Toc14538"/>
            <w:bookmarkStart w:id="31" w:name="_Toc470462354"/>
            <w:bookmarkStart w:id="32" w:name="_Toc29636"/>
            <w:r>
              <w:rPr>
                <w:rFonts w:hint="eastAsia"/>
                <w:color w:val="000000" w:themeColor="text1"/>
                <w:sz w:val="24"/>
                <w:lang w:val="en-US" w:eastAsia="zh-CN"/>
                <w14:textFill>
                  <w14:solidFill>
                    <w14:schemeClr w14:val="tx1"/>
                  </w14:solidFill>
                </w14:textFill>
              </w:rPr>
              <w:t>8.3.6</w:t>
            </w:r>
            <w:r>
              <w:rPr>
                <w:rFonts w:hint="eastAsia"/>
                <w:color w:val="000000" w:themeColor="text1"/>
                <w:sz w:val="24"/>
                <w14:textFill>
                  <w14:solidFill>
                    <w14:schemeClr w14:val="tx1"/>
                  </w14:solidFill>
                </w14:textFill>
              </w:rPr>
              <w:t>环境风险防范措施</w:t>
            </w:r>
            <w:bookmarkEnd w:id="25"/>
            <w:bookmarkEnd w:id="26"/>
            <w:bookmarkEnd w:id="27"/>
            <w:bookmarkEnd w:id="28"/>
            <w:bookmarkEnd w:id="29"/>
            <w:bookmarkEnd w:id="30"/>
            <w:bookmarkEnd w:id="31"/>
            <w:bookmarkEnd w:id="32"/>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针对可能发生的风险事故，应采取如下风险防范措施：</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①项目应组建安全环保管理机构，配备管理人员，通过技能培训，承担该项目建设中的环保安全工作</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②安全环保机构根据相关的环境管理要求，加强职工的安全教育，提高安全防范风险的意识</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③项目油料储存区应有良好的通风，以利于气体的扩散，防止爆炸</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④</w:t>
            </w:r>
            <w:r>
              <w:rPr>
                <w:rFonts w:hint="eastAsia"/>
                <w:color w:val="000000" w:themeColor="text1"/>
                <w:sz w:val="24"/>
                <w14:textFill>
                  <w14:solidFill>
                    <w14:schemeClr w14:val="tx1"/>
                  </w14:solidFill>
                </w14:textFill>
              </w:rPr>
              <w:t>油料区地面采用铺设HDPE防渗膜进行防渗处理，对受污染的土壤进行收集，交资质单位处理；</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⑤油料区设置灭火装置</w:t>
            </w:r>
            <w:r>
              <w:rPr>
                <w:rFonts w:hint="eastAsia"/>
                <w:color w:val="000000" w:themeColor="text1"/>
                <w:sz w:val="24"/>
                <w14:textFill>
                  <w14:solidFill>
                    <w14:schemeClr w14:val="tx1"/>
                  </w14:solidFill>
                </w14:textFill>
              </w:rPr>
              <w:t>，用于紧急情况下灭火使用；</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⑥油料区设置明显禁火标志牌，不允许非工作人员随便入内。</w:t>
            </w:r>
          </w:p>
          <w:p>
            <w:pPr>
              <w:pStyle w:val="18"/>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8.3.7</w:t>
            </w:r>
            <w:r>
              <w:rPr>
                <w:rFonts w:hint="eastAsia"/>
                <w:color w:val="000000" w:themeColor="text1"/>
                <w:sz w:val="24"/>
                <w14:textFill>
                  <w14:solidFill>
                    <w14:schemeClr w14:val="tx1"/>
                  </w14:solidFill>
                </w14:textFill>
              </w:rPr>
              <w:t>环境风险分析结论</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根据《建设项目环境风险评价技术导则》（HJ/T169-2018）附录A</w:t>
            </w:r>
            <w:r>
              <w:rPr>
                <w:rFonts w:hint="eastAsia"/>
                <w:color w:val="000000" w:themeColor="text1"/>
                <w:sz w:val="24"/>
                <w14:textFill>
                  <w14:solidFill>
                    <w14:schemeClr w14:val="tx1"/>
                  </w14:solidFill>
                </w14:textFill>
              </w:rPr>
              <w:t>和</w:t>
            </w:r>
            <w:r>
              <w:rPr>
                <w:color w:val="000000" w:themeColor="text1"/>
                <w:sz w:val="24"/>
                <w14:textFill>
                  <w14:solidFill>
                    <w14:schemeClr w14:val="tx1"/>
                  </w14:solidFill>
                </w14:textFill>
              </w:rPr>
              <w:t>B</w:t>
            </w:r>
            <w:r>
              <w:rPr>
                <w:rFonts w:hint="eastAsia"/>
                <w:color w:val="000000" w:themeColor="text1"/>
                <w:sz w:val="24"/>
                <w14:textFill>
                  <w14:solidFill>
                    <w14:schemeClr w14:val="tx1"/>
                  </w14:solidFill>
                </w14:textFill>
              </w:rPr>
              <w:t>以及1.4分析可知，项目建设期间主要环境风险为柴油泄漏造成的环境风险，经采取相关措施后发生的可能较小。建设项目环境风险简单分析内容表见表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12</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12</w:t>
            </w:r>
            <w:r>
              <w:rPr>
                <w:rFonts w:hint="eastAsia"/>
                <w:b w:val="0"/>
                <w:bCs/>
                <w:color w:val="000000" w:themeColor="text1"/>
                <w:sz w:val="24"/>
                <w14:textFill>
                  <w14:solidFill>
                    <w14:schemeClr w14:val="tx1"/>
                  </w14:solidFill>
                </w14:textFill>
              </w:rPr>
              <w:t xml:space="preserve">  建设项目环境风险简单分析内容</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872"/>
              <w:gridCol w:w="1277"/>
              <w:gridCol w:w="1430"/>
              <w:gridCol w:w="1428"/>
              <w:gridCol w:w="1204"/>
              <w:gridCol w:w="13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建设项目名称</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铀矿钻探项目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建设地点</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（/）市</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）区</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（/）县</w:t>
                  </w:r>
                </w:p>
              </w:tc>
              <w:tc>
                <w:tcPr>
                  <w:tcW w:w="69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（/）园区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地理坐标</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经度</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纬度</w:t>
                  </w:r>
                </w:p>
              </w:tc>
              <w:tc>
                <w:tcPr>
                  <w:tcW w:w="1329"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主要危险物质及分布</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柴油、井场内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环境影响途径及危害后果</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（大气、地表水、地下水）</w:t>
                  </w:r>
                </w:p>
              </w:tc>
              <w:tc>
                <w:tcPr>
                  <w:tcW w:w="3495" w:type="pct"/>
                  <w:gridSpan w:val="5"/>
                  <w:tcBorders>
                    <w:tl2br w:val="nil"/>
                    <w:tr2bl w:val="nil"/>
                  </w:tcBorders>
                  <w:vAlign w:val="center"/>
                </w:tcPr>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①</w:t>
                  </w:r>
                  <w:r>
                    <w:rPr>
                      <w:rFonts w:hint="eastAsia"/>
                      <w:b w:val="0"/>
                      <w:color w:val="000000" w:themeColor="text1"/>
                      <w:sz w:val="21"/>
                      <w:szCs w:val="21"/>
                      <w14:textFill>
                        <w14:solidFill>
                          <w14:schemeClr w14:val="tx1"/>
                        </w14:solidFill>
                      </w14:textFill>
                    </w:rPr>
                    <w:t>对地表水的污染</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泄漏的柴油一旦进入地表河流，将造成地表河流的污染。污染首先将造成地表河流的景观破坏；其次，由于有机烃类物质难溶于水，大部分上浮在水层表面，形成一层油膜使空气与水隔离，造成水中溶解氧浓度降低，逐渐形成死水，致水中生物死亡。</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②</w:t>
                  </w:r>
                  <w:r>
                    <w:rPr>
                      <w:rFonts w:hint="eastAsia"/>
                      <w:b w:val="0"/>
                      <w:color w:val="000000" w:themeColor="text1"/>
                      <w:sz w:val="21"/>
                      <w:szCs w:val="21"/>
                      <w14:textFill>
                        <w14:solidFill>
                          <w14:schemeClr w14:val="tx1"/>
                        </w14:solidFill>
                      </w14:textFill>
                    </w:rPr>
                    <w:t>对地下水和土壤的污染</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储油桶泄漏对地下水的污染较，地下水一旦遭到柴油的污染，将使地下水产生严重异味，无法饮用。又由于这种渗漏必然穿过较厚的土壤层，使土壤层中吸附了大量的燃料油，土壤层吸附的燃料油不仅会造成植物生物的死亡，而且土壤层吸附的燃料油还会随着地表水的下渗对土壤层的冲刷作用补充到地下水，这样即便污染源得到及时控制，地下水要完全恢复也需几年至几十年时间。</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③</w:t>
                  </w:r>
                  <w:r>
                    <w:rPr>
                      <w:rFonts w:hint="eastAsia"/>
                      <w:b w:val="0"/>
                      <w:color w:val="000000" w:themeColor="text1"/>
                      <w:sz w:val="21"/>
                      <w:szCs w:val="21"/>
                      <w14:textFill>
                        <w14:solidFill>
                          <w14:schemeClr w14:val="tx1"/>
                        </w14:solidFill>
                      </w14:textFill>
                    </w:rPr>
                    <w:t>对大气环境的污染</w:t>
                  </w:r>
                </w:p>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柴油泄漏造成油品挥发，油蒸汽逸散，进而发生火灾、爆炸，燃烧或者爆炸产生的污染物对环境空气的影响。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风险防范措施要求</w:t>
                  </w:r>
                </w:p>
              </w:tc>
              <w:tc>
                <w:tcPr>
                  <w:tcW w:w="3495" w:type="pct"/>
                  <w:gridSpan w:val="5"/>
                  <w:tcBorders>
                    <w:tl2br w:val="nil"/>
                    <w:tr2bl w:val="nil"/>
                  </w:tcBorders>
                  <w:vAlign w:val="center"/>
                </w:tcPr>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①项目应组建安全环保管理机构，配备管理人员，通过技能培训，承担该项目建设中的环保安全工作；</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②安全环保机构根据相关的环境管理要求，加强职工的安全教育，提高安全防范风险的意识；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③项目油料储存区应有良好的通风，以利于气体的扩散，防止爆炸；</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④油料区地面采用铺设HDPE防渗膜进行防渗处理，同时设砂池，可及时用砂子吸收油品后以及受污染的土壤清理后交资质单位处理；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⑤油料区设置灭火装置，用于紧急情况下灭火使用；</w:t>
                  </w:r>
                </w:p>
                <w:p>
                  <w:pPr>
                    <w:jc w:val="left"/>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⑥油料区设置明显禁火标志牌，不允许非工作人员随便入内。</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bCs/>
                <w:color w:val="000000" w:themeColor="text1"/>
                <w:sz w:val="24"/>
                <w:lang w:val="en-US" w:eastAsia="zh-CN"/>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33" w:name="_Toc3795904"/>
      <w:r>
        <w:rPr>
          <w:rFonts w:hint="eastAsia" w:eastAsia="黑体"/>
          <w:color w:val="000000" w:themeColor="text1"/>
          <w:sz w:val="32"/>
          <w:lang w:val="en-US" w:eastAsia="zh-CN"/>
          <w14:textFill>
            <w14:solidFill>
              <w14:schemeClr w14:val="tx1"/>
            </w14:solidFill>
          </w14:textFill>
        </w:rPr>
        <w:t>九、</w:t>
      </w:r>
      <w:r>
        <w:rPr>
          <w:rFonts w:eastAsia="黑体"/>
          <w:color w:val="000000" w:themeColor="text1"/>
          <w:sz w:val="32"/>
          <w14:textFill>
            <w14:solidFill>
              <w14:schemeClr w14:val="tx1"/>
            </w14:solidFill>
          </w14:textFill>
        </w:rPr>
        <w:t>建设项目拟采取的防治措施及预期治理效果</w:t>
      </w:r>
      <w:bookmarkEnd w:id="33"/>
    </w:p>
    <w:tbl>
      <w:tblPr>
        <w:tblStyle w:val="11"/>
        <w:tblW w:w="4898" w:type="pct"/>
        <w:tblInd w:w="1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37"/>
        <w:gridCol w:w="1452"/>
        <w:gridCol w:w="1309"/>
        <w:gridCol w:w="3364"/>
        <w:gridCol w:w="259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内容</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w:t>
            </w:r>
          </w:p>
        </w:tc>
        <w:tc>
          <w:tcPr>
            <w:tcW w:w="743" w:type="pct"/>
            <w:tcBorders>
              <w:tl2br w:val="nil"/>
              <w:tr2bl w:val="nil"/>
            </w:tcBorders>
            <w:vAlign w:val="center"/>
          </w:tcPr>
          <w:p>
            <w:pPr>
              <w:widowControl/>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排放源</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（编号）</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污染物</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名称</w:t>
            </w:r>
          </w:p>
        </w:tc>
        <w:tc>
          <w:tcPr>
            <w:tcW w:w="1723"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防治措施</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预期治理效果</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2"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大气</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污染物</w:t>
            </w:r>
          </w:p>
        </w:tc>
        <w:tc>
          <w:tcPr>
            <w:tcW w:w="1452" w:type="dxa"/>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发电机等</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燃油废气</w:t>
            </w:r>
          </w:p>
        </w:tc>
        <w:tc>
          <w:tcPr>
            <w:tcW w:w="1309" w:type="dxa"/>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14:textFill>
                  <w14:solidFill>
                    <w14:schemeClr w14:val="tx1"/>
                  </w14:solidFill>
                </w14:textFill>
              </w:rPr>
              <w:t>颗粒物</w:t>
            </w:r>
          </w:p>
        </w:tc>
        <w:tc>
          <w:tcPr>
            <w:tcW w:w="3364" w:type="dxa"/>
            <w:vMerge w:val="restart"/>
            <w:tcBorders>
              <w:tl2br w:val="nil"/>
              <w:tr2bl w:val="nil"/>
            </w:tcBorders>
            <w:vAlign w:val="center"/>
          </w:tcPr>
          <w:p>
            <w:pPr>
              <w:pStyle w:val="10"/>
              <w:ind w:left="0" w:leftChars="0" w:right="0" w:rightChars="0"/>
              <w:rPr>
                <w:rFonts w:ascii="Times New Roman" w:hAnsi="Times New Roman" w:eastAsia="宋体" w:cs="Times New Roman"/>
                <w:color w:val="000000" w:themeColor="text1"/>
                <w:kern w:val="0"/>
                <w:sz w:val="21"/>
                <w:szCs w:val="21"/>
                <w:lang w:val="en-US" w:eastAsia="zh-CN" w:bidi="ar"/>
                <w14:textFill>
                  <w14:solidFill>
                    <w14:schemeClr w14:val="tx1"/>
                  </w14:solidFill>
                </w14:textFill>
              </w:rPr>
            </w:pPr>
            <w:r>
              <w:rPr>
                <w:rFonts w:hint="eastAsia"/>
                <w:color w:val="000000" w:themeColor="text1"/>
                <w:sz w:val="21"/>
                <w:szCs w:val="21"/>
                <w14:textFill>
                  <w14:solidFill>
                    <w14:schemeClr w14:val="tx1"/>
                  </w14:solidFill>
                </w14:textFill>
              </w:rPr>
              <w:t>采用节能环保型柴油动力设备，采用符合标准的柴油</w:t>
            </w:r>
          </w:p>
        </w:tc>
        <w:tc>
          <w:tcPr>
            <w:tcW w:w="2598" w:type="dxa"/>
            <w:vMerge w:val="restart"/>
            <w:tcBorders>
              <w:tl2br w:val="nil"/>
              <w:tr2bl w:val="nil"/>
            </w:tcBorders>
            <w:vAlign w:val="center"/>
          </w:tcPr>
          <w:p>
            <w:pPr>
              <w:rPr>
                <w:color w:val="000000" w:themeColor="text1"/>
                <w:sz w:val="21"/>
                <w:szCs w:val="21"/>
                <w14:textFill>
                  <w14:solidFill>
                    <w14:schemeClr w14:val="tx1"/>
                  </w14:solidFill>
                </w14:textFill>
              </w:rPr>
            </w:pPr>
            <w:r>
              <w:rPr>
                <w:rFonts w:hint="eastAsia"/>
                <w:bCs/>
                <w:color w:val="000000" w:themeColor="text1"/>
                <w:szCs w:val="21"/>
                <w14:textFill>
                  <w14:solidFill>
                    <w14:schemeClr w14:val="tx1"/>
                  </w14:solidFill>
                </w14:textFill>
              </w:rPr>
              <w:t>满足《非道路移动机械用柴油机排气污染物排放限值及测量方法(中国第三、四阶段）》（GB20891-2014）的要求及《大气污染物综合排放标准》（GB16297-1996）表2无组织监控浓度限值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3" w:hRule="atLeast"/>
        </w:trPr>
        <w:tc>
          <w:tcPr>
            <w:tcW w:w="531" w:type="pct"/>
            <w:vMerge w:val="continue"/>
            <w:tcBorders>
              <w:tl2br w:val="nil"/>
              <w:tr2bl w:val="nil"/>
            </w:tcBorders>
            <w:vAlign w:val="center"/>
          </w:tcPr>
          <w:p>
            <w:pPr>
              <w:jc w:val="center"/>
              <w:rPr>
                <w:color w:val="000000" w:themeColor="text1"/>
                <w14:textFill>
                  <w14:solidFill>
                    <w14:schemeClr w14:val="tx1"/>
                  </w14:solidFill>
                </w14:textFill>
              </w:rPr>
            </w:pPr>
          </w:p>
        </w:tc>
        <w:tc>
          <w:tcPr>
            <w:tcW w:w="1452" w:type="dxa"/>
            <w:vMerge w:val="continue"/>
            <w:tcBorders>
              <w:tl2br w:val="nil"/>
              <w:tr2bl w:val="nil"/>
            </w:tcBorders>
            <w:vAlign w:val="center"/>
          </w:tcPr>
          <w:p>
            <w:pPr>
              <w:pStyle w:val="2"/>
              <w:jc w:val="center"/>
              <w:rPr>
                <w:color w:val="000000" w:themeColor="text1"/>
                <w14:textFill>
                  <w14:solidFill>
                    <w14:schemeClr w14:val="tx1"/>
                  </w14:solidFill>
                </w14:textFill>
              </w:rPr>
            </w:pPr>
          </w:p>
        </w:tc>
        <w:tc>
          <w:tcPr>
            <w:tcW w:w="1309" w:type="dxa"/>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14:textFill>
                  <w14:solidFill>
                    <w14:schemeClr w14:val="tx1"/>
                  </w14:solidFill>
                </w14:textFill>
              </w:rPr>
              <w:t>NO</w:t>
            </w:r>
            <w:r>
              <w:rPr>
                <w:color w:val="000000" w:themeColor="text1"/>
                <w:vertAlign w:val="subscript"/>
                <w14:textFill>
                  <w14:solidFill>
                    <w14:schemeClr w14:val="tx1"/>
                  </w14:solidFill>
                </w14:textFill>
              </w:rPr>
              <w:t>X</w:t>
            </w:r>
          </w:p>
        </w:tc>
        <w:tc>
          <w:tcPr>
            <w:tcW w:w="3364"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c>
          <w:tcPr>
            <w:tcW w:w="2598"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c>
          <w:tcPr>
            <w:tcW w:w="1309" w:type="dxa"/>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14:textFill>
                  <w14:solidFill>
                    <w14:schemeClr w14:val="tx1"/>
                  </w14:solidFill>
                </w14:textFill>
              </w:rPr>
              <w:t>SO</w:t>
            </w:r>
            <w:r>
              <w:rPr>
                <w:color w:val="000000" w:themeColor="text1"/>
                <w:vertAlign w:val="subscript"/>
                <w14:textFill>
                  <w14:solidFill>
                    <w14:schemeClr w14:val="tx1"/>
                  </w14:solidFill>
                </w14:textFill>
              </w:rPr>
              <w:t>2</w:t>
            </w:r>
          </w:p>
        </w:tc>
        <w:tc>
          <w:tcPr>
            <w:tcW w:w="3364"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c>
          <w:tcPr>
            <w:tcW w:w="2598"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c>
          <w:tcPr>
            <w:tcW w:w="1309" w:type="dxa"/>
            <w:tcBorders>
              <w:tl2br w:val="nil"/>
              <w:tr2bl w:val="nil"/>
            </w:tcBorders>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CO</w:t>
            </w:r>
          </w:p>
        </w:tc>
        <w:tc>
          <w:tcPr>
            <w:tcW w:w="3364"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c>
          <w:tcPr>
            <w:tcW w:w="2598"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c>
          <w:tcPr>
            <w:tcW w:w="1309" w:type="dxa"/>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HC</w:t>
            </w:r>
          </w:p>
        </w:tc>
        <w:tc>
          <w:tcPr>
            <w:tcW w:w="3364"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c>
          <w:tcPr>
            <w:tcW w:w="2598" w:type="dxa"/>
            <w:vMerge w:val="continue"/>
            <w:tcBorders>
              <w:tl2br w:val="nil"/>
              <w:tr2bl w:val="nil"/>
            </w:tcBorders>
            <w:vAlign w:val="center"/>
          </w:tcPr>
          <w:p>
            <w:pPr>
              <w:pStyle w:val="2"/>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452"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钻探</w:t>
            </w:r>
          </w:p>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平整场地</w:t>
            </w: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Cs w:val="21"/>
                <w14:textFill>
                  <w14:solidFill>
                    <w14:schemeClr w14:val="tx1"/>
                  </w14:solidFill>
                </w14:textFill>
              </w:rPr>
              <w:t>扬尘</w:t>
            </w:r>
          </w:p>
        </w:tc>
        <w:tc>
          <w:tcPr>
            <w:tcW w:w="3364" w:type="dxa"/>
            <w:tcBorders>
              <w:tl2br w:val="nil"/>
              <w:tr2bl w:val="nil"/>
            </w:tcBorders>
            <w:vAlign w:val="center"/>
          </w:tcPr>
          <w:p>
            <w:pP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施工场地洒水抑尘、运料车及弃土加盖篷布，大风天气停止土方作业等</w:t>
            </w:r>
          </w:p>
        </w:tc>
        <w:tc>
          <w:tcPr>
            <w:tcW w:w="2598" w:type="dxa"/>
            <w:tcBorders>
              <w:tl2br w:val="nil"/>
              <w:tr2bl w:val="nil"/>
            </w:tcBorders>
            <w:vAlign w:val="center"/>
          </w:tcPr>
          <w:p>
            <w:pPr>
              <w:jc w:val="left"/>
              <w:rPr>
                <w:bCs/>
                <w:color w:val="000000" w:themeColor="text1"/>
                <w:sz w:val="21"/>
                <w:szCs w:val="21"/>
                <w14:textFill>
                  <w14:solidFill>
                    <w14:schemeClr w14:val="tx1"/>
                  </w14:solidFill>
                </w14:textFill>
              </w:rPr>
            </w:pPr>
            <w:r>
              <w:rPr>
                <w:rFonts w:hint="eastAsia"/>
                <w:bCs/>
                <w:color w:val="000000" w:themeColor="text1"/>
                <w:szCs w:val="21"/>
                <w14:textFill>
                  <w14:solidFill>
                    <w14:schemeClr w14:val="tx1"/>
                  </w14:solidFill>
                </w14:textFill>
              </w:rPr>
              <w:t>《大气污染物综合排放标准》（GB16297-1996）表2无组织监控浓度限值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水污</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染物</w:t>
            </w:r>
          </w:p>
        </w:tc>
        <w:tc>
          <w:tcPr>
            <w:tcW w:w="1452" w:type="dxa"/>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生活污水</w:t>
            </w: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Cs w:val="21"/>
                <w14:textFill>
                  <w14:solidFill>
                    <w14:schemeClr w14:val="tx1"/>
                  </w14:solidFill>
                </w14:textFill>
              </w:rPr>
              <w:t>COD</w:t>
            </w:r>
          </w:p>
        </w:tc>
        <w:tc>
          <w:tcPr>
            <w:tcW w:w="3364" w:type="dxa"/>
            <w:vMerge w:val="restart"/>
            <w:tcBorders>
              <w:tl2br w:val="nil"/>
              <w:tr2bl w:val="nil"/>
            </w:tcBorders>
            <w:vAlign w:val="center"/>
          </w:tcPr>
          <w:p>
            <w:pP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生活污水主要为盥洗水，用于洒水抑尘</w:t>
            </w:r>
          </w:p>
        </w:tc>
        <w:tc>
          <w:tcPr>
            <w:tcW w:w="2598" w:type="dxa"/>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color w:val="000000" w:themeColor="text1"/>
                <w14:textFill>
                  <w14:solidFill>
                    <w14:schemeClr w14:val="tx1"/>
                  </w14:solidFill>
                </w14:textFill>
              </w:rPr>
            </w:pPr>
          </w:p>
        </w:tc>
        <w:tc>
          <w:tcPr>
            <w:tcW w:w="1452" w:type="dxa"/>
            <w:vMerge w:val="continue"/>
            <w:tcBorders>
              <w:tl2br w:val="nil"/>
              <w:tr2bl w:val="nil"/>
            </w:tcBorders>
            <w:vAlign w:val="center"/>
          </w:tcPr>
          <w:p>
            <w:pPr>
              <w:jc w:val="center"/>
              <w:rPr>
                <w:color w:val="000000" w:themeColor="text1"/>
                <w14:textFill>
                  <w14:solidFill>
                    <w14:schemeClr w14:val="tx1"/>
                  </w14:solidFill>
                </w14:textFill>
              </w:rPr>
            </w:pPr>
          </w:p>
        </w:tc>
        <w:tc>
          <w:tcPr>
            <w:tcW w:w="1309" w:type="dxa"/>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Cs w:val="21"/>
                <w14:textFill>
                  <w14:solidFill>
                    <w14:schemeClr w14:val="tx1"/>
                  </w14:solidFill>
                </w14:textFill>
              </w:rPr>
              <w:t>BOD</w:t>
            </w:r>
            <w:r>
              <w:rPr>
                <w:color w:val="000000" w:themeColor="text1"/>
                <w:szCs w:val="21"/>
                <w:vertAlign w:val="subscript"/>
                <w14:textFill>
                  <w14:solidFill>
                    <w14:schemeClr w14:val="tx1"/>
                  </w14:solidFill>
                </w14:textFill>
              </w:rPr>
              <w:t>5</w:t>
            </w:r>
          </w:p>
        </w:tc>
        <w:tc>
          <w:tcPr>
            <w:tcW w:w="3364"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2598"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309" w:type="dxa"/>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Cs w:val="21"/>
                <w14:textFill>
                  <w14:solidFill>
                    <w14:schemeClr w14:val="tx1"/>
                  </w14:solidFill>
                </w14:textFill>
              </w:rPr>
              <w:t>氨氮</w:t>
            </w:r>
          </w:p>
        </w:tc>
        <w:tc>
          <w:tcPr>
            <w:tcW w:w="3364"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2598"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309" w:type="dxa"/>
            <w:tcBorders>
              <w:tl2br w:val="nil"/>
              <w:tr2bl w:val="nil"/>
            </w:tcBorders>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SS</w:t>
            </w:r>
          </w:p>
        </w:tc>
        <w:tc>
          <w:tcPr>
            <w:tcW w:w="3364"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2598" w:type="dxa"/>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452"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生产废水</w:t>
            </w: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SS</w:t>
            </w:r>
          </w:p>
        </w:tc>
        <w:tc>
          <w:tcPr>
            <w:tcW w:w="3364" w:type="dxa"/>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钻井</w:t>
            </w:r>
            <w:r>
              <w:rPr>
                <w:color w:val="000000" w:themeColor="text1"/>
                <w:sz w:val="21"/>
                <w:szCs w:val="21"/>
                <w:lang w:eastAsia="zh-CN"/>
                <w14:textFill>
                  <w14:solidFill>
                    <w14:schemeClr w14:val="tx1"/>
                  </w14:solidFill>
                </w14:textFill>
              </w:rPr>
              <w:t>泥浆池中的上清液循环使用，</w:t>
            </w:r>
            <w:r>
              <w:rPr>
                <w:rFonts w:hint="eastAsia"/>
                <w:color w:val="000000" w:themeColor="text1"/>
                <w:sz w:val="21"/>
                <w:szCs w:val="21"/>
                <w:lang w:eastAsia="zh-CN"/>
                <w14:textFill>
                  <w14:solidFill>
                    <w14:schemeClr w14:val="tx1"/>
                  </w14:solidFill>
                </w14:textFill>
              </w:rPr>
              <w:t>过程需补充一定消耗水量，</w:t>
            </w:r>
            <w:r>
              <w:rPr>
                <w:color w:val="000000" w:themeColor="text1"/>
                <w:sz w:val="21"/>
                <w:szCs w:val="21"/>
                <w:lang w:eastAsia="zh-CN"/>
                <w14:textFill>
                  <w14:solidFill>
                    <w14:schemeClr w14:val="tx1"/>
                  </w14:solidFill>
                </w14:textFill>
              </w:rPr>
              <w:t>废水全部循环</w:t>
            </w:r>
            <w:r>
              <w:rPr>
                <w:rFonts w:hint="eastAsia"/>
                <w:color w:val="000000" w:themeColor="text1"/>
                <w:sz w:val="21"/>
                <w:szCs w:val="21"/>
                <w:lang w:eastAsia="zh-CN"/>
                <w14:textFill>
                  <w14:solidFill>
                    <w14:schemeClr w14:val="tx1"/>
                  </w14:solidFill>
                </w14:textFill>
              </w:rPr>
              <w:t>，不外排。设备冲洗废水</w:t>
            </w:r>
            <w:r>
              <w:rPr>
                <w:color w:val="000000" w:themeColor="text1"/>
                <w:sz w:val="21"/>
                <w:szCs w:val="21"/>
                <w:lang w:eastAsia="zh-CN"/>
                <w14:textFill>
                  <w14:solidFill>
                    <w14:schemeClr w14:val="tx1"/>
                  </w14:solidFill>
                </w14:textFill>
              </w:rPr>
              <w:t>进入泥浆池沉淀自然干化，不外排</w:t>
            </w:r>
          </w:p>
        </w:tc>
        <w:tc>
          <w:tcPr>
            <w:tcW w:w="2598"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固体</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废物</w:t>
            </w:r>
          </w:p>
        </w:tc>
        <w:tc>
          <w:tcPr>
            <w:tcW w:w="1452" w:type="dxa"/>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钻孔施工</w:t>
            </w: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3364" w:type="dxa"/>
            <w:tcBorders>
              <w:tl2br w:val="nil"/>
              <w:tr2bl w:val="nil"/>
            </w:tcBorders>
            <w:vAlign w:val="center"/>
          </w:tcPr>
          <w:p>
            <w:pPr>
              <w:jc w:val="left"/>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进入防渗泥浆池，钻孔完毕后填埋</w:t>
            </w:r>
          </w:p>
        </w:tc>
        <w:tc>
          <w:tcPr>
            <w:tcW w:w="2598"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岩芯</w:t>
            </w:r>
          </w:p>
        </w:tc>
        <w:tc>
          <w:tcPr>
            <w:tcW w:w="3364" w:type="dxa"/>
            <w:tcBorders>
              <w:tl2br w:val="nil"/>
              <w:tr2bl w:val="nil"/>
            </w:tcBorders>
            <w:vAlign w:val="center"/>
          </w:tcPr>
          <w:p>
            <w:pPr>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矿段岩芯放置在岩芯库内，后期带回分析、化验；非矿段岩芯放置在岩芯池内，</w:t>
            </w:r>
            <w:r>
              <w:rPr>
                <w:color w:val="000000" w:themeColor="text1"/>
                <w:sz w:val="21"/>
                <w:szCs w:val="21"/>
                <w:lang w:eastAsia="zh-CN"/>
                <w14:textFill>
                  <w14:solidFill>
                    <w14:schemeClr w14:val="tx1"/>
                  </w14:solidFill>
                </w14:textFill>
              </w:rPr>
              <w:t>钻孔完毕</w:t>
            </w:r>
            <w:r>
              <w:rPr>
                <w:rFonts w:hint="eastAsia"/>
                <w:color w:val="000000" w:themeColor="text1"/>
                <w:sz w:val="21"/>
                <w:szCs w:val="21"/>
                <w:lang w:eastAsia="zh-CN"/>
                <w14:textFill>
                  <w14:solidFill>
                    <w14:schemeClr w14:val="tx1"/>
                  </w14:solidFill>
                </w14:textFill>
              </w:rPr>
              <w:t>后填埋</w:t>
            </w:r>
          </w:p>
        </w:tc>
        <w:tc>
          <w:tcPr>
            <w:tcW w:w="2598"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剥离表土</w:t>
            </w:r>
          </w:p>
        </w:tc>
        <w:tc>
          <w:tcPr>
            <w:tcW w:w="3364" w:type="dxa"/>
            <w:tcBorders>
              <w:tl2br w:val="nil"/>
              <w:tr2bl w:val="nil"/>
            </w:tcBorders>
            <w:vAlign w:val="center"/>
          </w:tcPr>
          <w:p>
            <w:pPr>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表土就近堆放于钻孔平台，待封孔后用于植被恢复，平整场地</w:t>
            </w:r>
          </w:p>
        </w:tc>
        <w:tc>
          <w:tcPr>
            <w:tcW w:w="2598"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452" w:type="dxa"/>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Cs w:val="21"/>
                <w14:textFill>
                  <w14:solidFill>
                    <w14:schemeClr w14:val="tx1"/>
                  </w14:solidFill>
                </w14:textFill>
              </w:rPr>
              <w:t>废</w:t>
            </w:r>
            <w:r>
              <w:rPr>
                <w:rFonts w:hint="eastAsia"/>
                <w:color w:val="000000" w:themeColor="text1"/>
                <w:szCs w:val="21"/>
                <w:lang w:val="en-US" w:eastAsia="zh-CN"/>
                <w14:textFill>
                  <w14:solidFill>
                    <w14:schemeClr w14:val="tx1"/>
                  </w14:solidFill>
                </w14:textFill>
              </w:rPr>
              <w:t>机</w:t>
            </w:r>
            <w:r>
              <w:rPr>
                <w:color w:val="000000" w:themeColor="text1"/>
                <w:szCs w:val="21"/>
                <w14:textFill>
                  <w14:solidFill>
                    <w14:schemeClr w14:val="tx1"/>
                  </w14:solidFill>
                </w14:textFill>
              </w:rPr>
              <w:t>油</w:t>
            </w:r>
          </w:p>
        </w:tc>
        <w:tc>
          <w:tcPr>
            <w:tcW w:w="3364" w:type="dxa"/>
            <w:tcBorders>
              <w:tl2br w:val="nil"/>
              <w:tr2bl w:val="nil"/>
            </w:tcBorders>
            <w:vAlign w:val="center"/>
          </w:tcPr>
          <w:p>
            <w:pPr>
              <w:autoSpaceDE/>
              <w:autoSpaceDN/>
              <w:spacing w:line="280" w:lineRule="exact"/>
              <w:jc w:val="left"/>
              <w:rPr>
                <w:color w:val="000000" w:themeColor="text1"/>
                <w:sz w:val="21"/>
                <w:szCs w:val="21"/>
                <w14:textFill>
                  <w14:solidFill>
                    <w14:schemeClr w14:val="tx1"/>
                  </w14:solidFill>
                </w14:textFill>
              </w:rPr>
            </w:pPr>
            <w:r>
              <w:rPr>
                <w:rFonts w:hint="eastAsia"/>
                <w:color w:val="000000" w:themeColor="text1"/>
                <w:szCs w:val="21"/>
                <w:lang w:eastAsia="zh-CN"/>
                <w14:textFill>
                  <w14:solidFill>
                    <w14:schemeClr w14:val="tx1"/>
                  </w14:solidFill>
                </w14:textFill>
              </w:rPr>
              <w:t>建设单位收集后交有资质单位处置</w:t>
            </w:r>
          </w:p>
        </w:tc>
        <w:tc>
          <w:tcPr>
            <w:tcW w:w="2598"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1452" w:type="dxa"/>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Cs w:val="21"/>
                <w14:textFill>
                  <w14:solidFill>
                    <w14:schemeClr w14:val="tx1"/>
                  </w14:solidFill>
                </w14:textFill>
              </w:rPr>
              <w:t>人员生活</w:t>
            </w:r>
          </w:p>
        </w:tc>
        <w:tc>
          <w:tcPr>
            <w:tcW w:w="1309" w:type="dxa"/>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Cs w:val="21"/>
                <w14:textFill>
                  <w14:solidFill>
                    <w14:schemeClr w14:val="tx1"/>
                  </w14:solidFill>
                </w14:textFill>
              </w:rPr>
              <w:t>生活垃圾</w:t>
            </w:r>
          </w:p>
        </w:tc>
        <w:tc>
          <w:tcPr>
            <w:tcW w:w="3364" w:type="dxa"/>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钻探勘查区生活垃圾用垃圾袋带回项目部，项目部设垃圾桶进行收集，定期送往乡镇垃圾堆放点，由当地环卫部门清理处置</w:t>
            </w:r>
          </w:p>
        </w:tc>
        <w:tc>
          <w:tcPr>
            <w:tcW w:w="2598" w:type="dxa"/>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Cs w:val="21"/>
                <w14:textFill>
                  <w14:solidFill>
                    <w14:schemeClr w14:val="tx1"/>
                  </w14:solidFill>
                </w14:textFill>
              </w:rPr>
              <w:t>收集处置率100%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噪声</w:t>
            </w:r>
          </w:p>
        </w:tc>
        <w:tc>
          <w:tcPr>
            <w:tcW w:w="4468" w:type="pct"/>
            <w:gridSpan w:val="4"/>
            <w:tcBorders>
              <w:tl2br w:val="nil"/>
              <w:tr2bl w:val="nil"/>
            </w:tcBorders>
            <w:vAlign w:val="center"/>
          </w:tcPr>
          <w:p>
            <w:pP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衬减振垫料，在钻井过程中平稳操作，避免产生非正常的噪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atLeast"/>
        </w:trPr>
        <w:tc>
          <w:tcPr>
            <w:tcW w:w="5000" w:type="pct"/>
            <w:gridSpan w:val="5"/>
            <w:tcBorders>
              <w:tl2br w:val="nil"/>
              <w:tr2bl w:val="nil"/>
            </w:tcBorders>
          </w:tcPr>
          <w:p>
            <w:pPr>
              <w:spacing w:line="360" w:lineRule="auto"/>
              <w:rPr>
                <w:b/>
                <w:color w:val="000000" w:themeColor="text1"/>
                <w:sz w:val="24"/>
                <w:szCs w:val="24"/>
                <w:lang w:val="en-GB"/>
                <w14:textFill>
                  <w14:solidFill>
                    <w14:schemeClr w14:val="tx1"/>
                  </w14:solidFill>
                </w14:textFill>
              </w:rPr>
            </w:pPr>
            <w:r>
              <w:rPr>
                <w:b/>
                <w:color w:val="000000" w:themeColor="text1"/>
                <w:sz w:val="24"/>
                <w:szCs w:val="24"/>
                <w14:textFill>
                  <w14:solidFill>
                    <w14:schemeClr w14:val="tx1"/>
                  </w14:solidFill>
                </w14:textFill>
              </w:rPr>
              <w:t>生态保护措施及预期效果</w:t>
            </w:r>
          </w:p>
          <w:p>
            <w:pPr>
              <w:pStyle w:val="17"/>
              <w:keepNext w:val="0"/>
              <w:keepLines w:val="0"/>
              <w:pageBreakBefore w:val="0"/>
              <w:widowControl w:val="0"/>
              <w:kinsoku/>
              <w:wordWrap/>
              <w:overflowPunct/>
              <w:topLinePunct w:val="0"/>
              <w:autoSpaceDE w:val="0"/>
              <w:autoSpaceDN w:val="0"/>
              <w:bidi w:val="0"/>
              <w:adjustRightInd w:val="0"/>
              <w:snapToGrid/>
              <w:spacing w:line="360" w:lineRule="auto"/>
              <w:ind w:left="590"/>
              <w:textAlignment w:val="auto"/>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生态保护原则</w:t>
            </w:r>
          </w:p>
          <w:p>
            <w:pPr>
              <w:spacing w:line="360" w:lineRule="auto"/>
              <w:ind w:firstLine="480" w:firstLineChars="200"/>
              <w:rPr>
                <w:rFonts w:hint="eastAsia"/>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根据《甘肃省主体功能区规划》中规定“禁止开发区域包括：国家层面禁止开发区域——国家级自然保护区</w:t>
            </w:r>
            <w:r>
              <w:rPr>
                <w:rFonts w:hint="default" w:ascii="Times New Roman" w:hAnsi="Times New Roman" w:eastAsia="宋体" w:cs="Times New Roman"/>
                <w:color w:val="000000" w:themeColor="text1"/>
                <w:sz w:val="24"/>
                <w:lang w:val="en-US" w:eastAsia="zh-CN"/>
                <w14:textFill>
                  <w14:solidFill>
                    <w14:schemeClr w14:val="tx1"/>
                  </w14:solidFill>
                </w14:textFill>
              </w:rPr>
              <w:t>15</w:t>
            </w:r>
            <w:r>
              <w:rPr>
                <w:rFonts w:hint="eastAsia" w:ascii="Times New Roman" w:hAnsi="Times New Roman" w:eastAsia="宋体" w:cs="Times New Roman"/>
                <w:color w:val="000000" w:themeColor="text1"/>
                <w:sz w:val="24"/>
                <w:lang w:val="en-US" w:eastAsia="zh-CN"/>
                <w14:textFill>
                  <w14:solidFill>
                    <w14:schemeClr w14:val="tx1"/>
                  </w14:solidFill>
                </w14:textFill>
              </w:rPr>
              <w:t>处、世界文化自然遗产</w:t>
            </w:r>
            <w:r>
              <w:rPr>
                <w:rFonts w:hint="default" w:ascii="Times New Roman" w:hAnsi="Times New Roman" w:eastAsia="宋体" w:cs="Times New Roman"/>
                <w:color w:val="000000" w:themeColor="text1"/>
                <w:sz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处、国家级风景名胜区</w:t>
            </w:r>
            <w:r>
              <w:rPr>
                <w:rFonts w:hint="default" w:ascii="Times New Roman" w:hAnsi="Times New Roman" w:eastAsia="宋体" w:cs="Times New Roman"/>
                <w:color w:val="000000" w:themeColor="text1"/>
                <w:sz w:val="24"/>
                <w:lang w:val="en-US" w:eastAsia="zh-CN"/>
                <w14:textFill>
                  <w14:solidFill>
                    <w14:schemeClr w14:val="tx1"/>
                  </w14:solidFill>
                </w14:textFill>
              </w:rPr>
              <w:t>3</w:t>
            </w:r>
            <w:r>
              <w:rPr>
                <w:rFonts w:hint="eastAsia" w:ascii="Times New Roman" w:hAnsi="Times New Roman" w:eastAsia="宋体" w:cs="Times New Roman"/>
                <w:color w:val="000000" w:themeColor="text1"/>
                <w:sz w:val="24"/>
                <w:lang w:val="en-US" w:eastAsia="zh-CN"/>
                <w14:textFill>
                  <w14:solidFill>
                    <w14:schemeClr w14:val="tx1"/>
                  </w14:solidFill>
                </w14:textFill>
              </w:rPr>
              <w:t>处、国家森林公园</w:t>
            </w:r>
            <w:r>
              <w:rPr>
                <w:rFonts w:hint="default" w:ascii="Times New Roman" w:hAnsi="Times New Roman" w:eastAsia="宋体" w:cs="Times New Roman"/>
                <w:color w:val="000000" w:themeColor="text1"/>
                <w:sz w:val="24"/>
                <w:lang w:val="en-US" w:eastAsia="zh-CN"/>
                <w14:textFill>
                  <w14:solidFill>
                    <w14:schemeClr w14:val="tx1"/>
                  </w14:solidFill>
                </w14:textFill>
              </w:rPr>
              <w:t>21</w:t>
            </w:r>
            <w:r>
              <w:rPr>
                <w:rFonts w:hint="eastAsia" w:ascii="Times New Roman" w:hAnsi="Times New Roman" w:eastAsia="宋体" w:cs="Times New Roman"/>
                <w:color w:val="000000" w:themeColor="text1"/>
                <w:sz w:val="24"/>
                <w:lang w:val="en-US" w:eastAsia="zh-CN"/>
                <w14:textFill>
                  <w14:solidFill>
                    <w14:schemeClr w14:val="tx1"/>
                  </w14:solidFill>
                </w14:textFill>
              </w:rPr>
              <w:t>处、国家地质公园</w:t>
            </w:r>
            <w:r>
              <w:rPr>
                <w:rFonts w:hint="default" w:ascii="Times New Roman" w:hAnsi="Times New Roman" w:eastAsia="宋体" w:cs="Times New Roman"/>
                <w:color w:val="000000" w:themeColor="text1"/>
                <w:sz w:val="24"/>
                <w:lang w:val="en-US" w:eastAsia="zh-CN"/>
                <w14:textFill>
                  <w14:solidFill>
                    <w14:schemeClr w14:val="tx1"/>
                  </w14:solidFill>
                </w14:textFill>
              </w:rPr>
              <w:t>4</w:t>
            </w:r>
            <w:r>
              <w:rPr>
                <w:rFonts w:hint="eastAsia" w:ascii="Times New Roman" w:hAnsi="Times New Roman" w:eastAsia="宋体" w:cs="Times New Roman"/>
                <w:color w:val="000000" w:themeColor="text1"/>
                <w:sz w:val="24"/>
                <w:lang w:val="en-US" w:eastAsia="zh-CN"/>
                <w14:textFill>
                  <w14:solidFill>
                    <w14:schemeClr w14:val="tx1"/>
                  </w14:solidFill>
                </w14:textFill>
              </w:rPr>
              <w:t>处、湿地和湿地公园</w:t>
            </w:r>
            <w:r>
              <w:rPr>
                <w:rFonts w:hint="default" w:ascii="Times New Roman" w:hAnsi="Times New Roman" w:eastAsia="宋体" w:cs="Times New Roman"/>
                <w:color w:val="000000" w:themeColor="text1"/>
                <w:sz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处，国家层面禁止开发区域共</w:t>
            </w:r>
            <w:r>
              <w:rPr>
                <w:rFonts w:hint="default" w:ascii="Times New Roman" w:hAnsi="Times New Roman" w:eastAsia="宋体" w:cs="Times New Roman"/>
                <w:color w:val="000000" w:themeColor="text1"/>
                <w:sz w:val="24"/>
                <w:lang w:val="en-US" w:eastAsia="zh-CN"/>
                <w14:textFill>
                  <w14:solidFill>
                    <w14:schemeClr w14:val="tx1"/>
                  </w14:solidFill>
                </w14:textFill>
              </w:rPr>
              <w:t>47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处。省级层面禁止开发区域</w:t>
            </w:r>
            <w:r>
              <w:rPr>
                <w:rFonts w:hint="default" w:ascii="Times New Roman" w:hAnsi="Times New Roman" w:eastAsia="宋体"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省级自然保护区</w:t>
            </w:r>
            <w:r>
              <w:rPr>
                <w:rFonts w:hint="default" w:ascii="Times New Roman" w:hAnsi="Times New Roman" w:eastAsia="宋体" w:cs="Times New Roman"/>
                <w:color w:val="000000" w:themeColor="text1"/>
                <w:sz w:val="24"/>
                <w:lang w:val="en-US" w:eastAsia="zh-CN"/>
                <w14:textFill>
                  <w14:solidFill>
                    <w14:schemeClr w14:val="tx1"/>
                  </w14:solidFill>
                </w14:textFill>
              </w:rPr>
              <w:t>39</w:t>
            </w:r>
            <w:r>
              <w:rPr>
                <w:rFonts w:hint="eastAsia" w:ascii="Times New Roman" w:hAnsi="Times New Roman" w:eastAsia="宋体" w:cs="Times New Roman"/>
                <w:color w:val="000000" w:themeColor="text1"/>
                <w:sz w:val="24"/>
                <w:lang w:val="en-US" w:eastAsia="zh-CN"/>
                <w14:textFill>
                  <w14:solidFill>
                    <w14:schemeClr w14:val="tx1"/>
                  </w14:solidFill>
                </w14:textFill>
              </w:rPr>
              <w:t>处、省级风景名胜区</w:t>
            </w:r>
            <w:r>
              <w:rPr>
                <w:rFonts w:hint="default" w:ascii="Times New Roman" w:hAnsi="Times New Roman" w:eastAsia="宋体" w:cs="Times New Roman"/>
                <w:color w:val="000000" w:themeColor="text1"/>
                <w:sz w:val="24"/>
                <w:lang w:val="en-US" w:eastAsia="zh-CN"/>
                <w14:textFill>
                  <w14:solidFill>
                    <w14:schemeClr w14:val="tx1"/>
                  </w14:solidFill>
                </w14:textFill>
              </w:rPr>
              <w:t>20</w:t>
            </w:r>
            <w:r>
              <w:rPr>
                <w:rFonts w:hint="eastAsia" w:ascii="Times New Roman" w:hAnsi="Times New Roman" w:eastAsia="宋体" w:cs="Times New Roman"/>
                <w:color w:val="000000" w:themeColor="text1"/>
                <w:sz w:val="24"/>
                <w:lang w:val="en-US" w:eastAsia="zh-CN"/>
                <w14:textFill>
                  <w14:solidFill>
                    <w14:schemeClr w14:val="tx1"/>
                  </w14:solidFill>
                </w14:textFill>
              </w:rPr>
              <w:t>处、省级森林公园</w:t>
            </w:r>
            <w:r>
              <w:rPr>
                <w:rFonts w:hint="default" w:ascii="Times New Roman" w:hAnsi="Times New Roman" w:eastAsia="宋体" w:cs="Times New Roman"/>
                <w:color w:val="000000" w:themeColor="text1"/>
                <w:sz w:val="24"/>
                <w:lang w:val="en-US" w:eastAsia="zh-CN"/>
                <w14:textFill>
                  <w14:solidFill>
                    <w14:schemeClr w14:val="tx1"/>
                  </w14:solidFill>
                </w14:textFill>
              </w:rPr>
              <w:t>61</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处、省级地质公园</w:t>
            </w:r>
            <w:r>
              <w:rPr>
                <w:rFonts w:hint="default" w:ascii="Times New Roman" w:hAnsi="Times New Roman" w:eastAsia="宋体" w:cs="Times New Roman"/>
                <w:color w:val="000000" w:themeColor="text1"/>
                <w:sz w:val="24"/>
                <w:lang w:val="en-US" w:eastAsia="zh-CN"/>
                <w14:textFill>
                  <w14:solidFill>
                    <w14:schemeClr w14:val="tx1"/>
                  </w14:solidFill>
                </w14:textFill>
              </w:rPr>
              <w:t>17</w:t>
            </w:r>
            <w:r>
              <w:rPr>
                <w:rFonts w:hint="eastAsia" w:ascii="Times New Roman" w:hAnsi="Times New Roman" w:eastAsia="宋体" w:cs="Times New Roman"/>
                <w:color w:val="000000" w:themeColor="text1"/>
                <w:sz w:val="24"/>
                <w:lang w:val="en-US" w:eastAsia="zh-CN"/>
                <w14:textFill>
                  <w14:solidFill>
                    <w14:schemeClr w14:val="tx1"/>
                  </w14:solidFill>
                </w14:textFill>
              </w:rPr>
              <w:t>处、湿地和湿地公园</w:t>
            </w:r>
            <w:r>
              <w:rPr>
                <w:rFonts w:hint="default" w:ascii="Times New Roman" w:hAnsi="Times New Roman" w:eastAsia="宋体" w:cs="Times New Roman"/>
                <w:color w:val="000000" w:themeColor="text1"/>
                <w:sz w:val="24"/>
                <w:lang w:val="en-US" w:eastAsia="zh-CN"/>
                <w14:textFill>
                  <w14:solidFill>
                    <w14:schemeClr w14:val="tx1"/>
                  </w14:solidFill>
                </w14:textFill>
              </w:rPr>
              <w:t>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处，省级层面禁止开发区域共</w:t>
            </w:r>
            <w:r>
              <w:rPr>
                <w:rFonts w:hint="default" w:ascii="Times New Roman" w:hAnsi="Times New Roman" w:eastAsia="宋体" w:cs="Times New Roman"/>
                <w:color w:val="000000" w:themeColor="text1"/>
                <w:sz w:val="24"/>
                <w:lang w:val="en-US" w:eastAsia="zh-CN"/>
                <w14:textFill>
                  <w14:solidFill>
                    <w14:schemeClr w14:val="tx1"/>
                  </w14:solidFill>
                </w14:textFill>
              </w:rPr>
              <w:t>144</w:t>
            </w:r>
            <w:r>
              <w:rPr>
                <w:rFonts w:hint="eastAsia" w:ascii="Times New Roman" w:hAnsi="Times New Roman" w:eastAsia="宋体" w:cs="Times New Roman"/>
                <w:color w:val="000000" w:themeColor="text1"/>
                <w:sz w:val="24"/>
                <w:lang w:val="en-US" w:eastAsia="zh-CN"/>
                <w14:textFill>
                  <w14:solidFill>
                    <w14:schemeClr w14:val="tx1"/>
                  </w14:solidFill>
                </w14:textFill>
              </w:rPr>
              <w:t>处。国家级和省级自然保护区、世界文化自然遗产、风景名胜区、森林公园、地质公园、湿地公园共计191处，其中国家级</w:t>
            </w:r>
            <w:r>
              <w:rPr>
                <w:rFonts w:hint="default" w:ascii="Times New Roman" w:hAnsi="Times New Roman" w:eastAsia="宋体" w:cs="Times New Roman"/>
                <w:color w:val="000000" w:themeColor="text1"/>
                <w:sz w:val="24"/>
                <w:lang w:val="en-US" w:eastAsia="zh-CN"/>
                <w14:textFill>
                  <w14:solidFill>
                    <w14:schemeClr w14:val="tx1"/>
                  </w14:solidFill>
                </w14:textFill>
              </w:rPr>
              <w:t>47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w:t>
            </w:r>
            <w:r>
              <w:rPr>
                <w:rFonts w:hint="default" w:ascii="Times New Roman" w:hAnsi="Times New Roman" w:eastAsia="宋体" w:cs="Times New Roman"/>
                <w:color w:val="000000" w:themeColor="text1"/>
                <w:sz w:val="24"/>
                <w:lang w:val="en-US" w:eastAsia="zh-CN"/>
                <w14:textFill>
                  <w14:solidFill>
                    <w14:schemeClr w14:val="tx1"/>
                  </w14:solidFill>
                </w14:textFill>
              </w:rPr>
              <w:t>144</w:t>
            </w:r>
            <w:r>
              <w:rPr>
                <w:rFonts w:hint="eastAsia" w:ascii="Times New Roman" w:hAnsi="Times New Roman" w:eastAsia="宋体" w:cs="Times New Roman"/>
                <w:color w:val="000000" w:themeColor="text1"/>
                <w:sz w:val="24"/>
                <w:lang w:val="en-US" w:eastAsia="zh-CN"/>
                <w14:textFill>
                  <w14:solidFill>
                    <w14:schemeClr w14:val="tx1"/>
                  </w14:solidFill>
                </w14:textFill>
              </w:rPr>
              <w:t>处。禁止开发区域面积为</w:t>
            </w:r>
            <w:r>
              <w:rPr>
                <w:rFonts w:hint="default" w:ascii="Times New Roman" w:hAnsi="Times New Roman" w:eastAsia="宋体" w:cs="Times New Roman"/>
                <w:color w:val="000000" w:themeColor="text1"/>
                <w:sz w:val="24"/>
                <w:lang w:val="en-US" w:eastAsia="zh-CN"/>
                <w14:textFill>
                  <w14:solidFill>
                    <w14:schemeClr w14:val="tx1"/>
                  </w14:solidFill>
                </w14:textFill>
              </w:rPr>
              <w:t>75843.34km</w:t>
            </w:r>
            <w:r>
              <w:rPr>
                <w:rFonts w:hint="default"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 xml:space="preserve">，占全省总面积的 </w:t>
            </w:r>
            <w:r>
              <w:rPr>
                <w:rFonts w:hint="default" w:ascii="Times New Roman" w:hAnsi="Times New Roman" w:eastAsia="宋体" w:cs="Times New Roman"/>
                <w:color w:val="000000" w:themeColor="text1"/>
                <w:sz w:val="24"/>
                <w:lang w:val="en-US" w:eastAsia="zh-CN"/>
                <w14:textFill>
                  <w14:solidFill>
                    <w14:schemeClr w14:val="tx1"/>
                  </w14:solidFill>
                </w14:textFill>
              </w:rPr>
              <w:t>17.81%</w:t>
            </w:r>
            <w:r>
              <w:rPr>
                <w:rFonts w:hint="eastAsia" w:ascii="Times New Roman" w:hAnsi="Times New Roman" w:eastAsia="宋体" w:cs="Times New Roman"/>
                <w:color w:val="000000" w:themeColor="text1"/>
                <w:sz w:val="24"/>
                <w:lang w:val="en-US" w:eastAsia="zh-CN"/>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根据《甘肃省人民政府关于实施“三线一单”生态功能分区管控的意见》（甘政发[2020]68号），</w:t>
            </w:r>
            <w:r>
              <w:rPr>
                <w:rFonts w:hint="eastAsia"/>
                <w:color w:val="000000" w:themeColor="text1"/>
                <w:sz w:val="24"/>
                <w14:textFill>
                  <w14:solidFill>
                    <w14:schemeClr w14:val="tx1"/>
                  </w14:solidFill>
                </w14:textFill>
              </w:rPr>
              <w:t>全省共划定环境管控单元842个，分为优先保护单元、重点管控单元和一般管控单元三类，实施分类管控。优先保护单元共491个，主要包括生态保护红线、自然保护地、集中式饮用水水源保护区等生态功能重要区和生态环境敏感区。一重点管控单元共263个，主要包括中心城区和城镇规划区、各级各类工业园区及工业集聚区等开发强度高、环境问题相对集中的区域。</w:t>
            </w:r>
            <w:r>
              <w:rPr>
                <w:rFonts w:hint="eastAsia"/>
                <w:color w:val="000000" w:themeColor="text1"/>
                <w:sz w:val="24"/>
                <w:lang w:val="en-US" w:eastAsia="zh-CN"/>
                <w14:textFill>
                  <w14:solidFill>
                    <w14:schemeClr w14:val="tx1"/>
                  </w14:solidFill>
                </w14:textFill>
              </w:rPr>
              <w:t>一</w:t>
            </w:r>
            <w:r>
              <w:rPr>
                <w:rFonts w:hint="eastAsia"/>
                <w:color w:val="000000" w:themeColor="text1"/>
                <w:sz w:val="24"/>
                <w14:textFill>
                  <w14:solidFill>
                    <w14:schemeClr w14:val="tx1"/>
                  </w14:solidFill>
                </w14:textFill>
              </w:rPr>
              <w:t>般管控单元共88个，主要包括先保护单元、重点管控单元以外的区域。</w:t>
            </w:r>
          </w:p>
          <w:p>
            <w:pPr>
              <w:spacing w:line="360" w:lineRule="auto"/>
              <w:ind w:firstLine="480" w:firstLineChars="200"/>
              <w:rPr>
                <w:rFonts w:hint="eastAsia" w:ascii="Times New Roman" w:hAnsi="Times New Roman" w:eastAsia="宋体" w:cs="Times New Roman"/>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根据《内蒙古自治区主体功能区规划》，内蒙古自治区禁止开发区域共有3</w:t>
            </w:r>
            <w:r>
              <w:rPr>
                <w:color w:val="000000" w:themeColor="text1"/>
                <w:sz w:val="24"/>
                <w14:textFill>
                  <w14:solidFill>
                    <w14:schemeClr w14:val="tx1"/>
                  </w14:solidFill>
                </w14:textFill>
              </w:rPr>
              <w:t>18</w:t>
            </w:r>
            <w:r>
              <w:rPr>
                <w:rFonts w:hint="eastAsia"/>
                <w:color w:val="000000" w:themeColor="text1"/>
                <w:sz w:val="24"/>
                <w14:textFill>
                  <w14:solidFill>
                    <w14:schemeClr w14:val="tx1"/>
                  </w14:solidFill>
                </w14:textFill>
              </w:rPr>
              <w:t>处，其中国家级禁止开发区域5</w:t>
            </w:r>
            <w:r>
              <w:rPr>
                <w:color w:val="000000" w:themeColor="text1"/>
                <w:sz w:val="24"/>
                <w14:textFill>
                  <w14:solidFill>
                    <w14:schemeClr w14:val="tx1"/>
                  </w14:solidFill>
                </w14:textFill>
              </w:rPr>
              <w:t>9</w:t>
            </w:r>
            <w:r>
              <w:rPr>
                <w:rFonts w:hint="eastAsia"/>
                <w:color w:val="000000" w:themeColor="text1"/>
                <w:sz w:val="24"/>
                <w14:textFill>
                  <w14:solidFill>
                    <w14:schemeClr w14:val="tx1"/>
                  </w14:solidFill>
                </w14:textFill>
              </w:rPr>
              <w:t>处，占全区国土面积的</w:t>
            </w:r>
            <w:r>
              <w:rPr>
                <w:color w:val="000000" w:themeColor="text1"/>
                <w:sz w:val="24"/>
                <w14:textFill>
                  <w14:solidFill>
                    <w14:schemeClr w14:val="tx1"/>
                  </w14:solidFill>
                </w14:textFill>
              </w:rPr>
              <w:t>4.41</w:t>
            </w:r>
            <w:r>
              <w:rPr>
                <w:rFonts w:hint="eastAsia"/>
                <w:color w:val="000000" w:themeColor="text1"/>
                <w:sz w:val="24"/>
                <w14:textFill>
                  <w14:solidFill>
                    <w14:schemeClr w14:val="tx1"/>
                  </w14:solidFill>
                </w14:textFill>
              </w:rPr>
              <w:t>%；自治区级以下禁止开发区域2</w:t>
            </w:r>
            <w:r>
              <w:rPr>
                <w:color w:val="000000" w:themeColor="text1"/>
                <w:sz w:val="24"/>
                <w14:textFill>
                  <w14:solidFill>
                    <w14:schemeClr w14:val="tx1"/>
                  </w14:solidFill>
                </w14:textFill>
              </w:rPr>
              <w:t>59</w:t>
            </w:r>
            <w:r>
              <w:rPr>
                <w:rFonts w:hint="eastAsia"/>
                <w:color w:val="000000" w:themeColor="text1"/>
                <w:sz w:val="24"/>
                <w14:textFill>
                  <w14:solidFill>
                    <w14:schemeClr w14:val="tx1"/>
                  </w14:solidFill>
                </w14:textFill>
              </w:rPr>
              <w:t>处，</w:t>
            </w:r>
            <w:r>
              <w:rPr>
                <w:rFonts w:hint="eastAsia" w:ascii="Times New Roman" w:hAnsi="Times New Roman" w:eastAsia="宋体" w:cs="Times New Roman"/>
                <w:color w:val="000000" w:themeColor="text1"/>
                <w:sz w:val="24"/>
                <w14:textFill>
                  <w14:solidFill>
                    <w14:schemeClr w14:val="tx1"/>
                  </w14:solidFill>
                </w14:textFill>
              </w:rPr>
              <w:t>占全区国土面积的10.86%。</w:t>
            </w:r>
          </w:p>
          <w:p>
            <w:pPr>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根据《内蒙古自治区“三线一单”生态环境分区管控的通知》（内政发[2020]24号），</w:t>
            </w:r>
            <w:r>
              <w:rPr>
                <w:rFonts w:hint="default" w:ascii="Times New Roman" w:hAnsi="Times New Roman" w:eastAsia="宋体" w:cs="Times New Roman"/>
                <w:color w:val="000000" w:themeColor="text1"/>
                <w:sz w:val="24"/>
                <w14:textFill>
                  <w14:solidFill>
                    <w14:schemeClr w14:val="tx1"/>
                  </w14:solidFill>
                </w14:textFill>
              </w:rPr>
              <w:t>全区共划分环境管控单元1135个，包括优先保护单元、重点管控单元、一般管控单元三类，实施分类管控。优先保护单元共422个，面积占比为74.50%。主要包括我区生态保护红线、自然保护地、集中式饮用水水源保护区等生态功能重要区和生态环境敏感区。重点管控单元共651个，面积占比为19.61%。主要包括工业园区、城市、矿区等开发强度高、污染排放量大、环境问题相对集中的区域，以及生态需水补给区等。一般管控单元</w:t>
            </w:r>
            <w:r>
              <w:rPr>
                <w:rFonts w:hint="eastAsia" w:ascii="Times New Roman" w:hAnsi="Times New Roman" w:eastAsia="宋体" w:cs="Times New Roman"/>
                <w:color w:val="000000" w:themeColor="text1"/>
                <w:sz w:val="24"/>
                <w:lang w:val="en-US" w:eastAsia="zh-CN"/>
                <w14:textFill>
                  <w14:solidFill>
                    <w14:schemeClr w14:val="tx1"/>
                  </w14:solidFill>
                </w14:textFill>
              </w:rPr>
              <w:t>包括</w:t>
            </w:r>
            <w:r>
              <w:rPr>
                <w:rFonts w:hint="default" w:ascii="Times New Roman" w:hAnsi="Times New Roman" w:eastAsia="宋体" w:cs="Times New Roman"/>
                <w:color w:val="000000" w:themeColor="text1"/>
                <w:sz w:val="24"/>
                <w14:textFill>
                  <w14:solidFill>
                    <w14:schemeClr w14:val="tx1"/>
                  </w14:solidFill>
                </w14:textFill>
              </w:rPr>
              <w:t>优先保护单元、重点管控单元之外</w:t>
            </w:r>
            <w:r>
              <w:rPr>
                <w:rFonts w:hint="eastAsia" w:ascii="Times New Roman" w:hAnsi="Times New Roman" w:eastAsia="宋体" w:cs="Times New Roman"/>
                <w:color w:val="000000" w:themeColor="text1"/>
                <w:sz w:val="24"/>
                <w:lang w:val="en-US" w:eastAsia="zh-CN"/>
                <w14:textFill>
                  <w14:solidFill>
                    <w14:schemeClr w14:val="tx1"/>
                  </w14:solidFill>
                </w14:textFill>
              </w:rPr>
              <w:t>的区域</w:t>
            </w:r>
            <w:r>
              <w:rPr>
                <w:rFonts w:hint="default" w:ascii="Times New Roman" w:hAnsi="Times New Roman" w:eastAsia="宋体" w:cs="Times New Roman"/>
                <w:color w:val="000000" w:themeColor="text1"/>
                <w:sz w:val="24"/>
                <w14:textFill>
                  <w14:solidFill>
                    <w14:schemeClr w14:val="tx1"/>
                  </w14:solidFill>
                </w14:textFill>
              </w:rPr>
              <w:t>，共62个，面积占比为5.89%。该区域主要落实生态环境保护基本要求。</w:t>
            </w:r>
          </w:p>
          <w:p>
            <w:pPr>
              <w:pStyle w:val="1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ascii="Times New Roman"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2、避让措施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color w:val="000000" w:themeColor="text1"/>
                <w:kern w:val="2"/>
                <w:sz w:val="24"/>
                <w:szCs w:val="24"/>
                <w:lang w:eastAsia="zh-CN" w:bidi="ar-SA"/>
                <w14:textFill>
                  <w14:solidFill>
                    <w14:schemeClr w14:val="tx1"/>
                  </w14:solidFill>
                </w14:textFill>
              </w:rPr>
              <w:t>因铀矿地质勘查过程中，钻孔位置在</w:t>
            </w:r>
            <w:r>
              <w:rPr>
                <w:rFonts w:hint="eastAsia"/>
                <w:color w:val="000000" w:themeColor="text1"/>
                <w:kern w:val="2"/>
                <w:sz w:val="24"/>
                <w:szCs w:val="24"/>
                <w:lang w:val="en-US" w:eastAsia="zh-CN" w:bidi="ar-SA"/>
                <w14:textFill>
                  <w14:solidFill>
                    <w14:schemeClr w14:val="tx1"/>
                  </w14:solidFill>
                </w14:textFill>
              </w:rPr>
              <w:t>勘查</w:t>
            </w:r>
            <w:r>
              <w:rPr>
                <w:rFonts w:hint="eastAsia"/>
                <w:color w:val="000000" w:themeColor="text1"/>
                <w:kern w:val="2"/>
                <w:sz w:val="24"/>
                <w:szCs w:val="24"/>
                <w:lang w:eastAsia="zh-CN" w:bidi="ar-SA"/>
                <w14:textFill>
                  <w14:solidFill>
                    <w14:schemeClr w14:val="tx1"/>
                  </w14:solidFill>
                </w14:textFill>
              </w:rPr>
              <w:t>区内一般按照“边施工、边研究、边调整”的原</w:t>
            </w:r>
            <w:r>
              <w:rPr>
                <w:rFonts w:hint="eastAsia" w:ascii="宋体" w:hAnsi="宋体" w:eastAsia="宋体" w:cs="宋体"/>
                <w:color w:val="000000" w:themeColor="text1"/>
                <w:sz w:val="24"/>
                <w:lang w:eastAsia="zh-CN"/>
                <w14:textFill>
                  <w14:solidFill>
                    <w14:schemeClr w14:val="tx1"/>
                  </w14:solidFill>
                </w14:textFill>
              </w:rPr>
              <w:t>则布置，具有不确定性。因此，评价针对拟设钻孔等工程选址提出以下原则性要求：</w:t>
            </w:r>
          </w:p>
          <w:p>
            <w:pPr>
              <w:spacing w:line="360" w:lineRule="auto"/>
              <w:ind w:firstLine="480" w:firstLineChars="200"/>
              <w:jc w:val="both"/>
              <w:rPr>
                <w:rFonts w:hint="eastAsia"/>
                <w:color w:val="000000" w:themeColor="text1"/>
                <w:kern w:val="2"/>
                <w:sz w:val="24"/>
                <w:szCs w:val="24"/>
                <w:lang w:eastAsia="zh-CN" w:bidi="ar-SA"/>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①经调查，勘查区内分布的自然保护区、风景名胜区、森林公园、地质公园、重要湿地、水源保护地、文化遗产等</w:t>
            </w:r>
            <w:r>
              <w:rPr>
                <w:rFonts w:hint="eastAsia" w:ascii="宋体" w:hAnsi="宋体" w:eastAsia="宋体" w:cs="宋体"/>
                <w:b w:val="0"/>
                <w:bCs w:val="0"/>
                <w:color w:val="000000" w:themeColor="text1"/>
                <w:sz w:val="24"/>
                <w:lang w:val="en-US" w:eastAsia="zh-CN"/>
                <w14:textFill>
                  <w14:solidFill>
                    <w14:schemeClr w14:val="tx1"/>
                  </w14:solidFill>
                </w14:textFill>
              </w:rPr>
              <w:t>环境敏感区</w:t>
            </w:r>
            <w:r>
              <w:rPr>
                <w:rFonts w:hint="eastAsia" w:ascii="宋体" w:hAnsi="宋体" w:cs="宋体"/>
                <w:b w:val="0"/>
                <w:bCs w:val="0"/>
                <w:color w:val="000000" w:themeColor="text1"/>
                <w:sz w:val="24"/>
                <w:lang w:val="en-US"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建议调整的钻孔、临时道路修建等工程对上述环境敏感区进行避让；</w:t>
            </w:r>
          </w:p>
          <w:p>
            <w:pPr>
              <w:bidi w:val="0"/>
              <w:spacing w:line="360" w:lineRule="auto"/>
              <w:ind w:firstLine="480" w:firstLineChars="200"/>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lang w:val="en-US" w:eastAsia="zh-CN"/>
                <w14:textFill>
                  <w14:solidFill>
                    <w14:schemeClr w14:val="tx1"/>
                  </w14:solidFill>
                </w14:textFill>
              </w:rPr>
              <w:t>因2023-2026年钻孔位置尚未确定，为贯彻落实国家、地方生态保护的各项规定，最大限度减小项目生态环境的影响，2023-2026年钻孔选址应对上述敏感区及生态红线进行避让，钻孔位置明确后及时向审批部门及属地监管部门进行报备。</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cs="Times New Roman"/>
                <w:color w:val="000000" w:themeColor="text1"/>
                <w:kern w:val="2"/>
                <w:sz w:val="24"/>
                <w:szCs w:val="24"/>
                <w:lang w:eastAsia="zh-CN" w:bidi="ar-SA"/>
                <w14:textFill>
                  <w14:solidFill>
                    <w14:schemeClr w14:val="tx1"/>
                  </w14:solidFill>
                </w14:textFill>
              </w:rPr>
            </w:pP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begin"/>
            </w:r>
            <w:r>
              <w:rPr>
                <w:rFonts w:hint="default" w:ascii="Times New Roman" w:hAnsi="Times New Roman" w:cs="Times New Roman"/>
                <w:color w:val="000000" w:themeColor="text1"/>
                <w:kern w:val="2"/>
                <w:sz w:val="24"/>
                <w:szCs w:val="24"/>
                <w:lang w:eastAsia="zh-CN" w:bidi="ar-SA"/>
                <w14:textFill>
                  <w14:solidFill>
                    <w14:schemeClr w14:val="tx1"/>
                  </w14:solidFill>
                </w14:textFill>
              </w:rPr>
              <w:instrText xml:space="preserve"> = 2 \* GB3 \* MERGEFORMAT </w:instrText>
            </w: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separate"/>
            </w:r>
            <w:r>
              <w:rPr>
                <w:rFonts w:hint="default" w:ascii="Times New Roman" w:hAnsi="Times New Roman" w:cs="Times New Roman"/>
                <w:color w:val="000000" w:themeColor="text1"/>
                <w:sz w:val="24"/>
                <w:szCs w:val="24"/>
                <w14:textFill>
                  <w14:solidFill>
                    <w14:schemeClr w14:val="tx1"/>
                  </w14:solidFill>
                </w14:textFill>
              </w:rPr>
              <w:t>②</w:t>
            </w: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end"/>
            </w:r>
            <w:r>
              <w:rPr>
                <w:rFonts w:hint="default" w:ascii="Times New Roman" w:hAnsi="Times New Roman" w:cs="Times New Roman"/>
                <w:color w:val="000000" w:themeColor="text1"/>
                <w:kern w:val="2"/>
                <w:sz w:val="24"/>
                <w:szCs w:val="24"/>
                <w:lang w:eastAsia="zh-CN" w:bidi="ar-SA"/>
                <w14:textFill>
                  <w14:solidFill>
                    <w14:schemeClr w14:val="tx1"/>
                  </w14:solidFill>
                </w14:textFill>
              </w:rPr>
              <w:t>拟设钻孔、临时道路修建等还应对勘查区内基本农田保护区、城乡规划区等保护目标进行避让，建议钻孔与周边村庄集中居住区距离不小于250m；</w:t>
            </w:r>
          </w:p>
          <w:p>
            <w:pPr>
              <w:spacing w:line="360" w:lineRule="auto"/>
              <w:ind w:firstLine="480" w:firstLineChars="200"/>
              <w:rPr>
                <w:rFonts w:hint="default" w:ascii="Times New Roman" w:hAnsi="Times New Roman" w:cs="Times New Roman"/>
                <w:bCs/>
                <w:color w:val="000000" w:themeColor="text1"/>
                <w:sz w:val="24"/>
                <w:szCs w:val="24"/>
                <w:lang w:val="en-US" w:eastAsia="zh-CN"/>
                <w14:textFill>
                  <w14:solidFill>
                    <w14:schemeClr w14:val="tx1"/>
                  </w14:solidFill>
                </w14:textFill>
              </w:rPr>
            </w:pPr>
            <w:r>
              <w:rPr>
                <w:rFonts w:hint="default" w:ascii="Times New Roman" w:hAnsi="Times New Roman" w:cs="Times New Roman"/>
                <w:bCs/>
                <w:color w:val="000000" w:themeColor="text1"/>
                <w:sz w:val="24"/>
                <w:szCs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对</w:t>
            </w:r>
            <w:r>
              <w:rPr>
                <w:rFonts w:ascii="宋体" w:hAnsi="宋体" w:eastAsia="宋体" w:cs="宋体"/>
                <w:color w:val="000000" w:themeColor="text1"/>
                <w:sz w:val="24"/>
                <w:szCs w:val="24"/>
                <w14:textFill>
                  <w14:solidFill>
                    <w14:schemeClr w14:val="tx1"/>
                  </w14:solidFill>
                </w14:textFill>
              </w:rPr>
              <w:t>内蒙古</w:t>
            </w:r>
            <w:r>
              <w:rPr>
                <w:rFonts w:hint="eastAsia" w:ascii="宋体" w:hAnsi="宋体" w:cs="宋体"/>
                <w:color w:val="000000" w:themeColor="text1"/>
                <w:sz w:val="24"/>
                <w:szCs w:val="24"/>
                <w:lang w:val="en-US" w:eastAsia="zh-CN"/>
                <w14:textFill>
                  <w14:solidFill>
                    <w14:schemeClr w14:val="tx1"/>
                  </w14:solidFill>
                </w14:textFill>
              </w:rPr>
              <w:t>自治区和甘肃省</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spacing w:line="360" w:lineRule="auto"/>
              <w:ind w:firstLine="482" w:firstLineChars="200"/>
              <w:rPr>
                <w:rFonts w:hint="eastAsia"/>
                <w:b/>
                <w:bCs w:val="0"/>
                <w:color w:val="000000" w:themeColor="text1"/>
                <w:sz w:val="24"/>
                <w:lang w:val="en-US" w:eastAsia="zh-CN"/>
                <w14:textFill>
                  <w14:solidFill>
                    <w14:schemeClr w14:val="tx1"/>
                  </w14:solidFill>
                </w14:textFill>
              </w:rPr>
            </w:pPr>
            <w:r>
              <w:rPr>
                <w:rFonts w:hint="eastAsia"/>
                <w:b/>
                <w:bCs w:val="0"/>
                <w:color w:val="000000" w:themeColor="text1"/>
                <w:sz w:val="24"/>
                <w:lang w:val="en-US" w:eastAsia="zh-CN"/>
                <w14:textFill>
                  <w14:solidFill>
                    <w14:schemeClr w14:val="tx1"/>
                  </w14:solidFill>
                </w14:textFill>
              </w:rPr>
              <w:t>3、生态保护与恢复措施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生态保护与恢复措施应以维持该地区原生态系统的结构为前提，原则上应按占地类型因地制宜，具体包括工程措施、植被恢复措施等。</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评价根据工程类型提出以下生态保护与恢复措施：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①尽量减小钻探施工临时占地面积，以免造成土壤与植被的不必要的破坏；</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②钻探场地、泥浆池等剥离的表土就近堆放于钻孔平台附近，待封孔后用于场地恢复；</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③禁止生活垃圾乱堆、乱扔、乱埋；</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④雨季施工要做好临时排水及拦挡措施，大风天气应停止土方作业。</w:t>
            </w:r>
          </w:p>
          <w:p>
            <w:pPr>
              <w:spacing w:line="360" w:lineRule="auto"/>
              <w:ind w:firstLine="482" w:firstLineChars="200"/>
              <w:rPr>
                <w:rFonts w:hint="eastAsia"/>
                <w:b/>
                <w:bCs w:val="0"/>
                <w:color w:val="000000" w:themeColor="text1"/>
                <w:sz w:val="24"/>
                <w:lang w:val="en-US" w:eastAsia="zh-CN"/>
                <w14:textFill>
                  <w14:solidFill>
                    <w14:schemeClr w14:val="tx1"/>
                  </w14:solidFill>
                </w14:textFill>
              </w:rPr>
            </w:pPr>
            <w:r>
              <w:rPr>
                <w:rFonts w:hint="eastAsia"/>
                <w:b/>
                <w:bCs w:val="0"/>
                <w:color w:val="000000" w:themeColor="text1"/>
                <w:sz w:val="24"/>
                <w:lang w:val="en-US" w:eastAsia="zh-CN"/>
                <w14:textFill>
                  <w14:solidFill>
                    <w14:schemeClr w14:val="tx1"/>
                  </w14:solidFill>
                </w14:textFill>
              </w:rPr>
              <w:t>评价根据不同的占地类型提出以下生态保护与恢复措施：</w:t>
            </w:r>
          </w:p>
          <w:p>
            <w:pPr>
              <w:spacing w:line="360" w:lineRule="auto"/>
              <w:ind w:firstLine="480" w:firstLineChars="200"/>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（1）林地、草地</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 xml:space="preserve">①如果原有土地利用类型为林地、草地，首先要把表层的熟化土壤尽可能地剥离，放在合适的地方储存并加以养护以保持其肥力，待施工结束后再平铺于土地表面。草地、林地表层耕植土剥离厚度为15cm，就近堆置在周围较低的洼地处填平，加以覆盖。 </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②施工结束后，对受损的林木、灌草及时扶正，保证正常生长。对破坏严重的地块，根据海拔、坡向、坡度、土壤质地、土层厚度等，采取适宜的整地措施，选择适宜的品种， 适地适树适草，增加植被覆盖度。例如：林地可以采用穴状整地方式，如灌木林采用30×30×30cm的小穴整地；草地随原地面坡度推平就可，不需要做大幅度的整平，以免动土太大而引起水土流失；破坏较轻的草地无需整地，以免破坏表土结皮而引起风蚀。</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③拟复垦为有林地的区域，林草选择应因地制宜，选择本土植物。</w:t>
            </w:r>
          </w:p>
          <w:p>
            <w:pPr>
              <w:spacing w:line="360" w:lineRule="auto"/>
              <w:ind w:firstLine="480" w:firstLineChars="200"/>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④因钻探工程开工时间均为当地解冻之后，故施工完成后应及时进行土地平整，在当 地植被萌芽的季节或夏季种植，选择在夏季雨季开始之间，以保证新栽植的幼苗或播撒的 草籽在雨季能够获得充足的水分和生长时间。</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（2）戈壁滩</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①如果原有土地利用类型为戈壁滩，在施工前需对地表砾石剥离收集，剥离砾石存放于钻探井场周边未占压空地，外围使用彩钢板圈围，表面覆盖密目网。</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②施工结束后，对临时占地进行平整，使用原砾石进行地表覆盖。</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③若有条件进行植被恢复的地区，可以选择当地适生的耐旱、耐盐物种，如红柳、骆驼刺、芨芨草、披碱草等进行植被恢复。</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（2）耕地</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①</w:t>
            </w:r>
            <w:r>
              <w:rPr>
                <w:color w:val="000000" w:themeColor="text1"/>
                <w:sz w:val="24"/>
                <w:szCs w:val="24"/>
                <w:lang w:eastAsia="zh-CN"/>
                <w14:textFill>
                  <w14:solidFill>
                    <w14:schemeClr w14:val="tx1"/>
                  </w14:solidFill>
                </w14:textFill>
              </w:rPr>
              <w:t>如果原有土地利用类型为</w:t>
            </w:r>
            <w:r>
              <w:rPr>
                <w:rFonts w:hint="eastAsia"/>
                <w:color w:val="000000" w:themeColor="text1"/>
                <w:sz w:val="24"/>
                <w:szCs w:val="24"/>
                <w:lang w:eastAsia="zh-CN"/>
                <w14:textFill>
                  <w14:solidFill>
                    <w14:schemeClr w14:val="tx1"/>
                  </w14:solidFill>
                </w14:textFill>
              </w:rPr>
              <w:t>耕地等，同样首先要把表层熟化土壤尽可能剥离，</w:t>
            </w:r>
            <w:r>
              <w:rPr>
                <w:color w:val="000000" w:themeColor="text1"/>
                <w:sz w:val="24"/>
                <w:szCs w:val="24"/>
                <w:lang w:eastAsia="zh-CN"/>
                <w14:textFill>
                  <w14:solidFill>
                    <w14:schemeClr w14:val="tx1"/>
                  </w14:solidFill>
                </w14:textFill>
              </w:rPr>
              <w:t>耕地表层耕植土剥离厚度为25cm，就近堆置或装袋存放在</w:t>
            </w:r>
            <w:r>
              <w:rPr>
                <w:rFonts w:hint="eastAsia"/>
                <w:color w:val="000000" w:themeColor="text1"/>
                <w:sz w:val="24"/>
                <w:szCs w:val="24"/>
                <w:lang w:eastAsia="zh-CN"/>
                <w14:textFill>
                  <w14:solidFill>
                    <w14:schemeClr w14:val="tx1"/>
                  </w14:solidFill>
                </w14:textFill>
              </w:rPr>
              <w:t>钻探</w:t>
            </w:r>
            <w:r>
              <w:rPr>
                <w:color w:val="000000" w:themeColor="text1"/>
                <w:sz w:val="24"/>
                <w:szCs w:val="24"/>
                <w:lang w:eastAsia="zh-CN"/>
                <w14:textFill>
                  <w14:solidFill>
                    <w14:schemeClr w14:val="tx1"/>
                  </w14:solidFill>
                </w14:textFill>
              </w:rPr>
              <w:t>井场周边，并加以覆盖</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园地表层耕植土剥离厚度为15cm，就近堆置在周围较低的洼地处填平，</w:t>
            </w:r>
            <w:r>
              <w:rPr>
                <w:rFonts w:hint="eastAsia"/>
                <w:color w:val="000000" w:themeColor="text1"/>
                <w:sz w:val="24"/>
                <w:szCs w:val="24"/>
                <w:lang w:eastAsia="zh-CN"/>
                <w14:textFill>
                  <w14:solidFill>
                    <w14:schemeClr w14:val="tx1"/>
                  </w14:solidFill>
                </w14:textFill>
              </w:rPr>
              <w:t>加以</w:t>
            </w:r>
            <w:r>
              <w:rPr>
                <w:color w:val="000000" w:themeColor="text1"/>
                <w:sz w:val="24"/>
                <w:szCs w:val="24"/>
                <w:lang w:eastAsia="zh-CN"/>
                <w14:textFill>
                  <w14:solidFill>
                    <w14:schemeClr w14:val="tx1"/>
                  </w14:solidFill>
                </w14:textFill>
              </w:rPr>
              <w:t>覆盖</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②施工结束后，</w:t>
            </w:r>
            <w:r>
              <w:rPr>
                <w:color w:val="000000" w:themeColor="text1"/>
                <w:sz w:val="24"/>
                <w:szCs w:val="24"/>
                <w:lang w:eastAsia="zh-CN"/>
                <w14:textFill>
                  <w14:solidFill>
                    <w14:schemeClr w14:val="tx1"/>
                  </w14:solidFill>
                </w14:textFill>
              </w:rPr>
              <w:t>耕地土地平整使其田面坡角小于3°，不影响耕种即可。待土地平整后，将前期剥离的表土均匀覆盖在耕地表面，覆土厚度要求≥25cm。</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③</w:t>
            </w:r>
            <w:r>
              <w:rPr>
                <w:color w:val="000000" w:themeColor="text1"/>
                <w:sz w:val="24"/>
                <w:szCs w:val="24"/>
                <w:lang w:eastAsia="zh-CN"/>
                <w14:textFill>
                  <w14:solidFill>
                    <w14:schemeClr w14:val="tx1"/>
                  </w14:solidFill>
                </w14:textFill>
              </w:rPr>
              <w:t>拟复垦为耕地的区域</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建议种植浅根系农作物，改良土壤</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④施工完成后应及时进行土地平整，在当地春播、秋播之前进行土地复垦，以保证不影响土地原有使用功能。</w:t>
            </w:r>
          </w:p>
          <w:p>
            <w:pPr>
              <w:spacing w:line="360" w:lineRule="auto"/>
              <w:ind w:firstLine="480" w:firstLineChars="200"/>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2"/>
              <w:rPr>
                <w:rFonts w:hint="eastAsia"/>
                <w:bCs/>
                <w:color w:val="000000" w:themeColor="text1"/>
                <w:sz w:val="24"/>
                <w:lang w:val="en-US" w:eastAsia="zh-CN"/>
                <w14:textFill>
                  <w14:solidFill>
                    <w14:schemeClr w14:val="tx1"/>
                  </w14:solidFill>
                </w14:textFill>
              </w:rPr>
            </w:pPr>
          </w:p>
          <w:p>
            <w:pPr>
              <w:rPr>
                <w:rFonts w:hint="eastAsia"/>
                <w:lang w:val="en-US" w:eastAsia="zh-CN"/>
              </w:rPr>
            </w:pPr>
          </w:p>
          <w:p>
            <w:pPr>
              <w:pStyle w:val="1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ascii="Times New Roman" w:eastAsia="Times New Roman"/>
                <w:color w:val="000000" w:themeColor="text1"/>
                <w:sz w:val="24"/>
                <w14:textFill>
                  <w14:solidFill>
                    <w14:schemeClr w14:val="tx1"/>
                  </w14:solidFill>
                </w14:textFill>
              </w:rPr>
            </w:pPr>
          </w:p>
          <w:p>
            <w:pPr>
              <w:pStyle w:val="1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ascii="Times New Roman" w:eastAsia="Times New Roman"/>
                <w:color w:val="000000" w:themeColor="text1"/>
                <w:sz w:val="24"/>
                <w14:textFill>
                  <w14:solidFill>
                    <w14:schemeClr w14:val="tx1"/>
                  </w14:solidFill>
                </w14:textFill>
              </w:rPr>
            </w:pPr>
          </w:p>
          <w:p>
            <w:pPr>
              <w:pStyle w:val="1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color w:val="000000" w:themeColor="text1"/>
                <w:sz w:val="21"/>
                <w:szCs w:val="21"/>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w:t>
      </w:r>
      <w:r>
        <w:rPr>
          <w:rFonts w:hint="eastAsia" w:eastAsia="黑体"/>
          <w:color w:val="000000" w:themeColor="text1"/>
          <w:sz w:val="32"/>
          <w14:textFill>
            <w14:solidFill>
              <w14:schemeClr w14:val="tx1"/>
            </w14:solidFill>
          </w14:textFill>
        </w:rPr>
        <w:t>环境保护设施及环境保护投资一览表</w:t>
      </w:r>
    </w:p>
    <w:tbl>
      <w:tblPr>
        <w:tblStyle w:val="11"/>
        <w:tblW w:w="4888"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54"/>
        <w:gridCol w:w="867"/>
        <w:gridCol w:w="2032"/>
        <w:gridCol w:w="2032"/>
        <w:gridCol w:w="2926"/>
        <w:gridCol w:w="11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spacing w:line="240" w:lineRule="exact"/>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序号</w:t>
            </w:r>
          </w:p>
        </w:tc>
        <w:tc>
          <w:tcPr>
            <w:tcW w:w="445"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分</w:t>
            </w:r>
            <w:r>
              <w:rPr>
                <w:color w:val="000000" w:themeColor="text1"/>
                <w:sz w:val="21"/>
                <w:szCs w:val="21"/>
                <w14:textFill>
                  <w14:solidFill>
                    <w14:schemeClr w14:val="tx1"/>
                  </w14:solidFill>
                </w14:textFill>
              </w:rPr>
              <w:t>类</w:t>
            </w:r>
          </w:p>
        </w:tc>
        <w:tc>
          <w:tcPr>
            <w:tcW w:w="1043"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环境保护设施</w:t>
            </w:r>
          </w:p>
        </w:tc>
        <w:tc>
          <w:tcPr>
            <w:tcW w:w="1043"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内容</w:t>
            </w:r>
          </w:p>
        </w:tc>
        <w:tc>
          <w:tcPr>
            <w:tcW w:w="1502" w:type="pct"/>
            <w:vAlign w:val="center"/>
          </w:tcPr>
          <w:p>
            <w:pPr>
              <w:adjustRightInd w:val="0"/>
              <w:snapToGrid w:val="0"/>
              <w:spacing w:line="24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投资估算</w:t>
            </w:r>
          </w:p>
          <w:p>
            <w:pPr>
              <w:adjustRightInd w:val="0"/>
              <w:snapToGrid w:val="0"/>
              <w:spacing w:line="240" w:lineRule="exac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（万元）</w:t>
            </w:r>
          </w:p>
        </w:tc>
        <w:tc>
          <w:tcPr>
            <w:tcW w:w="579" w:type="pct"/>
            <w:vAlign w:val="center"/>
          </w:tcPr>
          <w:p>
            <w:pPr>
              <w:adjustRightInd w:val="0"/>
              <w:snapToGrid w:val="0"/>
              <w:spacing w:line="24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一</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大气</w:t>
            </w:r>
          </w:p>
        </w:tc>
        <w:tc>
          <w:tcPr>
            <w:tcW w:w="104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c>
          <w:tcPr>
            <w:tcW w:w="104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表土、粉料苫盖，洒水抑尘等</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0.2</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48.8</w:t>
            </w:r>
            <w:r>
              <w:rPr>
                <w:rFonts w:hint="eastAsia"/>
                <w:color w:val="000000" w:themeColor="text1"/>
                <w:sz w:val="21"/>
                <w:szCs w:val="21"/>
                <w14:textFill>
                  <w14:solidFill>
                    <w14:schemeClr w14:val="tx1"/>
                  </w14:solidFill>
                </w14:textFill>
              </w:rPr>
              <w:t>万元</w:t>
            </w:r>
          </w:p>
        </w:tc>
        <w:tc>
          <w:tcPr>
            <w:tcW w:w="579"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本项目共设2</w:t>
            </w:r>
            <w:r>
              <w:rPr>
                <w:rFonts w:hint="eastAsia"/>
                <w:color w:val="000000" w:themeColor="text1"/>
                <w:sz w:val="21"/>
                <w:szCs w:val="21"/>
                <w:lang w:val="en-US" w:eastAsia="zh-CN"/>
                <w14:textFill>
                  <w14:solidFill>
                    <w14:schemeClr w14:val="tx1"/>
                  </w14:solidFill>
                </w14:textFill>
              </w:rPr>
              <w:t>44</w:t>
            </w:r>
            <w:r>
              <w:rPr>
                <w:rFonts w:hint="eastAsia"/>
                <w:color w:val="000000" w:themeColor="text1"/>
                <w:sz w:val="21"/>
                <w:szCs w:val="21"/>
                <w:lang w:eastAsia="zh-CN"/>
                <w14:textFill>
                  <w14:solidFill>
                    <w14:schemeClr w14:val="tx1"/>
                  </w14:solidFill>
                </w14:textFill>
              </w:rPr>
              <w:t>个钻井场地。其中2022年</w:t>
            </w:r>
            <w:r>
              <w:rPr>
                <w:rFonts w:hint="eastAsia"/>
                <w:color w:val="000000" w:themeColor="text1"/>
                <w:sz w:val="21"/>
                <w:szCs w:val="21"/>
                <w:lang w:val="en-US" w:eastAsia="zh-CN"/>
                <w14:textFill>
                  <w14:solidFill>
                    <w14:schemeClr w14:val="tx1"/>
                  </w14:solidFill>
                </w14:textFill>
              </w:rPr>
              <w:t>31</w:t>
            </w:r>
            <w:r>
              <w:rPr>
                <w:rFonts w:hint="eastAsia"/>
                <w:color w:val="000000" w:themeColor="text1"/>
                <w:sz w:val="21"/>
                <w:szCs w:val="21"/>
                <w:lang w:eastAsia="zh-CN"/>
                <w14:textFill>
                  <w14:solidFill>
                    <w14:schemeClr w14:val="tx1"/>
                  </w14:solidFill>
                </w14:textFill>
              </w:rPr>
              <w:t>个，2023-2026年</w:t>
            </w:r>
            <w:r>
              <w:rPr>
                <w:rFonts w:hint="eastAsia"/>
                <w:color w:val="000000" w:themeColor="text1"/>
                <w:sz w:val="21"/>
                <w:szCs w:val="21"/>
                <w:lang w:val="en-US" w:eastAsia="zh-CN"/>
                <w14:textFill>
                  <w14:solidFill>
                    <w14:schemeClr w14:val="tx1"/>
                  </w14:solidFill>
                </w14:textFill>
              </w:rPr>
              <w:t>213</w:t>
            </w:r>
            <w:r>
              <w:rPr>
                <w:rFonts w:hint="eastAsia"/>
                <w:color w:val="000000" w:themeColor="text1"/>
                <w:sz w:val="21"/>
                <w:szCs w:val="21"/>
                <w:lang w:eastAsia="zh-CN"/>
                <w14:textFill>
                  <w14:solidFill>
                    <w14:schemeClr w14:val="tx1"/>
                  </w14:solidFill>
                </w14:textFill>
              </w:rPr>
              <w:t>个</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二</w:t>
            </w:r>
          </w:p>
        </w:tc>
        <w:tc>
          <w:tcPr>
            <w:tcW w:w="445" w:type="pct"/>
            <w:vMerge w:val="restart"/>
            <w:vAlign w:val="center"/>
          </w:tcPr>
          <w:p>
            <w:pPr>
              <w:adjustRightInd w:val="0"/>
              <w:snapToGrid w:val="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水</w:t>
            </w:r>
          </w:p>
        </w:tc>
        <w:tc>
          <w:tcPr>
            <w:tcW w:w="1043" w:type="pct"/>
            <w:vAlign w:val="center"/>
          </w:tcPr>
          <w:p>
            <w:pPr>
              <w:adjustRightInd w:val="0"/>
              <w:snapToGrid w:val="0"/>
              <w:jc w:val="center"/>
              <w:rPr>
                <w:b/>
                <w:bCs/>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泥浆池</w:t>
            </w:r>
          </w:p>
        </w:tc>
        <w:tc>
          <w:tcPr>
            <w:tcW w:w="1043" w:type="pct"/>
            <w:vAlign w:val="center"/>
          </w:tcPr>
          <w:p>
            <w:pPr>
              <w:adjustRightInd w:val="0"/>
              <w:snapToGrid w:val="0"/>
              <w:jc w:val="center"/>
              <w:rPr>
                <w:b/>
                <w:bCs/>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泥浆池内</w:t>
            </w:r>
            <w:r>
              <w:rPr>
                <w:color w:val="000000" w:themeColor="text1"/>
                <w:kern w:val="2"/>
                <w:sz w:val="21"/>
                <w:szCs w:val="21"/>
                <w:lang w:eastAsia="zh-CN" w:bidi="ar-SA"/>
                <w14:textFill>
                  <w14:solidFill>
                    <w14:schemeClr w14:val="tx1"/>
                  </w14:solidFill>
                </w14:textFill>
              </w:rPr>
              <w:t>铺设防渗材料</w:t>
            </w:r>
            <w:r>
              <w:rPr>
                <w:rFonts w:hint="eastAsia"/>
                <w:color w:val="000000" w:themeColor="text1"/>
                <w:kern w:val="2"/>
                <w:sz w:val="21"/>
                <w:szCs w:val="21"/>
                <w:lang w:eastAsia="zh-CN" w:bidi="ar-SA"/>
                <w14:textFill>
                  <w14:solidFill>
                    <w14:schemeClr w14:val="tx1"/>
                  </w14:solidFill>
                </w14:textFill>
              </w:rPr>
              <w:t>，</w:t>
            </w:r>
            <w:r>
              <w:rPr>
                <w:rFonts w:hint="eastAsia"/>
                <w:color w:val="000000" w:themeColor="text1"/>
                <w:sz w:val="21"/>
                <w:szCs w:val="21"/>
                <w:lang w:eastAsia="zh-CN"/>
                <w14:textFill>
                  <w14:solidFill>
                    <w14:schemeClr w14:val="tx1"/>
                  </w14:solidFill>
                </w14:textFill>
              </w:rPr>
              <w:t>进行防渗处理</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1.0</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244</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1043" w:type="pct"/>
            <w:vAlign w:val="center"/>
          </w:tcPr>
          <w:p>
            <w:pPr>
              <w:adjustRightInd w:val="0"/>
              <w:snapToGrid w:val="0"/>
              <w:jc w:val="center"/>
              <w:rPr>
                <w:color w:val="000000" w:themeColor="text1"/>
                <w:sz w:val="21"/>
                <w:szCs w:val="21"/>
                <w:highlight w:val="yellow"/>
                <w14:textFill>
                  <w14:solidFill>
                    <w14:schemeClr w14:val="tx1"/>
                  </w14:solidFill>
                </w14:textFill>
              </w:rPr>
            </w:pPr>
            <w:r>
              <w:rPr>
                <w:bCs/>
                <w:color w:val="000000" w:themeColor="text1"/>
                <w:sz w:val="21"/>
                <w:szCs w:val="21"/>
                <w14:textFill>
                  <w14:solidFill>
                    <w14:schemeClr w14:val="tx1"/>
                  </w14:solidFill>
                </w14:textFill>
              </w:rPr>
              <w:t>旱厕</w:t>
            </w:r>
          </w:p>
        </w:tc>
        <w:tc>
          <w:tcPr>
            <w:tcW w:w="1043" w:type="pct"/>
            <w:vAlign w:val="center"/>
          </w:tcPr>
          <w:p>
            <w:pPr>
              <w:adjustRightInd w:val="0"/>
              <w:snapToGrid w:val="0"/>
              <w:jc w:val="center"/>
              <w:rPr>
                <w:bCs/>
                <w:color w:val="000000" w:themeColor="text1"/>
                <w:sz w:val="21"/>
                <w:szCs w:val="21"/>
                <w:highlight w:val="yellow"/>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0.1</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highlight w:val="yellow"/>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24.4</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highlight w:val="yellow"/>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rFonts w:hint="eastAsia" w:eastAsia="宋体"/>
                <w:bCs/>
                <w:color w:val="000000" w:themeColor="text1"/>
                <w:sz w:val="21"/>
                <w:szCs w:val="21"/>
                <w:lang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三</w:t>
            </w:r>
          </w:p>
        </w:tc>
        <w:tc>
          <w:tcPr>
            <w:tcW w:w="445"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固体</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废物</w:t>
            </w:r>
          </w:p>
        </w:tc>
        <w:tc>
          <w:tcPr>
            <w:tcW w:w="1043"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泥浆池</w:t>
            </w:r>
          </w:p>
        </w:tc>
        <w:tc>
          <w:tcPr>
            <w:tcW w:w="1043"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对废弃泥浆进行自然蒸发后就地填埋</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0.4</w:t>
            </w:r>
            <w:r>
              <w:rPr>
                <w:rFonts w:hint="eastAsia"/>
                <w:color w:val="000000" w:themeColor="text1"/>
                <w:sz w:val="21"/>
                <w:szCs w:val="21"/>
                <w14:textFill>
                  <w14:solidFill>
                    <w14:schemeClr w14:val="tx1"/>
                  </w14:solidFill>
                </w14:textFill>
              </w:rPr>
              <w:t>万元，</w:t>
            </w:r>
          </w:p>
          <w:p>
            <w:pPr>
              <w:adjustRightInd w:val="0"/>
              <w:snapToGrid w:val="0"/>
              <w:rPr>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97.6</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1043" w:type="pct"/>
            <w:vAlign w:val="center"/>
          </w:tcPr>
          <w:p>
            <w:pPr>
              <w:adjustRightInd w:val="0"/>
              <w:snapToGrid w:val="0"/>
              <w:jc w:val="center"/>
              <w:rPr>
                <w:b/>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岩芯</w:t>
            </w:r>
            <w:r>
              <w:rPr>
                <w:rFonts w:hint="eastAsia"/>
                <w:color w:val="000000" w:themeColor="text1"/>
                <w:sz w:val="21"/>
                <w:szCs w:val="21"/>
                <w:lang w:val="en-US" w:eastAsia="zh-CN"/>
                <w14:textFill>
                  <w14:solidFill>
                    <w14:schemeClr w14:val="tx1"/>
                  </w14:solidFill>
                </w14:textFill>
              </w:rPr>
              <w:t>池</w:t>
            </w:r>
          </w:p>
        </w:tc>
        <w:tc>
          <w:tcPr>
            <w:tcW w:w="1043" w:type="pct"/>
            <w:vAlign w:val="center"/>
          </w:tcPr>
          <w:p>
            <w:pPr>
              <w:adjustRightInd w:val="0"/>
              <w:snapToGrid w:val="0"/>
              <w:jc w:val="center"/>
              <w:rPr>
                <w:b/>
                <w:bCs/>
                <w:color w:val="000000" w:themeColor="text1"/>
                <w:sz w:val="21"/>
                <w:szCs w:val="21"/>
                <w14:textFill>
                  <w14:solidFill>
                    <w14:schemeClr w14:val="tx1"/>
                  </w14:solidFill>
                </w14:textFill>
              </w:rPr>
            </w:pPr>
            <w:r>
              <w:rPr>
                <w:color w:val="000000" w:themeColor="text1"/>
                <w:kern w:val="2"/>
                <w:sz w:val="21"/>
                <w:szCs w:val="21"/>
                <w:lang w:eastAsia="zh-CN" w:bidi="ar-SA"/>
                <w14:textFill>
                  <w14:solidFill>
                    <w14:schemeClr w14:val="tx1"/>
                  </w14:solidFill>
                </w14:textFill>
              </w:rPr>
              <w:t>存放</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的</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池内铺设防渗材料</w:t>
            </w:r>
            <w:r>
              <w:rPr>
                <w:rFonts w:hint="eastAsia"/>
                <w:color w:val="000000" w:themeColor="text1"/>
                <w:kern w:val="2"/>
                <w:sz w:val="21"/>
                <w:szCs w:val="21"/>
                <w:lang w:eastAsia="zh-CN" w:bidi="ar-SA"/>
                <w14:textFill>
                  <w14:solidFill>
                    <w14:schemeClr w14:val="tx1"/>
                  </w14:solidFill>
                </w14:textFill>
              </w:rPr>
              <w:t>，钻探结束后就地填埋</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0.6</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146.4</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3"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104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垃圾桶</w:t>
            </w:r>
          </w:p>
        </w:tc>
        <w:tc>
          <w:tcPr>
            <w:tcW w:w="104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集中收集、处置</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0.1</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24.4</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104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废机油收集桶</w:t>
            </w:r>
          </w:p>
        </w:tc>
        <w:tc>
          <w:tcPr>
            <w:tcW w:w="104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经收集后交有资质单位进行处置</w:t>
            </w:r>
          </w:p>
        </w:tc>
        <w:tc>
          <w:tcPr>
            <w:tcW w:w="1502" w:type="pct"/>
            <w:vAlign w:val="center"/>
          </w:tcPr>
          <w:p>
            <w:pPr>
              <w:adjustRightInd w:val="0"/>
              <w:snapToGrid w:val="0"/>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单个钻井场地费用为</w:t>
            </w:r>
            <w:r>
              <w:rPr>
                <w:rFonts w:hint="eastAsia"/>
                <w:bCs/>
                <w:color w:val="000000" w:themeColor="text1"/>
                <w:sz w:val="21"/>
                <w:szCs w:val="21"/>
                <w:lang w:eastAsia="zh-CN"/>
                <w14:textFill>
                  <w14:solidFill>
                    <w14:schemeClr w14:val="tx1"/>
                  </w14:solidFill>
                </w14:textFill>
              </w:rPr>
              <w:t>0.5</w:t>
            </w:r>
            <w:r>
              <w:rPr>
                <w:rFonts w:hint="eastAsia"/>
                <w:color w:val="000000" w:themeColor="text1"/>
                <w:sz w:val="21"/>
                <w:szCs w:val="21"/>
                <w:lang w:eastAsia="zh-CN"/>
                <w14:textFill>
                  <w14:solidFill>
                    <w14:schemeClr w14:val="tx1"/>
                  </w14:solidFill>
                </w14:textFill>
              </w:rPr>
              <w:t>万元，总费用为</w:t>
            </w:r>
            <w:r>
              <w:rPr>
                <w:rFonts w:hint="eastAsia"/>
                <w:color w:val="000000" w:themeColor="text1"/>
                <w:sz w:val="21"/>
                <w:szCs w:val="21"/>
                <w:lang w:val="en-US" w:eastAsia="zh-CN"/>
                <w14:textFill>
                  <w14:solidFill>
                    <w14:schemeClr w14:val="tx1"/>
                  </w14:solidFill>
                </w14:textFill>
              </w:rPr>
              <w:t>122</w:t>
            </w:r>
            <w:r>
              <w:rPr>
                <w:rFonts w:hint="eastAsia"/>
                <w:color w:val="000000" w:themeColor="text1"/>
                <w:sz w:val="21"/>
                <w:szCs w:val="21"/>
                <w:lang w:eastAsia="zh-CN"/>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四</w:t>
            </w:r>
          </w:p>
        </w:tc>
        <w:tc>
          <w:tcPr>
            <w:tcW w:w="445"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噪声</w:t>
            </w:r>
          </w:p>
        </w:tc>
        <w:tc>
          <w:tcPr>
            <w:tcW w:w="1043" w:type="pct"/>
            <w:vAlign w:val="center"/>
          </w:tcPr>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bCs/>
                <w:color w:val="000000" w:themeColor="text1"/>
                <w:sz w:val="21"/>
                <w:szCs w:val="21"/>
                <w14:textFill>
                  <w14:solidFill>
                    <w14:schemeClr w14:val="tx1"/>
                  </w14:solidFill>
                </w14:textFill>
              </w:rPr>
              <w:t>井场柴油机、发电机、泥浆泵</w:t>
            </w:r>
            <w:r>
              <w:rPr>
                <w:rFonts w:hint="eastAsia"/>
                <w:bCs/>
                <w:color w:val="000000" w:themeColor="text1"/>
                <w:sz w:val="21"/>
                <w:szCs w:val="21"/>
                <w14:textFill>
                  <w14:solidFill>
                    <w14:schemeClr w14:val="tx1"/>
                  </w14:solidFill>
                </w14:textFill>
              </w:rPr>
              <w:t>等</w:t>
            </w:r>
          </w:p>
        </w:tc>
        <w:tc>
          <w:tcPr>
            <w:tcW w:w="1043" w:type="pct"/>
            <w:vAlign w:val="center"/>
          </w:tcPr>
          <w:p>
            <w:pPr>
              <w:pStyle w:val="17"/>
              <w:ind w:left="111"/>
              <w:jc w:val="center"/>
              <w:rPr>
                <w:bCs/>
                <w:color w:val="000000" w:themeColor="text1"/>
                <w:sz w:val="21"/>
                <w:szCs w:val="21"/>
                <w:lang w:eastAsia="zh-CN"/>
                <w14:textFill>
                  <w14:solidFill>
                    <w14:schemeClr w14:val="tx1"/>
                  </w14:solidFill>
                </w14:textFill>
              </w:rPr>
            </w:pPr>
            <w:r>
              <w:rPr>
                <w:bCs/>
                <w:color w:val="000000" w:themeColor="text1"/>
                <w:sz w:val="21"/>
                <w:szCs w:val="21"/>
                <w:lang w:eastAsia="zh-CN"/>
                <w14:textFill>
                  <w14:solidFill>
                    <w14:schemeClr w14:val="tx1"/>
                  </w14:solidFill>
                </w14:textFill>
              </w:rPr>
              <w:t>选用低噪声设备、弹性衬垫减振降噪</w:t>
            </w:r>
          </w:p>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bCs/>
                <w:color w:val="000000" w:themeColor="text1"/>
                <w:sz w:val="21"/>
                <w:szCs w:val="21"/>
                <w:lang w:eastAsia="zh-CN"/>
                <w14:textFill>
                  <w14:solidFill>
                    <w14:schemeClr w14:val="tx1"/>
                  </w14:solidFill>
                </w14:textFill>
              </w:rPr>
              <w:t>等措施</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0.5</w:t>
            </w:r>
            <w:r>
              <w:rPr>
                <w:rFonts w:hint="eastAsia"/>
                <w:color w:val="000000" w:themeColor="text1"/>
                <w:sz w:val="21"/>
                <w:szCs w:val="21"/>
                <w14:textFill>
                  <w14:solidFill>
                    <w14:schemeClr w14:val="tx1"/>
                  </w14:solidFill>
                </w14:textFill>
              </w:rPr>
              <w:t>万元，</w:t>
            </w:r>
          </w:p>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122</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五</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生态</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恢复</w:t>
            </w:r>
          </w:p>
        </w:tc>
        <w:tc>
          <w:tcPr>
            <w:tcW w:w="104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043" w:type="pct"/>
            <w:vAlign w:val="center"/>
          </w:tcPr>
          <w:p>
            <w:pPr>
              <w:adjustRightInd w:val="0"/>
              <w:snapToGrid w:val="0"/>
              <w:rPr>
                <w:color w:val="000000" w:themeColor="text1"/>
                <w:sz w:val="2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平整场地，并对临时占地进行恢复</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0.5</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122</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六</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辐射</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环境</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监测</w:t>
            </w:r>
          </w:p>
        </w:tc>
        <w:tc>
          <w:tcPr>
            <w:tcW w:w="1043"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γ辐射剂量率监测仪器</w:t>
            </w:r>
          </w:p>
        </w:tc>
        <w:tc>
          <w:tcPr>
            <w:tcW w:w="1043"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配备</w:t>
            </w:r>
            <w:r>
              <w:rPr>
                <w:rFonts w:hint="eastAsia"/>
                <w:color w:val="000000" w:themeColor="text1"/>
                <w:sz w:val="21"/>
                <w:szCs w:val="21"/>
                <w:lang w:val="en-US" w:eastAsia="zh-CN"/>
                <w14:textFill>
                  <w14:solidFill>
                    <w14:schemeClr w14:val="tx1"/>
                  </w14:solidFill>
                </w14:textFill>
              </w:rPr>
              <w:t>4</w:t>
            </w:r>
            <w:r>
              <w:rPr>
                <w:rFonts w:hint="eastAsia"/>
                <w:color w:val="000000" w:themeColor="text1"/>
                <w:sz w:val="21"/>
                <w:szCs w:val="21"/>
                <w14:textFill>
                  <w14:solidFill>
                    <w14:schemeClr w14:val="tx1"/>
                  </w14:solidFill>
                </w14:textFill>
              </w:rPr>
              <w:t>台γ辐射剂量率监测仪器进行监测</w:t>
            </w:r>
          </w:p>
        </w:tc>
        <w:tc>
          <w:tcPr>
            <w:tcW w:w="1502"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4</w:t>
            </w:r>
            <w:r>
              <w:rPr>
                <w:rFonts w:hint="eastAsia"/>
                <w:color w:val="000000" w:themeColor="text1"/>
                <w:sz w:val="21"/>
                <w:szCs w:val="21"/>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75" w:hRule="atLeast"/>
        </w:trPr>
        <w:tc>
          <w:tcPr>
            <w:tcW w:w="2918" w:type="pct"/>
            <w:gridSpan w:val="4"/>
            <w:vAlign w:val="center"/>
          </w:tcPr>
          <w:p>
            <w:pPr>
              <w:adjustRightInd w:val="0"/>
              <w:snapToGrid w:val="0"/>
              <w:jc w:val="center"/>
              <w:rPr>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合计</w:t>
            </w:r>
          </w:p>
        </w:tc>
        <w:tc>
          <w:tcPr>
            <w:tcW w:w="2081" w:type="pct"/>
            <w:gridSpan w:val="2"/>
            <w:vAlign w:val="center"/>
          </w:tcPr>
          <w:p>
            <w:pPr>
              <w:adjustRightInd w:val="0"/>
              <w:snapToGrid w:val="0"/>
              <w:jc w:val="center"/>
              <w:rPr>
                <w:color w:val="000000" w:themeColor="text1"/>
                <w:sz w:val="21"/>
                <w:szCs w:val="21"/>
                <w:highlight w:val="yellow"/>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955.6</w:t>
            </w:r>
            <w:r>
              <w:rPr>
                <w:rFonts w:hint="eastAsia"/>
                <w:color w:val="000000" w:themeColor="text1"/>
                <w:sz w:val="21"/>
                <w:szCs w:val="21"/>
                <w14:textFill>
                  <w14:solidFill>
                    <w14:schemeClr w14:val="tx1"/>
                  </w14:solidFill>
                </w14:textFill>
              </w:rPr>
              <w:t>万元</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十一、</w:t>
      </w:r>
      <w:r>
        <w:rPr>
          <w:rFonts w:hint="eastAsia" w:eastAsia="黑体"/>
          <w:color w:val="000000" w:themeColor="text1"/>
          <w:sz w:val="32"/>
          <w14:textFill>
            <w14:solidFill>
              <w14:schemeClr w14:val="tx1"/>
            </w14:solidFill>
          </w14:textFill>
        </w:rPr>
        <w:t>环境管理与监测计划</w:t>
      </w:r>
    </w:p>
    <w:tbl>
      <w:tblPr>
        <w:tblStyle w:val="12"/>
        <w:tblW w:w="0" w:type="auto"/>
        <w:tblInd w:w="10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4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PrEx>
        <w:trPr>
          <w:trHeight w:val="13153" w:hRule="atLeast"/>
        </w:trPr>
        <w:tc>
          <w:tcPr>
            <w:tcW w:w="9740" w:type="dxa"/>
          </w:tcPr>
          <w:p>
            <w:pPr>
              <w:pStyle w:val="16"/>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ascii="Times New Roman" w:hAnsi="Times New Roman" w:cs="Times New Roman"/>
                <w:b/>
                <w:bCs/>
                <w:color w:val="000000" w:themeColor="text1"/>
                <w14:textFill>
                  <w14:solidFill>
                    <w14:schemeClr w14:val="tx1"/>
                  </w14:solidFill>
                </w14:textFill>
              </w:rPr>
              <w:t>1、环境管理</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建立环境管理机构是落实项目环保各项任务的保证。环境管理机构至少需安排专职环境管理人员1-2人（可适当安排兼职），总体负责本项目辐射防护和环境保护方面的工作，其主要职责体现在以下几个方面：</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（1）合理安排施工计划，确保文明施工；</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（2）监督工程所产生废物的处置情况及去向，确保各项环保措施的落实；</w:t>
            </w:r>
          </w:p>
          <w:p>
            <w:pPr>
              <w:pStyle w:val="16"/>
              <w:adjustRightInd/>
              <w:spacing w:line="360" w:lineRule="auto"/>
              <w:ind w:firstLine="480" w:firstLineChars="200"/>
              <w:jc w:val="both"/>
              <w:rPr>
                <w:rFonts w:hint="default" w:ascii="Times New Roman" w:hAnsi="Times New Roman" w:cs="Times New Roman"/>
                <w:b/>
                <w:bCs/>
                <w:color w:val="000000" w:themeColor="text1"/>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（3）对工程实施过程中存在的污染环境的情况予以及时纠正。</w:t>
            </w:r>
          </w:p>
          <w:p>
            <w:pPr>
              <w:pStyle w:val="16"/>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2、环境监测计划</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项目环境监测计划列于表1</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井场环境监测布点见</w:t>
            </w:r>
            <w:r>
              <w:rPr>
                <w:rFonts w:hint="eastAsia"/>
                <w:color w:val="000000" w:themeColor="text1"/>
                <w:sz w:val="24"/>
                <w14:textFill>
                  <w14:solidFill>
                    <w14:schemeClr w14:val="tx1"/>
                  </w14:solidFill>
                </w14:textFill>
              </w:rPr>
              <w:t>附图</w:t>
            </w:r>
            <w:r>
              <w:rPr>
                <w:rFonts w:hint="eastAsia"/>
                <w:color w:val="000000" w:themeColor="text1"/>
                <w:sz w:val="24"/>
                <w:lang w:val="en-US" w:eastAsia="zh-CN"/>
                <w14:textFill>
                  <w14:solidFill>
                    <w14:schemeClr w14:val="tx1"/>
                  </w14:solidFill>
                </w14:textFill>
              </w:rPr>
              <w:t>8</w:t>
            </w:r>
            <w:r>
              <w:rPr>
                <w:rFonts w:hint="eastAsia"/>
                <w:color w:val="000000" w:themeColor="text1"/>
                <w:sz w:val="24"/>
                <w14:textFill>
                  <w14:solidFill>
                    <w14:schemeClr w14:val="tx1"/>
                  </w14:solidFill>
                </w14:textFill>
              </w:rPr>
              <w:t>。</w:t>
            </w:r>
          </w:p>
          <w:p>
            <w:pPr>
              <w:spacing w:line="240" w:lineRule="auto"/>
              <w:jc w:val="center"/>
              <w:rPr>
                <w:b w:val="0"/>
                <w:bCs w:val="0"/>
                <w:snapToGrid w:val="0"/>
                <w:color w:val="000000" w:themeColor="text1"/>
                <w:kern w:val="0"/>
                <w:sz w:val="24"/>
                <w14:textFill>
                  <w14:solidFill>
                    <w14:schemeClr w14:val="tx1"/>
                  </w14:solidFill>
                </w14:textFill>
              </w:rPr>
            </w:pPr>
            <w:r>
              <w:rPr>
                <w:b w:val="0"/>
                <w:bCs w:val="0"/>
                <w:snapToGrid w:val="0"/>
                <w:color w:val="000000" w:themeColor="text1"/>
                <w:kern w:val="0"/>
                <w:sz w:val="24"/>
                <w14:textFill>
                  <w14:solidFill>
                    <w14:schemeClr w14:val="tx1"/>
                  </w14:solidFill>
                </w14:textFill>
              </w:rPr>
              <w:t>表</w:t>
            </w:r>
            <w:r>
              <w:rPr>
                <w:rFonts w:hint="eastAsia"/>
                <w:b w:val="0"/>
                <w:bCs w:val="0"/>
                <w:snapToGrid w:val="0"/>
                <w:color w:val="000000" w:themeColor="text1"/>
                <w:kern w:val="0"/>
                <w:sz w:val="24"/>
                <w14:textFill>
                  <w14:solidFill>
                    <w14:schemeClr w14:val="tx1"/>
                  </w14:solidFill>
                </w14:textFill>
              </w:rPr>
              <w:t>1</w:t>
            </w:r>
            <w:r>
              <w:rPr>
                <w:b w:val="0"/>
                <w:bCs w:val="0"/>
                <w:snapToGrid w:val="0"/>
                <w:color w:val="000000" w:themeColor="text1"/>
                <w:kern w:val="0"/>
                <w:sz w:val="24"/>
                <w14:textFill>
                  <w14:solidFill>
                    <w14:schemeClr w14:val="tx1"/>
                  </w14:solidFill>
                </w14:textFill>
              </w:rPr>
              <w:t>1</w:t>
            </w:r>
            <w:r>
              <w:rPr>
                <w:rFonts w:hint="eastAsia"/>
                <w:b w:val="0"/>
                <w:bCs w:val="0"/>
                <w:snapToGrid w:val="0"/>
                <w:color w:val="000000" w:themeColor="text1"/>
                <w:kern w:val="0"/>
                <w:sz w:val="24"/>
                <w14:textFill>
                  <w14:solidFill>
                    <w14:schemeClr w14:val="tx1"/>
                  </w14:solidFill>
                </w14:textFill>
              </w:rPr>
              <w:t>-1</w:t>
            </w:r>
            <w:r>
              <w:rPr>
                <w:b w:val="0"/>
                <w:bCs w:val="0"/>
                <w:snapToGrid w:val="0"/>
                <w:color w:val="000000" w:themeColor="text1"/>
                <w:kern w:val="0"/>
                <w:sz w:val="24"/>
                <w14:textFill>
                  <w14:solidFill>
                    <w14:schemeClr w14:val="tx1"/>
                  </w14:solidFill>
                </w14:textFill>
              </w:rPr>
              <w:t xml:space="preserve">  环境</w:t>
            </w:r>
            <w:r>
              <w:rPr>
                <w:rFonts w:hint="eastAsia"/>
                <w:b w:val="0"/>
                <w:bCs w:val="0"/>
                <w:snapToGrid w:val="0"/>
                <w:color w:val="000000" w:themeColor="text1"/>
                <w:kern w:val="0"/>
                <w:sz w:val="24"/>
                <w14:textFill>
                  <w14:solidFill>
                    <w14:schemeClr w14:val="tx1"/>
                  </w14:solidFill>
                </w14:textFill>
              </w:rPr>
              <w:t>监测</w:t>
            </w:r>
            <w:r>
              <w:rPr>
                <w:b w:val="0"/>
                <w:bCs w:val="0"/>
                <w:snapToGrid w:val="0"/>
                <w:color w:val="000000" w:themeColor="text1"/>
                <w:kern w:val="0"/>
                <w:sz w:val="24"/>
                <w14:textFill>
                  <w14:solidFill>
                    <w14:schemeClr w14:val="tx1"/>
                  </w14:solidFill>
                </w14:textFill>
              </w:rPr>
              <w:t>计划表</w:t>
            </w:r>
          </w:p>
          <w:tbl>
            <w:tblPr>
              <w:tblStyle w:val="1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14"/>
              <w:gridCol w:w="1540"/>
              <w:gridCol w:w="1418"/>
              <w:gridCol w:w="1701"/>
              <w:gridCol w:w="1418"/>
              <w:gridCol w:w="27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内容</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监测地点</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监测项目</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监测频次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监测时段</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控制标准或要求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钻井场地</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γ辐射剂量率</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钻孔施工前和封孔后各监测一次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施工前封孔后</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确保前后两次剂量率监测结果处于同一水平范围内，所有监测数据存档备查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典型钻井场上风向及下风向</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颗粒物、SO</w:t>
                  </w:r>
                  <w:r>
                    <w:rPr>
                      <w:color w:val="000000" w:themeColor="text1"/>
                      <w:szCs w:val="21"/>
                      <w:vertAlign w:val="subscript"/>
                      <w14:textFill>
                        <w14:solidFill>
                          <w14:schemeClr w14:val="tx1"/>
                        </w14:solidFill>
                      </w14:textFill>
                    </w:rPr>
                    <w:t>2</w:t>
                  </w:r>
                  <w:r>
                    <w:rPr>
                      <w:rFonts w:hint="eastAsia"/>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《大气污染物综合排放标准》（</w:t>
                  </w:r>
                  <w:r>
                    <w:rPr>
                      <w:color w:val="000000" w:themeColor="text1"/>
                      <w:szCs w:val="21"/>
                      <w14:textFill>
                        <w14:solidFill>
                          <w14:schemeClr w14:val="tx1"/>
                        </w14:solidFill>
                      </w14:textFill>
                    </w:rPr>
                    <w:t>GB16297-1996</w:t>
                  </w:r>
                  <w:r>
                    <w:rPr>
                      <w:rFonts w:hint="eastAsia"/>
                      <w:color w:val="000000" w:themeColor="text1"/>
                      <w:szCs w:val="21"/>
                      <w14:textFill>
                        <w14:solidFill>
                          <w14:schemeClr w14:val="tx1"/>
                        </w14:solidFill>
                      </w14:textFill>
                    </w:rPr>
                    <w:t>）中“无组织排放监控浓度限值”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噪声</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典型钻井场界</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等效连续</w:t>
                  </w:r>
                  <w:r>
                    <w:rPr>
                      <w:color w:val="000000" w:themeColor="text1"/>
                      <w:szCs w:val="21"/>
                      <w:lang w:bidi="ar"/>
                      <w14:textFill>
                        <w14:solidFill>
                          <w14:schemeClr w14:val="tx1"/>
                        </w14:solidFill>
                      </w14:textFill>
                    </w:rPr>
                    <w:t>A</w:t>
                  </w:r>
                  <w:r>
                    <w:rPr>
                      <w:rFonts w:hint="eastAsia" w:cs="宋体"/>
                      <w:color w:val="000000" w:themeColor="text1"/>
                      <w:szCs w:val="21"/>
                      <w:lang w:bidi="ar"/>
                      <w14:textFill>
                        <w14:solidFill>
                          <w14:schemeClr w14:val="tx1"/>
                        </w14:solidFill>
                      </w14:textFill>
                    </w:rPr>
                    <w:t>声级</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s="宋体"/>
                      <w:color w:val="000000" w:themeColor="text1"/>
                      <w:lang w:bidi="ar"/>
                      <w14:textFill>
                        <w14:solidFill>
                          <w14:schemeClr w14:val="tx1"/>
                        </w14:solidFill>
                      </w14:textFill>
                    </w:rPr>
                    <w:t>《建筑施工场界环境噪声排放标准》（</w:t>
                  </w:r>
                  <w:r>
                    <w:rPr>
                      <w:color w:val="000000" w:themeColor="text1"/>
                      <w:lang w:bidi="ar"/>
                      <w14:textFill>
                        <w14:solidFill>
                          <w14:schemeClr w14:val="tx1"/>
                        </w14:solidFill>
                      </w14:textFill>
                    </w:rPr>
                    <w:t>GB12523-2011</w:t>
                  </w:r>
                  <w:r>
                    <w:rPr>
                      <w:rFonts w:hint="eastAsia" w:cs="宋体"/>
                      <w:color w:val="000000" w:themeColor="text1"/>
                      <w:lang w:bidi="ar"/>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7" w:type="pct"/>
                  <w:gridSpan w:val="2"/>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实验室分析U</w:t>
                  </w:r>
                  <w:r>
                    <w:rPr>
                      <w:rFonts w:hint="eastAsia"/>
                      <w:color w:val="000000" w:themeColor="text1"/>
                      <w:szCs w:val="21"/>
                      <w:vertAlign w:val="subscript"/>
                      <w14:textFill>
                        <w14:solidFill>
                          <w14:schemeClr w14:val="tx1"/>
                        </w14:solidFill>
                      </w14:textFill>
                    </w:rPr>
                    <w:t>天然</w:t>
                  </w:r>
                  <w:r>
                    <w:rPr>
                      <w:rFonts w:hint="eastAsia"/>
                      <w:color w:val="000000" w:themeColor="text1"/>
                      <w:szCs w:val="21"/>
                      <w14:textFill>
                        <w14:solidFill>
                          <w14:schemeClr w14:val="tx1"/>
                        </w14:solidFill>
                      </w14:textFill>
                    </w:rPr>
                    <w:t>、</w:t>
                  </w:r>
                  <w:r>
                    <w:rPr>
                      <w:rFonts w:hint="eastAsia"/>
                      <w:color w:val="000000" w:themeColor="text1"/>
                      <w:szCs w:val="21"/>
                      <w:vertAlign w:val="superscript"/>
                      <w14:textFill>
                        <w14:solidFill>
                          <w14:schemeClr w14:val="tx1"/>
                        </w14:solidFill>
                      </w14:textFill>
                    </w:rPr>
                    <w:t>226</w:t>
                  </w:r>
                  <w:r>
                    <w:rPr>
                      <w:rFonts w:hint="eastAsia"/>
                      <w:color w:val="000000" w:themeColor="text1"/>
                      <w:szCs w:val="21"/>
                      <w14:textFill>
                        <w14:solidFill>
                          <w14:schemeClr w14:val="tx1"/>
                        </w14:solidFill>
                      </w14:textFill>
                    </w:rPr>
                    <w:t>Ra</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每个</w:t>
                  </w: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选取有代表性的钻井泥浆采样检测</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施工结束后</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检测数据存档备查</w:t>
                  </w:r>
                </w:p>
              </w:tc>
            </w:tr>
          </w:tbl>
          <w:p>
            <w:pPr>
              <w:spacing w:line="360" w:lineRule="auto"/>
              <w:ind w:firstLine="480" w:firstLineChars="200"/>
              <w:rPr>
                <w:rFonts w:hint="default" w:ascii="Times New Roman" w:hAnsi="Times New Roman" w:cs="Times New Roman"/>
                <w:color w:val="000000" w:themeColor="text1"/>
                <w:lang w:eastAsia="zh-CN"/>
                <w14:textFill>
                  <w14:solidFill>
                    <w14:schemeClr w14:val="tx1"/>
                  </w14:solidFill>
                </w14:textFill>
              </w:rPr>
            </w:pPr>
            <w:bookmarkStart w:id="34" w:name="_Toc99951926"/>
            <w:r>
              <w:rPr>
                <w:rFonts w:hint="default" w:ascii="Times New Roman" w:hAnsi="Times New Roman" w:cs="Times New Roman"/>
                <w:color w:val="000000" w:themeColor="text1"/>
                <w:sz w:val="24"/>
                <w:szCs w:val="24"/>
                <w:lang w:eastAsia="zh-CN"/>
                <w14:textFill>
                  <w14:solidFill>
                    <w14:schemeClr w14:val="tx1"/>
                  </w14:solidFill>
                </w14:textFill>
              </w:rPr>
              <w:t>若封孔后钻探场地</w:t>
            </w:r>
            <w:r>
              <w:rPr>
                <w:rFonts w:hint="default" w:ascii="Times New Roman" w:hAnsi="Times New Roman" w:cs="Times New Roman"/>
                <w:color w:val="000000" w:themeColor="text1"/>
                <w:sz w:val="24"/>
                <w:szCs w:val="24"/>
                <w14:textFill>
                  <w14:solidFill>
                    <w14:schemeClr w14:val="tx1"/>
                  </w14:solidFill>
                </w14:textFill>
              </w:rPr>
              <w:t>γ</w:t>
            </w:r>
            <w:r>
              <w:rPr>
                <w:rFonts w:hint="default" w:ascii="Times New Roman" w:hAnsi="Times New Roman" w:cs="Times New Roman"/>
                <w:color w:val="000000" w:themeColor="text1"/>
                <w:sz w:val="24"/>
                <w:szCs w:val="24"/>
                <w:lang w:eastAsia="zh-CN"/>
                <w14:textFill>
                  <w14:solidFill>
                    <w14:schemeClr w14:val="tx1"/>
                  </w14:solidFill>
                </w14:textFill>
              </w:rPr>
              <w:t>辐射空气吸收剂量率明显高于钻探场地施工前空气吸收剂量率监测值，表明钻探过程中产生的含矿岩心出现撒漏情况，且未完全清理，应将撒漏的含矿岩心完全清理后与非矿段岩心一起埋入岩芯池，表面覆盖土层、压实后，重新进行</w:t>
            </w:r>
            <w:r>
              <w:rPr>
                <w:rFonts w:hint="default" w:ascii="Times New Roman" w:hAnsi="Times New Roman" w:cs="Times New Roman"/>
                <w:color w:val="000000" w:themeColor="text1"/>
                <w:sz w:val="24"/>
                <w:szCs w:val="24"/>
                <w14:textFill>
                  <w14:solidFill>
                    <w14:schemeClr w14:val="tx1"/>
                  </w14:solidFill>
                </w14:textFill>
              </w:rPr>
              <w:t>γ</w:t>
            </w:r>
            <w:r>
              <w:rPr>
                <w:rFonts w:hint="default" w:ascii="Times New Roman" w:hAnsi="Times New Roman" w:cs="Times New Roman"/>
                <w:color w:val="000000" w:themeColor="text1"/>
                <w:sz w:val="24"/>
                <w:szCs w:val="24"/>
                <w:lang w:eastAsia="zh-CN"/>
                <w14:textFill>
                  <w14:solidFill>
                    <w14:schemeClr w14:val="tx1"/>
                  </w14:solidFill>
                </w14:textFill>
              </w:rPr>
              <w:t>辐射空气吸收剂量率监</w:t>
            </w:r>
            <w:r>
              <w:rPr>
                <w:rFonts w:hint="default" w:ascii="Times New Roman" w:hAnsi="Times New Roman" w:cs="Times New Roman"/>
                <w:color w:val="000000" w:themeColor="text1"/>
                <w:sz w:val="24"/>
                <w:lang w:eastAsia="zh-CN"/>
                <w14:textFill>
                  <w14:solidFill>
                    <w14:schemeClr w14:val="tx1"/>
                  </w14:solidFill>
                </w14:textFill>
              </w:rPr>
              <w:t>测，并监测泥浆池、岩芯池氡及子体、氡析出率、气溶胶</w:t>
            </w:r>
            <w:r>
              <w:rPr>
                <w:rFonts w:hint="default" w:ascii="Times New Roman" w:hAnsi="Times New Roman" w:cs="Times New Roman"/>
                <w:color w:val="000000" w:themeColor="text1"/>
                <w:sz w:val="24"/>
                <w:szCs w:val="24"/>
                <w:lang w:eastAsia="zh-CN"/>
                <w14:textFill>
                  <w14:solidFill>
                    <w14:schemeClr w14:val="tx1"/>
                  </w14:solidFill>
                </w14:textFill>
              </w:rPr>
              <w:t>，直至土层表面</w:t>
            </w:r>
            <w:r>
              <w:rPr>
                <w:rFonts w:hint="default" w:ascii="Times New Roman" w:hAnsi="Times New Roman" w:cs="Times New Roman"/>
                <w:color w:val="000000" w:themeColor="text1"/>
                <w:sz w:val="24"/>
                <w:szCs w:val="24"/>
                <w14:textFill>
                  <w14:solidFill>
                    <w14:schemeClr w14:val="tx1"/>
                  </w14:solidFill>
                </w14:textFill>
              </w:rPr>
              <w:t>γ</w:t>
            </w:r>
            <w:r>
              <w:rPr>
                <w:rFonts w:hint="default" w:ascii="Times New Roman" w:hAnsi="Times New Roman" w:cs="Times New Roman"/>
                <w:color w:val="000000" w:themeColor="text1"/>
                <w:sz w:val="24"/>
                <w:szCs w:val="24"/>
                <w:lang w:eastAsia="zh-CN"/>
                <w14:textFill>
                  <w14:solidFill>
                    <w14:schemeClr w14:val="tx1"/>
                  </w14:solidFill>
                </w14:textFill>
              </w:rPr>
              <w:t>辐射空气吸收剂量率监测值与施工前空气吸收剂量率处于同一水平。</w:t>
            </w:r>
          </w:p>
          <w:bookmarkEnd w:id="34"/>
          <w:p>
            <w:pPr>
              <w:spacing w:line="360" w:lineRule="auto"/>
              <w:ind w:firstLine="420" w:firstLineChars="200"/>
              <w:rPr>
                <w:color w:val="000000" w:themeColor="text1"/>
                <w14:textFill>
                  <w14:solidFill>
                    <w14:schemeClr w14:val="tx1"/>
                  </w14:solidFill>
                </w14:textFill>
              </w:rPr>
            </w:pP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十二、</w:t>
      </w:r>
      <w:r>
        <w:rPr>
          <w:rFonts w:hint="eastAsia" w:eastAsia="黑体"/>
          <w:color w:val="000000" w:themeColor="text1"/>
          <w:sz w:val="32"/>
          <w14:textFill>
            <w14:solidFill>
              <w14:schemeClr w14:val="tx1"/>
            </w14:solidFill>
          </w14:textFill>
        </w:rPr>
        <w:t>环境修复</w:t>
      </w:r>
    </w:p>
    <w:tbl>
      <w:tblPr>
        <w:tblStyle w:val="12"/>
        <w:tblW w:w="0" w:type="auto"/>
        <w:tblInd w:w="13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1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2666" w:hRule="atLeast"/>
        </w:trPr>
        <w:tc>
          <w:tcPr>
            <w:tcW w:w="9710" w:type="dxa"/>
          </w:tcPr>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1、</w:t>
            </w:r>
            <w:r>
              <w:rPr>
                <w:rFonts w:hint="eastAsia"/>
                <w:b/>
                <w:bCs/>
                <w:color w:val="000000" w:themeColor="text1"/>
                <w:sz w:val="24"/>
                <w14:textFill>
                  <w14:solidFill>
                    <w14:schemeClr w14:val="tx1"/>
                  </w14:solidFill>
                </w14:textFill>
              </w:rPr>
              <w:t>环境修复</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本项目钻探工作完成后，需要对施工场地进行有效地生态环境修复，采取的主要措施体现在以下几个方面：</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①为防止含矿含水层与其上下的含水层贯通，采用水泥进行全孔封闭，即从钻孔底部灌注水泥浆，直至孔口返出水泥浆为止。水泥封孔结束后，现场用水泥浇注</w:t>
            </w:r>
            <w:r>
              <w:rPr>
                <w:color w:val="000000" w:themeColor="text1"/>
                <w:sz w:val="24"/>
                <w14:textFill>
                  <w14:solidFill>
                    <w14:schemeClr w14:val="tx1"/>
                  </w14:solidFill>
                </w14:textFill>
              </w:rPr>
              <w:t>40cm×40cm×40cm</w:t>
            </w:r>
            <w:r>
              <w:rPr>
                <w:rFonts w:hint="eastAsia"/>
                <w:color w:val="000000" w:themeColor="text1"/>
                <w:sz w:val="24"/>
                <w14:textFill>
                  <w14:solidFill>
                    <w14:schemeClr w14:val="tx1"/>
                  </w14:solidFill>
                </w14:textFill>
              </w:rPr>
              <w:t>的水泥块体作为孔口标志，其上注明孔号、孔深、封孔日期等信息。</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②钻探工作结束后，及时拆除现场施工设备、物资和临时设施，清除现场各类杂物及垃圾；</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③对施工现场进行清理，对开挖的坑、池进行回填掩埋，按原始地形地貌平整场地，达到与周边环境相协调；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④非矿段岩芯放置在岩芯池内，废弃泥浆进入泥浆池内，钻孔完毕后均就地覆土填埋处置。</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⑤对施工现场进行植被恢复，选择的复垦植被与周边环境相协调，防止环境污染和水土流失；</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⑥技术人员对机台平整恢复情况进行验收，并进行放射性强度检测，保其监测值与施工前监测值处于同一范围内，经验收合格后方可撤离；</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⑦巡视调查工区区域，查看区域内施工场地的生态恢复情况，发现问题及时采取相应的环境保护措施进行处理，无遗漏环境问题。</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2、长期监护</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本项目为铀矿地质勘查项目，地质钻孔进行封闭后，工程稳定性好，受其他因素影响小；场地平整和植被恢复措施落实后，临时占地可恢复原土地利用类型，对</w:t>
            </w:r>
            <w:r>
              <w:rPr>
                <w:rFonts w:hint="eastAsia"/>
                <w:color w:val="000000" w:themeColor="text1"/>
                <w:sz w:val="24"/>
                <w:lang w:val="en-US" w:eastAsia="zh-CN"/>
                <w14:textFill>
                  <w14:solidFill>
                    <w14:schemeClr w14:val="tx1"/>
                  </w14:solidFill>
                </w14:textFill>
              </w:rPr>
              <w:t>勘查区</w:t>
            </w:r>
            <w:r>
              <w:rPr>
                <w:color w:val="000000" w:themeColor="text1"/>
                <w:sz w:val="24"/>
                <w14:textFill>
                  <w14:solidFill>
                    <w14:schemeClr w14:val="tx1"/>
                  </w14:solidFill>
                </w14:textFill>
              </w:rPr>
              <w:t>土地利用类型、植被影响较小。</w:t>
            </w:r>
            <w:r>
              <w:rPr>
                <w:rFonts w:hint="eastAsia"/>
                <w:color w:val="000000" w:themeColor="text1"/>
                <w:sz w:val="24"/>
                <w14:textFill>
                  <w14:solidFill>
                    <w14:schemeClr w14:val="tx1"/>
                  </w14:solidFill>
                </w14:textFill>
              </w:rPr>
              <w:t>因此</w:t>
            </w:r>
            <w:r>
              <w:rPr>
                <w:color w:val="000000" w:themeColor="text1"/>
                <w:sz w:val="24"/>
                <w14:textFill>
                  <w14:solidFill>
                    <w14:schemeClr w14:val="tx1"/>
                  </w14:solidFill>
                </w14:textFill>
              </w:rPr>
              <w:t>项目</w:t>
            </w:r>
            <w:r>
              <w:rPr>
                <w:rFonts w:hint="eastAsia"/>
                <w:color w:val="000000" w:themeColor="text1"/>
                <w:sz w:val="24"/>
                <w14:textFill>
                  <w14:solidFill>
                    <w14:schemeClr w14:val="tx1"/>
                  </w14:solidFill>
                </w14:textFill>
              </w:rPr>
              <w:t>完成</w:t>
            </w:r>
            <w:r>
              <w:rPr>
                <w:color w:val="000000" w:themeColor="text1"/>
                <w:sz w:val="24"/>
                <w14:textFill>
                  <w14:solidFill>
                    <w14:schemeClr w14:val="tx1"/>
                  </w14:solidFill>
                </w14:textFill>
              </w:rPr>
              <w:t>后不需要长期监护。</w:t>
            </w: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十三、</w:t>
      </w:r>
      <w:r>
        <w:rPr>
          <w:rFonts w:eastAsia="黑体"/>
          <w:color w:val="000000" w:themeColor="text1"/>
          <w:sz w:val="32"/>
          <w14:textFill>
            <w14:solidFill>
              <w14:schemeClr w14:val="tx1"/>
            </w14:solidFill>
          </w14:textFill>
        </w:rPr>
        <w:t>结论与建议</w:t>
      </w:r>
    </w:p>
    <w:tbl>
      <w:tblPr>
        <w:tblStyle w:val="11"/>
        <w:tblW w:w="4893"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29" w:hRule="atLeast"/>
        </w:trPr>
        <w:tc>
          <w:tcPr>
            <w:tcW w:w="5000" w:type="pct"/>
          </w:tcPr>
          <w:p>
            <w:pPr>
              <w:spacing w:line="360" w:lineRule="auto"/>
              <w:rPr>
                <w:b/>
                <w:color w:val="000000" w:themeColor="text1"/>
                <w:sz w:val="28"/>
                <w:szCs w:val="28"/>
                <w14:textFill>
                  <w14:solidFill>
                    <w14:schemeClr w14:val="tx1"/>
                  </w14:solidFill>
                </w14:textFill>
              </w:rPr>
            </w:pPr>
            <w:r>
              <w:rPr>
                <w:rFonts w:hint="eastAsia"/>
                <w:b/>
                <w:color w:val="000000" w:themeColor="text1"/>
                <w:sz w:val="28"/>
                <w:szCs w:val="28"/>
                <w:lang w:val="en-US" w:eastAsia="zh-CN"/>
                <w14:textFill>
                  <w14:solidFill>
                    <w14:schemeClr w14:val="tx1"/>
                  </w14:solidFill>
                </w14:textFill>
              </w:rPr>
              <w:t>1</w:t>
            </w:r>
            <w:r>
              <w:rPr>
                <w:b/>
                <w:color w:val="000000" w:themeColor="text1"/>
                <w:sz w:val="28"/>
                <w:szCs w:val="28"/>
                <w14:textFill>
                  <w14:solidFill>
                    <w14:schemeClr w14:val="tx1"/>
                  </w14:solidFill>
                </w14:textFill>
              </w:rPr>
              <w:t>、结论</w:t>
            </w:r>
          </w:p>
          <w:p>
            <w:pPr>
              <w:pStyle w:val="5"/>
              <w:numPr>
                <w:ilvl w:val="0"/>
                <w:numId w:val="0"/>
              </w:numPr>
              <w:tabs>
                <w:tab w:val="left" w:pos="905"/>
              </w:tabs>
              <w:spacing w:before="0" w:after="0" w:line="360" w:lineRule="auto"/>
              <w:ind w:right="0" w:rightChars="0"/>
              <w:jc w:val="left"/>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1.1</w:t>
            </w:r>
            <w:r>
              <w:rPr>
                <w:rFonts w:hint="default" w:ascii="Times New Roman" w:hAnsi="Times New Roman" w:cs="Times New Roman"/>
                <w:color w:val="000000" w:themeColor="text1"/>
                <w14:textFill>
                  <w14:solidFill>
                    <w14:schemeClr w14:val="tx1"/>
                  </w14:solidFill>
                </w14:textFill>
              </w:rPr>
              <w:t>项目概况</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（1）基本概况</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本项目为</w:t>
            </w:r>
            <w:r>
              <w:rPr>
                <w:rFonts w:hint="eastAsia" w:ascii="Times New Roman" w:hAnsi="Times New Roman" w:eastAsia="宋体" w:cs="Times New Roman"/>
                <w:b w:val="0"/>
                <w:bCs w:val="0"/>
                <w:color w:val="000000" w:themeColor="text1"/>
                <w:kern w:val="2"/>
                <w:sz w:val="24"/>
                <w:szCs w:val="24"/>
                <w:lang w:val="en-GB" w:eastAsia="zh-CN" w:bidi="ar-SA"/>
                <w14:textFill>
                  <w14:solidFill>
                    <w14:schemeClr w14:val="tx1"/>
                  </w14:solidFill>
                </w14:textFill>
              </w:rPr>
              <w:t>巴丹吉林盆地及周缘铀矿资源调查评价，</w:t>
            </w:r>
            <w:r>
              <w:rPr>
                <w:rFonts w:hint="eastAsia" w:cs="Times New Roman"/>
                <w:b w:val="0"/>
                <w:bCs w:val="0"/>
                <w:color w:val="000000" w:themeColor="text1"/>
                <w:kern w:val="2"/>
                <w:sz w:val="24"/>
                <w:szCs w:val="24"/>
                <w:lang w:val="en-US" w:eastAsia="zh-CN" w:bidi="ar-SA"/>
                <w14:textFill>
                  <w14:solidFill>
                    <w14:schemeClr w14:val="tx1"/>
                  </w14:solidFill>
                </w14:textFill>
              </w:rPr>
              <w:t>钻探勘查区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包括巴丹吉林盆地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、潮水盆地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、走廊盆地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、武腾盆地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及北山地区</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，其行政区划隶属于</w:t>
            </w:r>
            <w:r>
              <w:rPr>
                <w:rFonts w:hint="eastAsia" w:cs="Times New Roman"/>
                <w:b w:val="0"/>
                <w:bCs w:val="0"/>
                <w:color w:val="000000" w:themeColor="text1"/>
                <w:kern w:val="2"/>
                <w:sz w:val="24"/>
                <w:szCs w:val="24"/>
                <w:lang w:val="en-US" w:eastAsia="zh-CN" w:bidi="ar-SA"/>
                <w14:textFill>
                  <w14:solidFill>
                    <w14:schemeClr w14:val="tx1"/>
                  </w14:solidFill>
                </w14:textFill>
              </w:rPr>
              <w:t>内蒙古自治区阿拉善盟</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及甘肃省张掖市、武威市、酒泉市、嘉峪关市和金昌市等管辖。</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2</w:t>
            </w: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建设内容</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本项目工作时间为2022-2026年，</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2022年度在</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巴丹吉林盆地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和潮水盆地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开展钻探工作，</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ascii="Times New Roman" w:hAnsi="Times New Roman" w:cs="Times New Roman"/>
                <w:b w:val="0"/>
                <w:bCs w:val="0"/>
                <w:color w:val="000000" w:themeColor="text1"/>
                <w:sz w:val="24"/>
                <w:lang w:val="en-US" w:eastAsia="zh-CN"/>
                <w14:textFill>
                  <w14:solidFill>
                    <w14:schemeClr w14:val="tx1"/>
                  </w14:solidFill>
                </w14:textFill>
              </w:rPr>
              <w:t>16000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ascii="Times New Roman" w:hAnsi="Times New Roman" w:cs="Times New Roman"/>
                <w:b w:val="0"/>
                <w:bCs w:val="0"/>
                <w:color w:val="000000" w:themeColor="text1"/>
                <w:sz w:val="24"/>
                <w:lang w:val="en-US" w:eastAsia="zh-CN"/>
                <w14:textFill>
                  <w14:solidFill>
                    <w14:schemeClr w14:val="tx1"/>
                  </w14:solidFill>
                </w14:textFill>
              </w:rPr>
              <w:t>31</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ascii="Times New Roman" w:hAnsi="Times New Roman" w:cs="Times New Roman"/>
                <w:b w:val="0"/>
                <w:bCs w:val="0"/>
                <w:color w:val="000000" w:themeColor="text1"/>
                <w:sz w:val="24"/>
                <w:lang w:val="en-US" w:eastAsia="zh-CN"/>
                <w14:textFill>
                  <w14:solidFill>
                    <w14:schemeClr w14:val="tx1"/>
                  </w14:solidFill>
                </w14:textFill>
              </w:rPr>
              <w:t>2023-2026年计划在</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巴丹吉林盆地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、潮水盆地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、走廊盆地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、武腾盆地</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及北山地区</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开展钻探工作，预估钻探工作量101000m，</w:t>
            </w:r>
            <w:r>
              <w:rPr>
                <w:rFonts w:hint="default" w:ascii="Times New Roman" w:hAnsi="Times New Roman" w:cs="Times New Roman"/>
                <w:b w:val="0"/>
                <w:bCs/>
                <w:color w:val="000000" w:themeColor="text1"/>
                <w:kern w:val="2"/>
                <w:sz w:val="24"/>
                <w:szCs w:val="20"/>
                <w:lang w:val="en-US" w:eastAsia="zh-CN" w:bidi="ar-SA"/>
                <w14:textFill>
                  <w14:solidFill>
                    <w14:schemeClr w14:val="tx1"/>
                  </w14:solidFill>
                </w14:textFill>
              </w:rPr>
              <w:t>钻孔213个</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2分析判断相关情况</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（1）产业政策符合性分析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color w:val="000000" w:themeColor="text1"/>
                <w:sz w:val="24"/>
                <w14:textFill>
                  <w14:solidFill>
                    <w14:schemeClr w14:val="tx1"/>
                  </w14:solidFill>
                </w14:textFill>
              </w:rPr>
              <w:t>未列入</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w:t>
            </w:r>
            <w:r>
              <w:rPr>
                <w:color w:val="000000" w:themeColor="text1"/>
                <w:sz w:val="24"/>
                <w14:textFill>
                  <w14:solidFill>
                    <w14:schemeClr w14:val="tx1"/>
                  </w14:solidFill>
                </w14:textFill>
              </w:rPr>
              <w:t>国家重点生态功能区产业准入负面清单（试行）</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w:t>
            </w:r>
            <w:r>
              <w:rPr>
                <w:rFonts w:hint="eastAsia"/>
                <w:color w:val="000000" w:themeColor="text1"/>
                <w:sz w:val="24"/>
                <w:lang w:val="en-GB" w:eastAsia="zh-CN"/>
                <w14:textFill>
                  <w14:solidFill>
                    <w14:schemeClr w14:val="tx1"/>
                  </w14:solidFill>
                </w14:textFill>
              </w:rPr>
              <w:t>《内蒙古自治区国家重点生态功能区产业准入负面清单（试行）》</w:t>
            </w:r>
            <w:r>
              <w:rPr>
                <w:rFonts w:hint="eastAsia"/>
                <w:color w:val="000000" w:themeColor="text1"/>
                <w:sz w:val="24"/>
                <w:lang w:val="en-US" w:eastAsia="zh-CN"/>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本项目属《产业结构调整指导目录（2019年本）》中“鼓励类”，符合国家产业政策。</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与相关区划、规划符合性分析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本项目属铀矿地质勘查，在</w:t>
            </w:r>
            <w:r>
              <w:rPr>
                <w:rFonts w:hint="eastAsia"/>
                <w:color w:val="000000" w:themeColor="text1"/>
                <w:sz w:val="24"/>
                <w:lang w:eastAsia="zh-CN"/>
                <w14:textFill>
                  <w14:solidFill>
                    <w14:schemeClr w14:val="tx1"/>
                  </w14:solidFill>
                </w14:textFill>
              </w:rPr>
              <w:t>勘查</w:t>
            </w:r>
            <w:r>
              <w:rPr>
                <w:color w:val="000000" w:themeColor="text1"/>
                <w:sz w:val="24"/>
                <w14:textFill>
                  <w14:solidFill>
                    <w14:schemeClr w14:val="tx1"/>
                  </w14:solidFill>
                </w14:textFill>
              </w:rPr>
              <w:t>施工过程避开禁止开发区域，同时采取生态保护与恢复措施，对生态环境影响小</w:t>
            </w:r>
            <w:r>
              <w:rPr>
                <w:rFonts w:hint="eastAsia"/>
                <w:color w:val="000000" w:themeColor="text1"/>
                <w:sz w:val="24"/>
                <w:lang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本项目符合</w:t>
            </w:r>
            <w:r>
              <w:rPr>
                <w:rFonts w:hint="eastAsia"/>
                <w:color w:val="000000" w:themeColor="text1"/>
                <w:sz w:val="24"/>
                <w:lang w:val="en-US" w:eastAsia="zh-CN"/>
                <w14:textFill>
                  <w14:solidFill>
                    <w14:schemeClr w14:val="tx1"/>
                  </w14:solidFill>
                </w14:textFill>
              </w:rPr>
              <w:t>《甘肃省主体功能区规划》、《内蒙古自治区主体功能区规划》、</w:t>
            </w:r>
            <w:r>
              <w:rPr>
                <w:rFonts w:hint="eastAsia"/>
                <w:color w:val="000000" w:themeColor="text1"/>
                <w:sz w:val="24"/>
                <w14:textFill>
                  <w14:solidFill>
                    <w14:schemeClr w14:val="tx1"/>
                  </w14:solidFill>
                </w14:textFill>
              </w:rPr>
              <w:t>《内蒙古自治区矿产资源总体规划（2016-2020年）》</w:t>
            </w:r>
            <w:r>
              <w:rPr>
                <w:rFonts w:hint="eastAsia" w:ascii="宋体" w:hAnsi="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w:t>
            </w:r>
            <w:r>
              <w:rPr>
                <w:rFonts w:hint="eastAsia"/>
                <w:color w:val="000000" w:themeColor="text1"/>
                <w:sz w:val="24"/>
                <w14:textFill>
                  <w14:solidFill>
                    <w14:schemeClr w14:val="tx1"/>
                  </w14:solidFill>
                </w14:textFill>
              </w:rPr>
              <w:t>矿产资源总体规划（2016-2020年）》</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《甘肃省“三线一单”生态环境分区管控》、《内蒙古自治区“三线一单”生态环境分区管控》的要求。</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3区域环境质量现状</w:t>
            </w:r>
          </w:p>
          <w:p>
            <w:pPr>
              <w:keepNext/>
              <w:keepLines/>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（1）环境空气质量</w:t>
            </w:r>
          </w:p>
          <w:p>
            <w:pPr>
              <w:keepNext/>
              <w:keepLines/>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根据</w:t>
            </w:r>
            <w:r>
              <w:rPr>
                <w:rFonts w:hint="eastAsia"/>
                <w:color w:val="000000" w:themeColor="text1"/>
                <w:sz w:val="24"/>
                <w:lang w:eastAsia="zh-CN"/>
                <w14:textFill>
                  <w14:solidFill>
                    <w14:schemeClr w14:val="tx1"/>
                  </w14:solidFill>
                </w14:textFill>
              </w:rPr>
              <w:t>环境保护部环境工程评估中心“国家环境保护环境影响评价数值模拟重点实验室”上线的环境空气质量模型基础数据服务系统查询，</w:t>
            </w:r>
          </w:p>
          <w:p>
            <w:pPr>
              <w:spacing w:line="360" w:lineRule="auto"/>
              <w:ind w:firstLine="480" w:firstLineChars="200"/>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内蒙古自治区阿拉善盟及甘肃省张掖市、武威市、酒泉市、嘉峪关市和金昌市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w:t>
            </w:r>
            <w:r>
              <w:rPr>
                <w:rFonts w:hint="eastAsia"/>
                <w:color w:val="000000" w:themeColor="text1"/>
                <w:sz w:val="24"/>
                <w:lang w:val="en-US" w:eastAsia="zh-CN"/>
                <w14:textFill>
                  <w14:solidFill>
                    <w14:schemeClr w14:val="tx1"/>
                  </w14:solidFill>
                </w14:textFill>
              </w:rPr>
              <w:t>环境空气质量</w:t>
            </w:r>
            <w:r>
              <w:rPr>
                <w:rFonts w:hint="eastAsia"/>
                <w:color w:val="000000" w:themeColor="text1"/>
                <w:sz w:val="24"/>
                <w14:textFill>
                  <w14:solidFill>
                    <w14:schemeClr w14:val="tx1"/>
                  </w14:solidFill>
                </w14:textFill>
              </w:rPr>
              <w:t>均满足《环境空气质量标准》（GB3095-2012）中二级标准限值。根据《环境影响评价技术导则 大气环境》（HJ2.2-2018），</w:t>
            </w:r>
            <w:r>
              <w:rPr>
                <w:rFonts w:hint="eastAsia"/>
                <w:color w:val="000000" w:themeColor="text1"/>
                <w:sz w:val="24"/>
                <w:lang w:val="en-US" w:eastAsia="zh-CN"/>
                <w14:textFill>
                  <w14:solidFill>
                    <w14:schemeClr w14:val="tx1"/>
                  </w14:solidFill>
                </w14:textFill>
              </w:rPr>
              <w:t>项目所在区为环境空气质量达标区。</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（2）环境噪声</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根据《2020年甘肃省生态环境状况公报》、《2020年内蒙古自治区生态环境状况公报》，区域声环境质量处在“较好”水平。</w:t>
            </w:r>
          </w:p>
          <w:p>
            <w:pPr>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（3）</w:t>
            </w:r>
            <w:r>
              <w:rPr>
                <w:rFonts w:hint="eastAsia"/>
                <w:color w:val="000000" w:themeColor="text1"/>
                <w:sz w:val="24"/>
                <w:lang w:eastAsia="zh-CN"/>
                <w14:textFill>
                  <w14:solidFill>
                    <w14:schemeClr w14:val="tx1"/>
                  </w14:solidFill>
                </w14:textFill>
              </w:rPr>
              <w:t>辐射环境质量现状</w:t>
            </w:r>
          </w:p>
          <w:p>
            <w:pPr>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根据</w:t>
            </w:r>
            <w:r>
              <w:rPr>
                <w:rFonts w:ascii="Times New Roman" w:hAnsi="Times New Roman" w:cs="Times New Roman"/>
                <w:color w:val="000000" w:themeColor="text1"/>
                <w:sz w:val="24"/>
                <w:szCs w:val="24"/>
                <w:lang w:eastAsia="zh-CN"/>
                <w14:textFill>
                  <w14:solidFill>
                    <w14:schemeClr w14:val="tx1"/>
                  </w14:solidFill>
                </w14:textFill>
              </w:rPr>
              <w:t>《中国环境天然放射性水平》（2015版）</w:t>
            </w:r>
            <w:r>
              <w:rPr>
                <w:rFonts w:hint="eastAsia" w:ascii="Times New Roman" w:hAnsi="Times New Roman" w:cs="Times New Roman"/>
                <w:color w:val="000000" w:themeColor="text1"/>
                <w:sz w:val="24"/>
                <w:szCs w:val="24"/>
                <w:lang w:eastAsia="zh-CN"/>
                <w14:textFill>
                  <w14:solidFill>
                    <w14:schemeClr w14:val="tx1"/>
                  </w14:solidFill>
                </w14:textFill>
              </w:rPr>
              <w:t>中</w:t>
            </w:r>
            <w:r>
              <w:rPr>
                <w:rFonts w:hint="eastAsia"/>
                <w:color w:val="000000" w:themeColor="text1"/>
                <w:sz w:val="24"/>
                <w:lang w:eastAsia="zh-CN"/>
                <w14:textFill>
                  <w14:solidFill>
                    <w14:schemeClr w14:val="tx1"/>
                  </w14:solidFill>
                </w14:textFill>
              </w:rPr>
              <w:t>天然贯穿辐射剂量率、地表水和农村井水中U</w:t>
            </w:r>
            <w:r>
              <w:rPr>
                <w:rFonts w:hint="eastAsia"/>
                <w:color w:val="000000" w:themeColor="text1"/>
                <w:sz w:val="24"/>
                <w:vertAlign w:val="subscript"/>
                <w:lang w:eastAsia="zh-CN"/>
                <w14:textFill>
                  <w14:solidFill>
                    <w14:schemeClr w14:val="tx1"/>
                  </w14:solidFill>
                </w14:textFill>
              </w:rPr>
              <w:t>天然</w:t>
            </w:r>
            <w:r>
              <w:rPr>
                <w:rFonts w:hint="eastAsia"/>
                <w:color w:val="000000" w:themeColor="text1"/>
                <w:sz w:val="24"/>
                <w:lang w:eastAsia="zh-CN"/>
                <w14:textFill>
                  <w14:solidFill>
                    <w14:schemeClr w14:val="tx1"/>
                  </w14:solidFill>
                </w14:textFill>
              </w:rPr>
              <w:t>、</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Ra浓度、土壤中</w:t>
            </w:r>
            <w:r>
              <w:rPr>
                <w:rFonts w:hint="eastAsia"/>
                <w:color w:val="000000" w:themeColor="text1"/>
                <w:sz w:val="24"/>
                <w:vertAlign w:val="superscript"/>
                <w:lang w:eastAsia="zh-CN"/>
                <w14:textFill>
                  <w14:solidFill>
                    <w14:schemeClr w14:val="tx1"/>
                  </w14:solidFill>
                </w14:textFill>
              </w:rPr>
              <w:t>238</w:t>
            </w:r>
            <w:r>
              <w:rPr>
                <w:rFonts w:hint="eastAsia"/>
                <w:color w:val="000000" w:themeColor="text1"/>
                <w:sz w:val="24"/>
                <w:lang w:eastAsia="zh-CN"/>
                <w14:textFill>
                  <w14:solidFill>
                    <w14:schemeClr w14:val="tx1"/>
                  </w14:solidFill>
                </w14:textFill>
              </w:rPr>
              <w:t>U、</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Ra数据可知，</w:t>
            </w:r>
            <w:r>
              <w:rPr>
                <w:rFonts w:ascii="Times New Roman" w:hAnsi="Times New Roman" w:cs="Times New Roman"/>
                <w:color w:val="000000" w:themeColor="text1"/>
                <w:sz w:val="24"/>
                <w:szCs w:val="24"/>
                <w:lang w:eastAsia="zh-CN"/>
                <w14:textFill>
                  <w14:solidFill>
                    <w14:schemeClr w14:val="tx1"/>
                  </w14:solidFill>
                </w14:textFill>
              </w:rPr>
              <w:t>项目所在区域</w:t>
            </w:r>
            <w:r>
              <w:rPr>
                <w:rFonts w:hint="eastAsia" w:ascii="Times New Roman" w:hAnsi="Times New Roman" w:cs="Times New Roman"/>
                <w:color w:val="000000" w:themeColor="text1"/>
                <w:sz w:val="24"/>
                <w:szCs w:val="24"/>
                <w:lang w:eastAsia="zh-CN"/>
                <w14:textFill>
                  <w14:solidFill>
                    <w14:schemeClr w14:val="tx1"/>
                  </w14:solidFill>
                </w14:textFill>
              </w:rPr>
              <w:t>内</w:t>
            </w:r>
            <w:r>
              <w:rPr>
                <w:rFonts w:ascii="Times New Roman" w:hAnsi="Times New Roman" w:cs="Times New Roman"/>
                <w:color w:val="000000" w:themeColor="text1"/>
                <w:sz w:val="24"/>
                <w:szCs w:val="24"/>
                <w:lang w:eastAsia="zh-CN"/>
                <w14:textFill>
                  <w14:solidFill>
                    <w14:schemeClr w14:val="tx1"/>
                  </w14:solidFill>
                </w14:textFill>
              </w:rPr>
              <w:t>辐射环境质量现状良好</w:t>
            </w:r>
            <w:r>
              <w:rPr>
                <w:rFonts w:hint="eastAsia"/>
                <w:color w:val="000000" w:themeColor="text1"/>
                <w:sz w:val="24"/>
                <w:lang w:eastAsia="zh-CN"/>
                <w14:textFill>
                  <w14:solidFill>
                    <w14:schemeClr w14:val="tx1"/>
                  </w14:solidFill>
                </w14:textFill>
              </w:rPr>
              <w:t>。</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（4）生态环境</w:t>
            </w:r>
          </w:p>
          <w:p>
            <w:pPr>
              <w:pStyle w:val="9"/>
              <w:spacing w:after="0" w:line="360" w:lineRule="auto"/>
              <w:ind w:left="0" w:leftChars="0" w:firstLine="480" w:firstLineChars="200"/>
              <w:rPr>
                <w:rFonts w:hint="default"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根据《甘肃生态功能区划》、《内蒙古自治区生态功能区划》，巴丹吉林盆地属平原东部防风固沙生态功能区，金塔、鼎新绿洲农业盐渍化生态功能区，平原北部戈壁荒漠风蚀沙化控制生态功能区，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cs="Times New Roman"/>
                <w:color w:val="000000" w:themeColor="text1"/>
                <w:kern w:val="2"/>
                <w:sz w:val="24"/>
                <w:szCs w:val="24"/>
                <w:lang w:val="en-US" w:eastAsia="zh-CN" w:bidi="ar-SA"/>
                <w14:textFill>
                  <w14:solidFill>
                    <w14:schemeClr w14:val="tx1"/>
                  </w14:solidFill>
                </w14:textFill>
              </w:rPr>
              <w:t>；潮水盆地属绿洲两侧沙漠化重点控制生态功能区，民勤绿洲农业及沙漠化控制生态功能区，龙首山山前牧业及防风固沙生态功能区，绿洲西北部草原化荒漠风蚀沙化控制生态功能区，合黎山北麓风蚀沙化控制生态功能区，河西堡风蚀草原化荒漠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cs="Times New Roman"/>
                <w:color w:val="000000" w:themeColor="text1"/>
                <w:kern w:val="2"/>
                <w:sz w:val="24"/>
                <w:szCs w:val="24"/>
                <w:lang w:val="en-US" w:eastAsia="zh-CN" w:bidi="ar-SA"/>
                <w14:textFill>
                  <w14:solidFill>
                    <w14:schemeClr w14:val="tx1"/>
                  </w14:solidFill>
                </w14:textFill>
              </w:rPr>
              <w:t>；武腾盆地属绿洲两侧沙漠化重点控制生态功能区，民勤绿洲农业及沙漠化控制生态功能区，古浪农田风蚀沙化敏感生态功能区，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水源涵养、生物多样性保护</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t>北山地区属马鬓山风蚀荒漠牧业、采矿生态功能区，</w:t>
            </w:r>
            <w:r>
              <w:rPr>
                <w:rFonts w:hint="eastAsia" w:hAnsi="宋体"/>
                <w:color w:val="000000" w:themeColor="text1"/>
                <w:sz w:val="24"/>
                <w14:textFill>
                  <w14:solidFill>
                    <w14:schemeClr w14:val="tx1"/>
                  </w14:solidFill>
                </w14:textFill>
              </w:rPr>
              <w:t>阿拉善</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t>走廊盆地属河西走廊干旱荒漠、绿洲农业生态亚区。</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4主要环境影响分析及相关污染防治措施</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1.4.1水环境影响分析及污染防治措施</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施工期的废水主要来自项目部、钻探人员生活污水以及钻井施工中的钻井泥浆废水、设备冲洗废水。项目部依托周边村庄现有旱厕，生活洗漱污水用于抑尘；钻探施工区的生活区设旱厕，生活洗漱污水用于抑尘。钻井泥浆池中的上清液循环使用，过程需补充一定消耗水量，废水全部循环，不外排。设备冲洗废水进入泥浆池沉淀自然干化，不外排</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1.4.2大气环境影响分析及污染防治措施</w:t>
            </w:r>
          </w:p>
          <w:p>
            <w:pPr>
              <w:spacing w:line="360" w:lineRule="auto"/>
              <w:ind w:firstLine="480" w:firstLineChars="200"/>
              <w:rPr>
                <w:color w:val="000000" w:themeColor="text1"/>
                <w:sz w:val="24"/>
                <w:lang w:eastAsia="zh-CN"/>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施工扬尘主要产生在钻前场地平整、土方开挖、开辟临时道路等环节，及材料运输过程中的道路扬尘，属于无组织排放。</w:t>
            </w:r>
            <w:r>
              <w:rPr>
                <w:rFonts w:hint="eastAsia"/>
                <w:color w:val="000000" w:themeColor="text1"/>
                <w:sz w:val="24"/>
                <w:lang w:eastAsia="zh-CN"/>
                <w14:textFill>
                  <w14:solidFill>
                    <w14:schemeClr w14:val="tx1"/>
                  </w14:solidFill>
                </w14:textFill>
              </w:rPr>
              <w:t>项目工期较短，其产生的影响相对较小；柴油机工作时产生废气主要污染物为颗粒物、NO</w:t>
            </w:r>
            <w:r>
              <w:rPr>
                <w:rFonts w:hint="eastAsia"/>
                <w:color w:val="000000" w:themeColor="text1"/>
                <w:sz w:val="24"/>
                <w:vertAlign w:val="subscript"/>
                <w:lang w:eastAsia="zh-CN"/>
                <w14:textFill>
                  <w14:solidFill>
                    <w14:schemeClr w14:val="tx1"/>
                  </w14:solidFill>
                </w14:textFill>
              </w:rPr>
              <w:t>x</w:t>
            </w:r>
            <w:r>
              <w:rPr>
                <w:rFonts w:hint="eastAsia"/>
                <w:color w:val="000000" w:themeColor="text1"/>
                <w:sz w:val="24"/>
                <w:lang w:eastAsia="zh-CN"/>
                <w14:textFill>
                  <w14:solidFill>
                    <w14:schemeClr w14:val="tx1"/>
                  </w14:solidFill>
                </w14:textFill>
              </w:rPr>
              <w:t>、SO</w:t>
            </w:r>
            <w:r>
              <w:rPr>
                <w:rFonts w:hint="eastAsia"/>
                <w:color w:val="000000" w:themeColor="text1"/>
                <w:sz w:val="24"/>
                <w:vertAlign w:val="subscript"/>
                <w:lang w:eastAsia="zh-CN"/>
                <w14:textFill>
                  <w14:solidFill>
                    <w14:schemeClr w14:val="tx1"/>
                  </w14:solidFill>
                </w14:textFill>
              </w:rPr>
              <w:t>2</w:t>
            </w:r>
            <w:r>
              <w:rPr>
                <w:rFonts w:hint="eastAsia"/>
                <w:color w:val="000000" w:themeColor="text1"/>
                <w:sz w:val="24"/>
                <w:lang w:eastAsia="zh-CN"/>
                <w14:textFill>
                  <w14:solidFill>
                    <w14:schemeClr w14:val="tx1"/>
                  </w14:solidFill>
                </w14:textFill>
              </w:rPr>
              <w:t>、CO、总烃等，为无组织、分散排放。本项目选择符合环保要求的柴油机，每个钻孔用到柴油机的时间仅为15天左右，所在地地势较为开阔，周围没有密集的建筑物与居民区，有利于大气污染物扩散，随着钻井工作的结束，柴油机排放的废气对环境空气的影响会逐渐消失，因此该项目钻井柴油机械废气对周围环境影响不大。</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1.4.3声环境影响分析及污染防治措施</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减振垫料，在钻井过程中平稳操作，避免产生非正常的噪声。钻探施工时间较短，伴随施工结束，影响消失，采取评价中的噪声控制措施后，钻井噪声对声环境的影响可得到有效控制。</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1.4.4固体废物环境影响分析及污染防治措施</w:t>
            </w:r>
          </w:p>
          <w:p>
            <w:pPr>
              <w:spacing w:line="360" w:lineRule="auto"/>
              <w:ind w:firstLine="480" w:firstLineChars="200"/>
              <w:rPr>
                <w:rFonts w:hint="eastAsia" w:ascii="宋体" w:hAnsi="Times New Roman" w:eastAsia="宋体" w:cs="宋体"/>
                <w:color w:val="000000" w:themeColor="text1"/>
                <w:kern w:val="0"/>
                <w:sz w:val="24"/>
                <w:lang w:val="en-US" w:eastAsia="zh-CN"/>
                <w14:textFill>
                  <w14:solidFill>
                    <w14:schemeClr w14:val="tx1"/>
                  </w14:solidFill>
                </w14:textFill>
              </w:rPr>
            </w:pPr>
            <w:r>
              <w:rPr>
                <w:rFonts w:hint="eastAsia" w:ascii="宋体" w:cs="宋体"/>
                <w:color w:val="000000" w:themeColor="text1"/>
                <w:kern w:val="0"/>
                <w:sz w:val="24"/>
                <w14:textFill>
                  <w14:solidFill>
                    <w14:schemeClr w14:val="tx1"/>
                  </w14:solidFill>
                </w14:textFill>
              </w:rPr>
              <w:t>根据工程分析，本项目固体废物主要为</w:t>
            </w:r>
            <w:r>
              <w:rPr>
                <w:rFonts w:hint="eastAsia"/>
                <w:color w:val="000000" w:themeColor="text1"/>
                <w:sz w:val="24"/>
                <w14:textFill>
                  <w14:solidFill>
                    <w14:schemeClr w14:val="tx1"/>
                  </w14:solidFill>
                </w14:textFill>
              </w:rPr>
              <w:t>剥离表土、</w:t>
            </w:r>
            <w:r>
              <w:rPr>
                <w:rFonts w:hint="eastAsia" w:ascii="宋体" w:cs="宋体"/>
                <w:color w:val="000000" w:themeColor="text1"/>
                <w:kern w:val="0"/>
                <w:sz w:val="24"/>
                <w14:textFill>
                  <w14:solidFill>
                    <w14:schemeClr w14:val="tx1"/>
                  </w14:solidFill>
                </w14:textFill>
              </w:rPr>
              <w:t>钻井泥浆、岩芯、施工人员生活垃圾</w:t>
            </w:r>
            <w:r>
              <w:rPr>
                <w:rFonts w:hint="eastAsia" w:ascii="宋体" w:hAnsi="Times New Roman" w:eastAsia="宋体" w:cs="宋体"/>
                <w:color w:val="000000" w:themeColor="text1"/>
                <w:kern w:val="0"/>
                <w:sz w:val="24"/>
                <w:lang w:val="en-US" w:eastAsia="zh-CN"/>
                <w14:textFill>
                  <w14:solidFill>
                    <w14:schemeClr w14:val="tx1"/>
                  </w14:solidFill>
                </w14:textFill>
              </w:rPr>
              <w:t>以及废机油。</w:t>
            </w:r>
          </w:p>
          <w:p>
            <w:pPr>
              <w:spacing w:line="360" w:lineRule="auto"/>
              <w:ind w:firstLine="480" w:firstLineChars="200"/>
              <w:rPr>
                <w:rFonts w:hint="eastAsia" w:ascii="宋体" w:hAnsi="Times New Roman" w:eastAsia="宋体" w:cs="宋体"/>
                <w:color w:val="000000" w:themeColor="text1"/>
                <w:kern w:val="0"/>
                <w:sz w:val="24"/>
                <w:lang w:eastAsia="zh-CN"/>
                <w14:textFill>
                  <w14:solidFill>
                    <w14:schemeClr w14:val="tx1"/>
                  </w14:solidFill>
                </w14:textFill>
              </w:rPr>
            </w:pPr>
            <w:r>
              <w:rPr>
                <w:rFonts w:hint="eastAsia" w:ascii="宋体" w:hAnsi="Times New Roman" w:eastAsia="宋体" w:cs="宋体"/>
                <w:color w:val="000000" w:themeColor="text1"/>
                <w:kern w:val="0"/>
                <w:sz w:val="24"/>
                <w:lang w:eastAsia="zh-CN"/>
                <w14:textFill>
                  <w14:solidFill>
                    <w14:schemeClr w14:val="tx1"/>
                  </w14:solidFill>
                </w14:textFill>
              </w:rPr>
              <w:t>表土就近堆放于钻孔平台附近，待封孔后用于场地恢复。废弃泥浆自然蒸发后于防渗泥浆池填埋，并进行生态恢复。钻井过程中岩芯全部集中放置在岩芯箱内，施工结束后，矿段岩芯全部取样，送实验室进行分析；非矿段岩芯集中在岩芯池填埋，岩芯池铺设HDPE防渗膜。</w:t>
            </w:r>
            <w:r>
              <w:rPr>
                <w:rFonts w:hint="eastAsia" w:ascii="宋体" w:hAnsi="Times New Roman" w:eastAsia="宋体" w:cs="宋体"/>
                <w:color w:val="000000" w:themeColor="text1"/>
                <w:kern w:val="0"/>
                <w:sz w:val="24"/>
                <w:lang w:val="en-GB" w:eastAsia="zh-CN"/>
                <w14:textFill>
                  <w14:solidFill>
                    <w14:schemeClr w14:val="tx1"/>
                  </w14:solidFill>
                </w14:textFill>
              </w:rPr>
              <w:t>对产生的废油</w:t>
            </w:r>
            <w:r>
              <w:rPr>
                <w:rFonts w:hint="eastAsia" w:ascii="宋体" w:hAnsi="Times New Roman" w:eastAsia="宋体" w:cs="宋体"/>
                <w:color w:val="000000" w:themeColor="text1"/>
                <w:kern w:val="0"/>
                <w:sz w:val="24"/>
                <w:lang w:eastAsia="zh-CN"/>
                <w14:textFill>
                  <w14:solidFill>
                    <w14:schemeClr w14:val="tx1"/>
                  </w14:solidFill>
                </w14:textFill>
              </w:rPr>
              <w:t>物</w:t>
            </w:r>
            <w:r>
              <w:rPr>
                <w:rFonts w:hint="eastAsia" w:ascii="宋体" w:hAnsi="Times New Roman" w:eastAsia="宋体" w:cs="宋体"/>
                <w:color w:val="000000" w:themeColor="text1"/>
                <w:kern w:val="0"/>
                <w:sz w:val="24"/>
                <w:lang w:val="en-GB" w:eastAsia="zh-CN"/>
                <w14:textFill>
                  <w14:solidFill>
                    <w14:schemeClr w14:val="tx1"/>
                  </w14:solidFill>
                </w14:textFill>
              </w:rPr>
              <w:t>采用专用收集桶集中收集，</w:t>
            </w:r>
            <w:r>
              <w:rPr>
                <w:rFonts w:hint="eastAsia" w:ascii="宋体" w:hAnsi="Times New Roman" w:eastAsia="宋体" w:cs="宋体"/>
                <w:color w:val="000000" w:themeColor="text1"/>
                <w:kern w:val="0"/>
                <w:sz w:val="24"/>
                <w:lang w:eastAsia="zh-CN"/>
                <w14:textFill>
                  <w14:solidFill>
                    <w14:schemeClr w14:val="tx1"/>
                  </w14:solidFill>
                </w14:textFill>
              </w:rPr>
              <w:t>经收集后交有资质单位进行处置。钻探勘查区生活垃圾用垃圾袋带回项目部，项目部设垃圾桶进行收集，定期送往乡镇垃圾堆放点，由当地环卫部门清理处置。</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1.4.5土壤、地下水环境影响分析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土壤环境（试行）》（HJ964-2018），本项目属于附录A中其他行业，土壤环境影响评价项目类别是IV类。所以，本次不开展土壤、地下水环境影响评价。</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1.4.6辐射环境影响分析</w:t>
            </w:r>
          </w:p>
          <w:p>
            <w:pPr>
              <w:spacing w:line="360" w:lineRule="auto"/>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钻探施工活动中无液态放射性流出物产生，本项目钻孔孔径较小，且采用湿法钻探，氡及其子体释放量极少，施工时间较短，</w:t>
            </w:r>
            <w:r>
              <w:rPr>
                <w:color w:val="000000" w:themeColor="text1"/>
                <w:sz w:val="24"/>
                <w14:textFill>
                  <w14:solidFill>
                    <w14:schemeClr w14:val="tx1"/>
                  </w14:solidFill>
                </w14:textFill>
              </w:rPr>
              <w:t>居民区</w:t>
            </w:r>
            <w:r>
              <w:rPr>
                <w:rFonts w:hint="eastAsia"/>
                <w:color w:val="000000" w:themeColor="text1"/>
                <w:sz w:val="24"/>
                <w14:textFill>
                  <w14:solidFill>
                    <w14:schemeClr w14:val="tx1"/>
                  </w14:solidFill>
                </w14:textFill>
              </w:rPr>
              <w:t>位于</w:t>
            </w:r>
            <w:r>
              <w:rPr>
                <w:color w:val="000000" w:themeColor="text1"/>
                <w:sz w:val="24"/>
                <w14:textFill>
                  <w14:solidFill>
                    <w14:schemeClr w14:val="tx1"/>
                  </w14:solidFill>
                </w14:textFill>
              </w:rPr>
              <w:t>钻探区域</w:t>
            </w:r>
            <w:r>
              <w:rPr>
                <w:rFonts w:hint="eastAsia"/>
                <w:color w:val="000000" w:themeColor="text1"/>
                <w:sz w:val="24"/>
                <w14:textFill>
                  <w14:solidFill>
                    <w14:schemeClr w14:val="tx1"/>
                  </w14:solidFill>
                </w14:textFill>
              </w:rPr>
              <w:t>5</w:t>
            </w:r>
            <w:r>
              <w:rPr>
                <w:color w:val="000000" w:themeColor="text1"/>
                <w:sz w:val="24"/>
                <w14:textFill>
                  <w14:solidFill>
                    <w14:schemeClr w14:val="tx1"/>
                  </w14:solidFill>
                </w14:textFill>
              </w:rPr>
              <w:t>0m外</w:t>
            </w:r>
            <w:r>
              <w:rPr>
                <w:rFonts w:hint="eastAsia"/>
                <w:color w:val="000000" w:themeColor="text1"/>
                <w:sz w:val="24"/>
                <w14:textFill>
                  <w14:solidFill>
                    <w14:schemeClr w14:val="tx1"/>
                  </w14:solidFill>
                </w14:textFill>
              </w:rPr>
              <w:t>，在钻孔附近空气稀释和氡气自发衰变（</w:t>
            </w:r>
            <w:r>
              <w:rPr>
                <w:color w:val="000000" w:themeColor="text1"/>
                <w:sz w:val="24"/>
                <w14:textFill>
                  <w14:solidFill>
                    <w14:schemeClr w14:val="tx1"/>
                  </w14:solidFill>
                </w14:textFill>
              </w:rPr>
              <w:t>半衰期3.825d</w:t>
            </w:r>
            <w:r>
              <w:rPr>
                <w:rFonts w:hint="eastAsia"/>
                <w:color w:val="000000" w:themeColor="text1"/>
                <w:sz w:val="24"/>
                <w14:textFill>
                  <w14:solidFill>
                    <w14:schemeClr w14:val="tx1"/>
                  </w14:solidFill>
                </w14:textFill>
              </w:rPr>
              <w:t>）作用下，钻探区域50m外环境空气中氡浓度已降至环境本底水平，对公众不产生附加剂量</w:t>
            </w:r>
            <w:r>
              <w:rPr>
                <w:color w:val="000000" w:themeColor="text1"/>
                <w:sz w:val="24"/>
                <w14:textFill>
                  <w14:solidFill>
                    <w14:schemeClr w14:val="tx1"/>
                  </w14:solidFill>
                </w14:textFill>
              </w:rPr>
              <w:t>。</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1.4.7环境风险影响分析</w:t>
            </w:r>
          </w:p>
          <w:p>
            <w:pPr>
              <w:spacing w:line="360" w:lineRule="auto"/>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本项目的环境风险防范类型主要为柴油的泄漏、火灾爆炸产生的伴生或次生污染物的环境风险。在采取必要的环境风险防范措施的前提下，项目的环境风险能够得到有效控制，环境风险可接受。</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1.4.8生态环境影响分析</w:t>
            </w:r>
          </w:p>
          <w:p>
            <w:pPr>
              <w:spacing w:line="360" w:lineRule="auto"/>
              <w:ind w:firstLine="480" w:firstLineChars="200"/>
              <w:rPr>
                <w:rFonts w:hint="eastAsia"/>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本项目钻井位置不占用</w:t>
            </w:r>
            <w:r>
              <w:rPr>
                <w:rFonts w:hint="eastAsia"/>
                <w:color w:val="000000" w:themeColor="text1"/>
                <w:kern w:val="0"/>
                <w:sz w:val="24"/>
                <w:lang w:val="en-US" w:eastAsia="zh-CN"/>
                <w14:textFill>
                  <w14:solidFill>
                    <w14:schemeClr w14:val="tx1"/>
                  </w14:solidFill>
                </w14:textFill>
              </w:rPr>
              <w:t>勘查区内的</w:t>
            </w:r>
            <w:r>
              <w:rPr>
                <w:rFonts w:hint="eastAsia"/>
                <w:color w:val="000000" w:themeColor="text1"/>
                <w:kern w:val="0"/>
                <w:sz w:val="24"/>
                <w14:textFill>
                  <w14:solidFill>
                    <w14:schemeClr w14:val="tx1"/>
                  </w14:solidFill>
                </w14:textFill>
              </w:rPr>
              <w:t>自然保护区、世界文化自然遗产、风景名胜区、森林公园、地质公园、湿地公园、水源地等生态敏感区，不涉及基本农田，且均为临时占地。项目由于施工期短，施工期结束后恢复生态，对生态环境影响较小。</w:t>
            </w:r>
          </w:p>
          <w:p>
            <w:pPr>
              <w:spacing w:line="360" w:lineRule="auto"/>
              <w:ind w:firstLine="480" w:firstLineChars="200"/>
              <w:rPr>
                <w:rFonts w:hint="eastAsia"/>
                <w:color w:val="000000" w:themeColor="text1"/>
                <w:kern w:val="0"/>
                <w:sz w:val="24"/>
                <w14:textFill>
                  <w14:solidFill>
                    <w14:schemeClr w14:val="tx1"/>
                  </w14:solidFill>
                </w14:textFill>
              </w:rPr>
            </w:pPr>
            <w:r>
              <w:rPr>
                <w:rFonts w:hint="eastAsia"/>
                <w:color w:val="000000" w:themeColor="text1"/>
                <w:kern w:val="0"/>
                <w:sz w:val="24"/>
                <w:lang w:val="en-US" w:eastAsia="zh-CN"/>
                <w14:textFill>
                  <w14:solidFill>
                    <w14:schemeClr w14:val="tx1"/>
                  </w14:solidFill>
                </w14:textFill>
              </w:rPr>
              <w:t>考虑到</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22年拟布设钻孔在勘查中会根据实际情况进行调整，同时</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23-2026年钻孔位置尚未确定。因此，评价要求</w:t>
            </w:r>
            <w:r>
              <w:rPr>
                <w:rFonts w:hint="default"/>
                <w:color w:val="000000" w:themeColor="text1"/>
                <w:kern w:val="0"/>
                <w:sz w:val="24"/>
                <w:lang w:val="en-US" w:eastAsia="zh-CN"/>
                <w14:textFill>
                  <w14:solidFill>
                    <w14:schemeClr w14:val="tx1"/>
                  </w14:solidFill>
                </w14:textFill>
              </w:rPr>
              <w:t>202</w:t>
            </w:r>
            <w:r>
              <w:rPr>
                <w:rFonts w:hint="eastAsia"/>
                <w:color w:val="000000" w:themeColor="text1"/>
                <w:kern w:val="0"/>
                <w:sz w:val="24"/>
                <w:lang w:val="en-US" w:eastAsia="zh-CN"/>
                <w14:textFill>
                  <w14:solidFill>
                    <w14:schemeClr w14:val="tx1"/>
                  </w14:solidFill>
                </w14:textFill>
              </w:rPr>
              <w:t>2年钻孔调整以及</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23-2026年拟布设的钻孔具体施工时，应对勘查区内环境敏感区的进行避让。</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lang w:val="en-US" w:eastAsia="zh-CN"/>
                <w14:textFill>
                  <w14:solidFill>
                    <w14:schemeClr w14:val="tx1"/>
                  </w14:solidFill>
                </w14:textFill>
              </w:rPr>
              <w:t>2</w:t>
            </w:r>
            <w:r>
              <w:rPr>
                <w:rFonts w:hint="eastAsia" w:eastAsia="黑体"/>
                <w:color w:val="000000" w:themeColor="text1"/>
                <w:sz w:val="28"/>
                <w:szCs w:val="28"/>
                <w14:textFill>
                  <w14:solidFill>
                    <w14:schemeClr w14:val="tx1"/>
                  </w14:solidFill>
                </w14:textFill>
              </w:rPr>
              <w:t>、</w:t>
            </w:r>
            <w:r>
              <w:rPr>
                <w:rFonts w:eastAsia="黑体"/>
                <w:color w:val="000000" w:themeColor="text1"/>
                <w:sz w:val="28"/>
                <w:szCs w:val="28"/>
                <w14:textFill>
                  <w14:solidFill>
                    <w14:schemeClr w14:val="tx1"/>
                  </w14:solidFill>
                </w14:textFill>
              </w:rPr>
              <w:t>总结论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建设符合国家和地方政策，污染物产生途径和产生量相对较少，采取合理、可靠的防治措施后，可使污染物排放得到有效控制；工程采取的污染物防治和生态保护措施可行，对周围环境影响较小。因此，从环境保护角度来看，本项目是可行的。</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lang w:val="en-US" w:eastAsia="zh-CN"/>
                <w14:textFill>
                  <w14:solidFill>
                    <w14:schemeClr w14:val="tx1"/>
                  </w14:solidFill>
                </w14:textFill>
              </w:rPr>
              <w:t>3</w:t>
            </w:r>
            <w:r>
              <w:rPr>
                <w:rFonts w:hint="eastAsia" w:eastAsia="黑体"/>
                <w:color w:val="000000" w:themeColor="text1"/>
                <w:sz w:val="28"/>
                <w:szCs w:val="28"/>
                <w14:textFill>
                  <w14:solidFill>
                    <w14:schemeClr w14:val="tx1"/>
                  </w14:solidFill>
                </w14:textFill>
              </w:rPr>
              <w:t>、</w:t>
            </w:r>
            <w:r>
              <w:rPr>
                <w:rFonts w:eastAsia="黑体"/>
                <w:color w:val="000000" w:themeColor="text1"/>
                <w:sz w:val="28"/>
                <w:szCs w:val="28"/>
                <w14:textFill>
                  <w14:solidFill>
                    <w14:schemeClr w14:val="tx1"/>
                  </w14:solidFill>
                </w14:textFill>
              </w:rPr>
              <w:t>建议和要求</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）严格按照施工设计方案要求，现场注意文明施工，安全施工，合理安排施工时间和限制施工范围，加强生态保护。</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）严格落实钻井泥浆、生活废水处理等环保措施，减少污染物排放，降低对周围环境的影响。</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）施工作业应采取有效的生态保护措施保护动植物，减少对生态环境的影响。</w:t>
            </w:r>
          </w:p>
          <w:p>
            <w:pPr>
              <w:pStyle w:val="2"/>
              <w:rPr>
                <w:rFonts w:hint="eastAsia"/>
                <w:color w:val="000000" w:themeColor="text1"/>
                <w:sz w:val="24"/>
                <w:lang w:val="en-US" w:eastAsia="zh-CN"/>
                <w14:textFill>
                  <w14:solidFill>
                    <w14:schemeClr w14:val="tx1"/>
                  </w14:solidFill>
                </w14:textFill>
              </w:rPr>
            </w:pPr>
          </w:p>
          <w:p>
            <w:pPr>
              <w:rPr>
                <w:rFonts w:hint="eastAsia"/>
                <w:color w:val="000000" w:themeColor="text1"/>
                <w:sz w:val="24"/>
                <w:lang w:val="en-US" w:eastAsia="zh-CN"/>
                <w14:textFill>
                  <w14:solidFill>
                    <w14:schemeClr w14:val="tx1"/>
                  </w14:solidFill>
                </w14:textFill>
              </w:rPr>
            </w:pPr>
          </w:p>
          <w:p>
            <w:pPr>
              <w:pStyle w:val="2"/>
              <w:rPr>
                <w:rFonts w:hint="eastAsia"/>
                <w:color w:val="000000" w:themeColor="text1"/>
                <w:sz w:val="24"/>
                <w:lang w:val="en-US" w:eastAsia="zh-CN"/>
                <w14:textFill>
                  <w14:solidFill>
                    <w14:schemeClr w14:val="tx1"/>
                  </w14:solidFill>
                </w14:textFill>
              </w:rPr>
            </w:pPr>
          </w:p>
          <w:p>
            <w:pPr>
              <w:rPr>
                <w:rFonts w:hint="eastAsia"/>
                <w:color w:val="000000" w:themeColor="text1"/>
                <w:sz w:val="24"/>
                <w:lang w:val="en-US" w:eastAsia="zh-CN"/>
                <w14:textFill>
                  <w14:solidFill>
                    <w14:schemeClr w14:val="tx1"/>
                  </w14:solidFill>
                </w14:textFill>
              </w:rPr>
            </w:pPr>
          </w:p>
          <w:p>
            <w:pPr>
              <w:pStyle w:val="2"/>
              <w:rPr>
                <w:rFonts w:hint="eastAsia"/>
                <w:color w:val="000000" w:themeColor="text1"/>
                <w:sz w:val="24"/>
                <w:lang w:val="en-US" w:eastAsia="zh-CN"/>
                <w14:textFill>
                  <w14:solidFill>
                    <w14:schemeClr w14:val="tx1"/>
                  </w14:solidFill>
                </w14:textFill>
              </w:rPr>
            </w:pPr>
          </w:p>
          <w:p>
            <w:pPr>
              <w:rPr>
                <w:rFonts w:hint="eastAsia"/>
                <w:color w:val="000000" w:themeColor="text1"/>
                <w:sz w:val="24"/>
                <w:lang w:val="en-US" w:eastAsia="zh-CN"/>
                <w14:textFill>
                  <w14:solidFill>
                    <w14:schemeClr w14:val="tx1"/>
                  </w14:solidFill>
                </w14:textFill>
              </w:rPr>
            </w:pPr>
          </w:p>
          <w:p>
            <w:pPr>
              <w:pStyle w:val="2"/>
              <w:rPr>
                <w:rFonts w:hint="eastAsia"/>
                <w:color w:val="000000" w:themeColor="text1"/>
                <w:sz w:val="24"/>
                <w:lang w:val="en-US" w:eastAsia="zh-CN"/>
                <w14:textFill>
                  <w14:solidFill>
                    <w14:schemeClr w14:val="tx1"/>
                  </w14:solidFill>
                </w14:textFill>
              </w:rPr>
            </w:pPr>
          </w:p>
          <w:p>
            <w:pPr>
              <w:rPr>
                <w:rFonts w:hint="eastAsia"/>
                <w:color w:val="000000" w:themeColor="text1"/>
                <w:sz w:val="24"/>
                <w:lang w:val="en-US" w:eastAsia="zh-CN"/>
                <w14:textFill>
                  <w14:solidFill>
                    <w14:schemeClr w14:val="tx1"/>
                  </w14:solidFill>
                </w14:textFill>
              </w:rPr>
            </w:pPr>
          </w:p>
          <w:p>
            <w:pPr>
              <w:pStyle w:val="2"/>
              <w:rPr>
                <w:rFonts w:hint="eastAsia"/>
              </w:rPr>
            </w:pPr>
            <w:bookmarkStart w:id="37" w:name="_GoBack"/>
            <w:bookmarkEnd w:id="37"/>
          </w:p>
          <w:p>
            <w:pPr>
              <w:spacing w:line="400" w:lineRule="atLeast"/>
              <w:ind w:firstLine="480" w:firstLineChars="200"/>
              <w:rPr>
                <w:rFonts w:ascii="宋体" w:hAnsi="Calibri" w:cs="宋体"/>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pStyle w:val="10"/>
        <w:spacing w:line="360" w:lineRule="auto"/>
        <w:jc w:val="center"/>
        <w:rPr>
          <w:rFonts w:ascii="方正小标宋_GBK" w:hAnsi="黑体"/>
          <w:color w:val="000000" w:themeColor="text1"/>
          <w:kern w:val="0"/>
          <w:sz w:val="32"/>
          <w:szCs w:val="32"/>
          <w14:textFill>
            <w14:solidFill>
              <w14:schemeClr w14:val="tx1"/>
            </w14:solidFill>
          </w14:textFill>
        </w:rPr>
      </w:pPr>
      <w:r>
        <w:rPr>
          <w:rFonts w:ascii="方正小标宋_GBK" w:hAnsi="方正小标宋_GBK"/>
          <w:color w:val="000000" w:themeColor="text1"/>
          <w:sz w:val="32"/>
          <w:szCs w:val="32"/>
          <w14:textFill>
            <w14:solidFill>
              <w14:schemeClr w14:val="tx1"/>
            </w14:solidFill>
          </w14:textFill>
        </w:rPr>
        <w:t>建设项目污染物排放量汇总表</w:t>
      </w:r>
    </w:p>
    <w:tbl>
      <w:tblPr>
        <w:tblStyle w:val="11"/>
        <w:tblW w:w="0" w:type="auto"/>
        <w:tblInd w:w="8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959"/>
        <w:gridCol w:w="82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12" w:space="0"/>
              <w:left w:val="single" w:color="auto" w:sz="12" w:space="0"/>
              <w:bottom w:val="single" w:color="auto" w:sz="4" w:space="0"/>
              <w:right w:val="single" w:color="auto" w:sz="4" w:space="0"/>
              <w:tl2br w:val="single" w:color="auto" w:sz="4" w:space="0"/>
            </w:tcBorders>
            <w:tcMar>
              <w:top w:w="0" w:type="dxa"/>
              <w:left w:w="28" w:type="dxa"/>
              <w:bottom w:w="0" w:type="dxa"/>
              <w:right w:w="28" w:type="dxa"/>
            </w:tcMar>
            <w:vAlign w:val="center"/>
          </w:tcPr>
          <w:p>
            <w:pPr>
              <w:pStyle w:val="24"/>
              <w:jc w:val="right"/>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项目</w:t>
            </w:r>
          </w:p>
          <w:p>
            <w:pPr>
              <w:pStyle w:val="24"/>
              <w:jc w:val="both"/>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分类</w:t>
            </w:r>
          </w:p>
        </w:tc>
        <w:tc>
          <w:tcPr>
            <w:tcW w:w="1417"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污染物名称</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2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①</w:t>
            </w:r>
          </w:p>
        </w:tc>
        <w:tc>
          <w:tcPr>
            <w:tcW w:w="1276"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2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许可排放量</w:t>
            </w:r>
          </w:p>
          <w:p>
            <w:pPr>
              <w:pStyle w:val="24"/>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②</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在建工程</w:t>
            </w:r>
          </w:p>
          <w:p>
            <w:pPr>
              <w:pStyle w:val="2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③</w:t>
            </w:r>
          </w:p>
        </w:tc>
        <w:tc>
          <w:tcPr>
            <w:tcW w:w="15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本项目</w:t>
            </w:r>
          </w:p>
          <w:p>
            <w:pPr>
              <w:pStyle w:val="2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④</w:t>
            </w:r>
          </w:p>
        </w:tc>
        <w:tc>
          <w:tcPr>
            <w:tcW w:w="176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以新带老削减量</w:t>
            </w:r>
          </w:p>
          <w:p>
            <w:pPr>
              <w:pStyle w:val="2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（新建项目不填）</w:t>
            </w:r>
            <w:r>
              <w:rPr>
                <w:rFonts w:hint="eastAsia" w:ascii="宋体" w:hAnsi="宋体" w:eastAsia="宋体" w:cs="宋体"/>
                <w:color w:val="000000" w:themeColor="text1"/>
                <w:spacing w:val="-16"/>
                <w:kern w:val="21"/>
                <w:sz w:val="21"/>
                <w:szCs w:val="21"/>
                <w14:textFill>
                  <w14:solidFill>
                    <w14:schemeClr w14:val="tx1"/>
                  </w14:solidFill>
                </w14:textFill>
              </w:rPr>
              <w:t>⑤</w:t>
            </w:r>
          </w:p>
        </w:tc>
        <w:tc>
          <w:tcPr>
            <w:tcW w:w="19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本项目建成后</w:t>
            </w:r>
          </w:p>
          <w:p>
            <w:pPr>
              <w:pStyle w:val="2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全厂排放量（固体废物产生量）</w:t>
            </w:r>
            <w:r>
              <w:rPr>
                <w:rFonts w:hint="eastAsia" w:ascii="宋体" w:hAnsi="宋体" w:eastAsia="宋体" w:cs="宋体"/>
                <w:color w:val="000000" w:themeColor="text1"/>
                <w:spacing w:val="-16"/>
                <w:kern w:val="21"/>
                <w:sz w:val="21"/>
                <w:szCs w:val="21"/>
                <w14:textFill>
                  <w14:solidFill>
                    <w14:schemeClr w14:val="tx1"/>
                  </w14:solidFill>
                </w14:textFill>
              </w:rPr>
              <w:t>⑥</w:t>
            </w:r>
          </w:p>
        </w:tc>
        <w:tc>
          <w:tcPr>
            <w:tcW w:w="826" w:type="dxa"/>
            <w:tcBorders>
              <w:top w:val="single" w:color="auto" w:sz="12" w:space="0"/>
              <w:left w:val="single" w:color="auto" w:sz="4" w:space="0"/>
              <w:bottom w:val="single" w:color="auto" w:sz="4" w:space="0"/>
              <w:right w:val="single" w:color="auto" w:sz="12" w:space="0"/>
            </w:tcBorders>
            <w:tcMar>
              <w:top w:w="0" w:type="dxa"/>
              <w:left w:w="28" w:type="dxa"/>
              <w:bottom w:w="0" w:type="dxa"/>
              <w:right w:w="28" w:type="dxa"/>
            </w:tcMar>
            <w:vAlign w:val="center"/>
          </w:tcPr>
          <w:p>
            <w:pPr>
              <w:pStyle w:val="2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变化量</w:t>
            </w:r>
          </w:p>
          <w:p>
            <w:pPr>
              <w:pStyle w:val="24"/>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废气</w:t>
            </w: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颗粒物</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0.301</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0.301</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SO</w:t>
            </w:r>
            <w:r>
              <w:rPr>
                <w:rFonts w:ascii="Times New Roman" w:hAnsi="Times New Roman" w:eastAsia="宋体" w:cs="Times New Roman"/>
                <w:color w:val="000000" w:themeColor="text1"/>
                <w:kern w:val="21"/>
                <w:sz w:val="21"/>
                <w:szCs w:val="21"/>
                <w:vertAlign w:val="subscript"/>
                <w14:textFill>
                  <w14:solidFill>
                    <w14:schemeClr w14:val="tx1"/>
                  </w14:solidFill>
                </w14:textFill>
              </w:rPr>
              <w:t>2</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1.685</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1.685</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NO</w:t>
            </w:r>
            <w:r>
              <w:rPr>
                <w:rFonts w:hint="eastAsia" w:ascii="Times New Roman" w:hAnsi="Times New Roman" w:eastAsia="宋体" w:cs="Times New Roman"/>
                <w:color w:val="000000" w:themeColor="text1"/>
                <w:kern w:val="21"/>
                <w:sz w:val="21"/>
                <w:szCs w:val="21"/>
                <w:vertAlign w:val="subscript"/>
                <w14:textFill>
                  <w14:solidFill>
                    <w14:schemeClr w14:val="tx1"/>
                  </w14:solidFill>
                </w14:textFill>
              </w:rPr>
              <w:t>X</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1.080</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1.080</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CO</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0.632</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0.632</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widowControl/>
              <w:spacing w:beforeAutospacing="1" w:afterAutospacing="1"/>
              <w:jc w:val="left"/>
              <w:rPr>
                <w:color w:val="000000" w:themeColor="text1"/>
                <w:kern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总烃</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0.627</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0.627</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废水</w:t>
            </w: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4"/>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一般工业</w:t>
            </w:r>
          </w:p>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固体废物</w:t>
            </w: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泥浆</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616.3t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616.3t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岩芯</w:t>
            </w: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456.3t</w:t>
            </w:r>
          </w:p>
        </w:tc>
        <w:tc>
          <w:tcPr>
            <w:tcW w:w="1761" w:type="dxa"/>
            <w:tcBorders>
              <w:top w:val="single" w:color="auto" w:sz="4" w:space="0"/>
              <w:left w:val="single" w:color="auto" w:sz="4" w:space="0"/>
              <w:bottom w:val="single" w:color="auto" w:sz="4"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456.3t</w:t>
            </w:r>
          </w:p>
        </w:tc>
        <w:tc>
          <w:tcPr>
            <w:tcW w:w="826" w:type="dxa"/>
            <w:tcBorders>
              <w:top w:val="single" w:color="auto" w:sz="4" w:space="0"/>
              <w:left w:val="single" w:color="auto" w:sz="4" w:space="0"/>
              <w:bottom w:val="single" w:color="auto" w:sz="4"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12"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危险废物</w:t>
            </w:r>
          </w:p>
        </w:tc>
        <w:tc>
          <w:tcPr>
            <w:tcW w:w="1417" w:type="dxa"/>
            <w:tcBorders>
              <w:top w:val="single" w:color="auto" w:sz="4" w:space="0"/>
              <w:left w:val="single" w:color="auto" w:sz="4" w:space="0"/>
              <w:bottom w:val="single" w:color="auto" w:sz="12"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废矿物油</w:t>
            </w:r>
          </w:p>
        </w:tc>
        <w:tc>
          <w:tcPr>
            <w:tcW w:w="1701" w:type="dxa"/>
            <w:tcBorders>
              <w:top w:val="single" w:color="auto" w:sz="4" w:space="0"/>
              <w:left w:val="single" w:color="auto" w:sz="4" w:space="0"/>
              <w:bottom w:val="single" w:color="auto" w:sz="12"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12"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12"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12" w:space="0"/>
              <w:right w:val="single" w:color="auto" w:sz="4" w:space="0"/>
            </w:tcBorders>
            <w:vAlign w:val="center"/>
          </w:tcPr>
          <w:p>
            <w:pPr>
              <w:pStyle w:val="24"/>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0.976t</w:t>
            </w:r>
          </w:p>
        </w:tc>
        <w:tc>
          <w:tcPr>
            <w:tcW w:w="1761" w:type="dxa"/>
            <w:tcBorders>
              <w:top w:val="single" w:color="auto" w:sz="4" w:space="0"/>
              <w:left w:val="single" w:color="auto" w:sz="4" w:space="0"/>
              <w:bottom w:val="single" w:color="auto" w:sz="12"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12" w:space="0"/>
              <w:right w:val="single" w:color="auto" w:sz="4"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0.976t</w:t>
            </w:r>
          </w:p>
        </w:tc>
        <w:tc>
          <w:tcPr>
            <w:tcW w:w="826" w:type="dxa"/>
            <w:tcBorders>
              <w:top w:val="single" w:color="auto" w:sz="4" w:space="0"/>
              <w:left w:val="single" w:color="auto" w:sz="4" w:space="0"/>
              <w:bottom w:val="single" w:color="auto" w:sz="12" w:space="0"/>
              <w:right w:val="single" w:color="auto" w:sz="12" w:space="0"/>
            </w:tcBorders>
            <w:vAlign w:val="center"/>
          </w:tcPr>
          <w:p>
            <w:pPr>
              <w:pStyle w:val="24"/>
              <w:rPr>
                <w:rFonts w:ascii="Times New Roman" w:hAnsi="Times New Roman" w:eastAsia="宋体" w:cs="Times New Roman"/>
                <w:color w:val="000000" w:themeColor="text1"/>
                <w:kern w:val="21"/>
                <w:sz w:val="21"/>
                <w:szCs w:val="21"/>
                <w14:textFill>
                  <w14:solidFill>
                    <w14:schemeClr w14:val="tx1"/>
                  </w14:solidFill>
                </w14:textFill>
              </w:rPr>
            </w:pPr>
          </w:p>
        </w:tc>
      </w:tr>
    </w:tbl>
    <w:p>
      <w:pPr>
        <w:pStyle w:val="24"/>
        <w:spacing w:line="360" w:lineRule="auto"/>
        <w:jc w:val="both"/>
        <w:rPr>
          <w:rFonts w:ascii="宋体" w:hAnsi="宋体" w:cs="Times New Roman"/>
          <w:color w:val="000000" w:themeColor="text1"/>
          <w:spacing w:val="-6"/>
          <w:kern w:val="21"/>
          <w:sz w:val="21"/>
          <w:szCs w:val="21"/>
          <w14:textFill>
            <w14:solidFill>
              <w14:schemeClr w14:val="tx1"/>
            </w14:solidFill>
          </w14:textFill>
        </w:rPr>
      </w:pPr>
      <w:r>
        <w:rPr>
          <w:rFonts w:hint="eastAsia" w:hAnsi="宋体"/>
          <w:color w:val="000000" w:themeColor="text1"/>
          <w:kern w:val="21"/>
          <w:sz w:val="21"/>
          <w:szCs w:val="21"/>
          <w14:textFill>
            <w14:solidFill>
              <w14:schemeClr w14:val="tx1"/>
            </w14:solidFill>
          </w14:textFill>
        </w:rPr>
        <w:t>注：</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③</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④</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⑤</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⑦</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p>
    <w:p>
      <w:pPr>
        <w:rPr>
          <w:color w:val="000000" w:themeColor="text1"/>
          <w14:textFill>
            <w14:solidFill>
              <w14:schemeClr w14:val="tx1"/>
            </w14:solidFill>
          </w14:textFill>
        </w:rPr>
      </w:pPr>
    </w:p>
    <w:p>
      <w:pPr>
        <w:rPr>
          <w:color w:val="000000" w:themeColor="text1"/>
          <w14:textFill>
            <w14:solidFill>
              <w14:schemeClr w14:val="tx1"/>
            </w14:solidFill>
          </w14:textFill>
        </w:rPr>
      </w:pPr>
    </w:p>
    <w:sectPr>
      <w:pgSz w:w="16838" w:h="11906" w:orient="landscape"/>
      <w:pgMar w:top="1080" w:right="1440" w:bottom="1080" w:left="144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汉鼎简书宋">
    <w:altName w:val="宋体"/>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Arial Unicode MS">
    <w:altName w:val="宋体"/>
    <w:panose1 w:val="020B0604020202020204"/>
    <w:charset w:val="86"/>
    <w:family w:val="swiss"/>
    <w:pitch w:val="default"/>
    <w:sig w:usb0="00000000" w:usb1="00000000" w:usb2="0000003F" w:usb3="00000000" w:csb0="003F01FF" w:csb1="00000000"/>
  </w:font>
  <w:font w:name="华文行楷">
    <w:panose1 w:val="02010800040101010101"/>
    <w:charset w:val="86"/>
    <w:family w:val="auto"/>
    <w:pitch w:val="default"/>
    <w:sig w:usb0="00000001" w:usb1="080F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TimesNewRomanPSMT">
    <w:altName w:val="Times New Roman"/>
    <w:panose1 w:val="00000000000000000000"/>
    <w:charset w:val="00"/>
    <w:family w:val="auto"/>
    <w:pitch w:val="default"/>
    <w:sig w:usb0="00000000" w:usb1="00000000" w:usb2="00000000" w:usb3="00000000" w:csb0="00000000" w:csb1="00000000"/>
  </w:font>
  <w:font w:name="等线">
    <w:panose1 w:val="02010600030101010101"/>
    <w:charset w:val="86"/>
    <w:family w:val="auto"/>
    <w:pitch w:val="default"/>
    <w:sig w:usb0="A00002BF" w:usb1="38CF7CFA" w:usb2="00000016" w:usb3="00000000" w:csb0="0004000F" w:csb1="00000000"/>
  </w:font>
  <w:font w:name="Wingdings 2">
    <w:panose1 w:val="05020102010507070707"/>
    <w:charset w:val="02"/>
    <w:family w:val="roman"/>
    <w:pitch w:val="default"/>
    <w:sig w:usb0="00000000" w:usb1="00000000" w:usb2="00000000" w:usb3="00000000" w:csb0="80000000" w:csb1="0000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方正小标宋_GBK">
    <w:altName w:val="微软雅黑"/>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 w:name="MS PGothic">
    <w:panose1 w:val="020B0600070205080204"/>
    <w:charset w:val="80"/>
    <w:family w:val="auto"/>
    <w:pitch w:val="default"/>
    <w:sig w:usb0="E00002FF" w:usb1="6AC7FDFB" w:usb2="08000012" w:usb3="00000000" w:csb0="4002009F" w:csb1="DFD70000"/>
  </w:font>
  <w:font w:name="Wingdings 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sz w:val="21"/>
        <w:szCs w:val="21"/>
      </w:rPr>
      <w:id w:val="768580829"/>
    </w:sdtPr>
    <w:sdtEndPr>
      <w:rPr>
        <w:sz w:val="21"/>
        <w:szCs w:val="21"/>
      </w:rPr>
    </w:sdtEndPr>
    <w:sdtContent>
      <w:p>
        <w:pPr>
          <w:pStyle w:val="7"/>
          <w:pBdr>
            <w:top w:val="thickThinSmallGap" w:color="auto" w:sz="24" w:space="1"/>
          </w:pBdr>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2</w:t>
        </w:r>
        <w:r>
          <w:rPr>
            <w:sz w:val="21"/>
            <w:szCs w:val="21"/>
          </w:rP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thinThickSmallGap" w:color="auto" w:sz="24" w:space="1"/>
      </w:pBdr>
      <w:jc w:val="center"/>
      <w:rPr>
        <w:rFonts w:hint="eastAsia" w:eastAsia="宋体"/>
        <w:sz w:val="21"/>
        <w:lang w:eastAsia="zh-CN"/>
      </w:rPr>
    </w:pPr>
    <w:bookmarkStart w:id="35" w:name="_Hlk69389267"/>
    <w:bookmarkStart w:id="36" w:name="_Hlk69389268"/>
    <w:r>
      <w:rPr>
        <w:rFonts w:hint="eastAsia"/>
        <w:sz w:val="21"/>
        <w:lang w:val="en-GB"/>
      </w:rPr>
      <w:t>巴丹吉林盆地及周缘铀矿资源调查评价</w:t>
    </w:r>
    <w:bookmarkEnd w:id="35"/>
    <w:bookmarkEnd w:id="36"/>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B8519A8"/>
    <w:multiLevelType w:val="singleLevel"/>
    <w:tmpl w:val="5B8519A8"/>
    <w:lvl w:ilvl="0" w:tentative="0">
      <w:start w:val="7"/>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43B6193"/>
    <w:rsid w:val="000A3ABA"/>
    <w:rsid w:val="003434C1"/>
    <w:rsid w:val="014A5A89"/>
    <w:rsid w:val="017F057C"/>
    <w:rsid w:val="01A75D4F"/>
    <w:rsid w:val="01B5629D"/>
    <w:rsid w:val="01B84E2C"/>
    <w:rsid w:val="01BE69B2"/>
    <w:rsid w:val="01C54678"/>
    <w:rsid w:val="021C05FA"/>
    <w:rsid w:val="02385FDF"/>
    <w:rsid w:val="024E6AC0"/>
    <w:rsid w:val="02A41FF1"/>
    <w:rsid w:val="02B424F3"/>
    <w:rsid w:val="033346A9"/>
    <w:rsid w:val="03B81AF6"/>
    <w:rsid w:val="04AB332C"/>
    <w:rsid w:val="04CA7006"/>
    <w:rsid w:val="05026AC7"/>
    <w:rsid w:val="05066063"/>
    <w:rsid w:val="054169D7"/>
    <w:rsid w:val="054760BE"/>
    <w:rsid w:val="058D1D95"/>
    <w:rsid w:val="05D649CD"/>
    <w:rsid w:val="05DA2D88"/>
    <w:rsid w:val="05EA2042"/>
    <w:rsid w:val="06207AE5"/>
    <w:rsid w:val="06607543"/>
    <w:rsid w:val="066D6357"/>
    <w:rsid w:val="06786121"/>
    <w:rsid w:val="069646AC"/>
    <w:rsid w:val="07012EEB"/>
    <w:rsid w:val="081C64B6"/>
    <w:rsid w:val="08272EE8"/>
    <w:rsid w:val="08DD0A88"/>
    <w:rsid w:val="08DD5AB7"/>
    <w:rsid w:val="08F400A6"/>
    <w:rsid w:val="08F72147"/>
    <w:rsid w:val="08FB34E1"/>
    <w:rsid w:val="09AC4497"/>
    <w:rsid w:val="09FD1C4C"/>
    <w:rsid w:val="0A0C299F"/>
    <w:rsid w:val="0A6C7344"/>
    <w:rsid w:val="0A9719C5"/>
    <w:rsid w:val="0AC40692"/>
    <w:rsid w:val="0AC40BFD"/>
    <w:rsid w:val="0B1F1433"/>
    <w:rsid w:val="0B811EE1"/>
    <w:rsid w:val="0BB46FFE"/>
    <w:rsid w:val="0BBA0AC1"/>
    <w:rsid w:val="0C212BB5"/>
    <w:rsid w:val="0C250F75"/>
    <w:rsid w:val="0C34502C"/>
    <w:rsid w:val="0C486FA7"/>
    <w:rsid w:val="0C57650A"/>
    <w:rsid w:val="0C667A7F"/>
    <w:rsid w:val="0C7837AB"/>
    <w:rsid w:val="0C8C45D1"/>
    <w:rsid w:val="0C8D5F46"/>
    <w:rsid w:val="0CE97319"/>
    <w:rsid w:val="0CED6022"/>
    <w:rsid w:val="0D2A5E99"/>
    <w:rsid w:val="0D79712C"/>
    <w:rsid w:val="0D8A0AA7"/>
    <w:rsid w:val="0DE85CA4"/>
    <w:rsid w:val="0DF53645"/>
    <w:rsid w:val="0E325B64"/>
    <w:rsid w:val="0E3A4A6E"/>
    <w:rsid w:val="0E6C5ABB"/>
    <w:rsid w:val="0E70346A"/>
    <w:rsid w:val="0ECE3EA1"/>
    <w:rsid w:val="0EDB4B76"/>
    <w:rsid w:val="0F054643"/>
    <w:rsid w:val="0F2B24FB"/>
    <w:rsid w:val="0FFE7A83"/>
    <w:rsid w:val="101C5851"/>
    <w:rsid w:val="101E0F39"/>
    <w:rsid w:val="108013DC"/>
    <w:rsid w:val="108678AF"/>
    <w:rsid w:val="10AB32D9"/>
    <w:rsid w:val="10E54D8E"/>
    <w:rsid w:val="10F431A1"/>
    <w:rsid w:val="11420BC4"/>
    <w:rsid w:val="114D2313"/>
    <w:rsid w:val="121716E8"/>
    <w:rsid w:val="125F5FD2"/>
    <w:rsid w:val="12676F6B"/>
    <w:rsid w:val="12BA48D6"/>
    <w:rsid w:val="12BD1DB1"/>
    <w:rsid w:val="12D26084"/>
    <w:rsid w:val="12DE2CC5"/>
    <w:rsid w:val="131250B0"/>
    <w:rsid w:val="137E4E85"/>
    <w:rsid w:val="13AE5519"/>
    <w:rsid w:val="14036818"/>
    <w:rsid w:val="14245641"/>
    <w:rsid w:val="14832ED4"/>
    <w:rsid w:val="14B13E00"/>
    <w:rsid w:val="14F822C0"/>
    <w:rsid w:val="153868F7"/>
    <w:rsid w:val="158F03D5"/>
    <w:rsid w:val="159D5A50"/>
    <w:rsid w:val="15AA0CCE"/>
    <w:rsid w:val="15F175C9"/>
    <w:rsid w:val="16041A66"/>
    <w:rsid w:val="16051669"/>
    <w:rsid w:val="16251F93"/>
    <w:rsid w:val="162E7B2B"/>
    <w:rsid w:val="165E37AE"/>
    <w:rsid w:val="16CD2C44"/>
    <w:rsid w:val="16D12CD0"/>
    <w:rsid w:val="16DA640F"/>
    <w:rsid w:val="16F4330F"/>
    <w:rsid w:val="17341EB4"/>
    <w:rsid w:val="17522D51"/>
    <w:rsid w:val="180F57B3"/>
    <w:rsid w:val="18357778"/>
    <w:rsid w:val="18B9472F"/>
    <w:rsid w:val="18CF7FC4"/>
    <w:rsid w:val="199D2220"/>
    <w:rsid w:val="19A56B4A"/>
    <w:rsid w:val="19B73661"/>
    <w:rsid w:val="19C6275B"/>
    <w:rsid w:val="1AB5271F"/>
    <w:rsid w:val="1B473C8C"/>
    <w:rsid w:val="1BEE1899"/>
    <w:rsid w:val="1C825A00"/>
    <w:rsid w:val="1D543E43"/>
    <w:rsid w:val="1D5A3118"/>
    <w:rsid w:val="1D6F0864"/>
    <w:rsid w:val="1D9D5404"/>
    <w:rsid w:val="1DBA0101"/>
    <w:rsid w:val="1EFA5D77"/>
    <w:rsid w:val="1F441C07"/>
    <w:rsid w:val="1F8B1184"/>
    <w:rsid w:val="20202745"/>
    <w:rsid w:val="20714AE8"/>
    <w:rsid w:val="20AC79B2"/>
    <w:rsid w:val="20B202D7"/>
    <w:rsid w:val="20C43AB7"/>
    <w:rsid w:val="20D6053C"/>
    <w:rsid w:val="211A7431"/>
    <w:rsid w:val="21544A60"/>
    <w:rsid w:val="217159FC"/>
    <w:rsid w:val="219A30BC"/>
    <w:rsid w:val="21AE250B"/>
    <w:rsid w:val="21B10E65"/>
    <w:rsid w:val="21CF13D7"/>
    <w:rsid w:val="21D00B73"/>
    <w:rsid w:val="21D17F14"/>
    <w:rsid w:val="22267FD0"/>
    <w:rsid w:val="222E78DB"/>
    <w:rsid w:val="22692DC0"/>
    <w:rsid w:val="22885BF3"/>
    <w:rsid w:val="229A09F8"/>
    <w:rsid w:val="22C40C28"/>
    <w:rsid w:val="22E86D1E"/>
    <w:rsid w:val="22F33F1B"/>
    <w:rsid w:val="24B041A7"/>
    <w:rsid w:val="24E676EC"/>
    <w:rsid w:val="24EC7BD3"/>
    <w:rsid w:val="24FA3D36"/>
    <w:rsid w:val="2501187C"/>
    <w:rsid w:val="25336BDF"/>
    <w:rsid w:val="2655542B"/>
    <w:rsid w:val="26A0725D"/>
    <w:rsid w:val="26C823CF"/>
    <w:rsid w:val="270D4EB8"/>
    <w:rsid w:val="270D6927"/>
    <w:rsid w:val="27961D6C"/>
    <w:rsid w:val="279866AE"/>
    <w:rsid w:val="27B85FEC"/>
    <w:rsid w:val="27C841F0"/>
    <w:rsid w:val="27D758AC"/>
    <w:rsid w:val="27E277AF"/>
    <w:rsid w:val="28271B9F"/>
    <w:rsid w:val="286466A7"/>
    <w:rsid w:val="286A6A6A"/>
    <w:rsid w:val="287851CA"/>
    <w:rsid w:val="28860261"/>
    <w:rsid w:val="2891016B"/>
    <w:rsid w:val="28B45C58"/>
    <w:rsid w:val="28E11475"/>
    <w:rsid w:val="2952317D"/>
    <w:rsid w:val="299B3DAD"/>
    <w:rsid w:val="29B31F1C"/>
    <w:rsid w:val="2A144578"/>
    <w:rsid w:val="2A1C1806"/>
    <w:rsid w:val="2A3516E2"/>
    <w:rsid w:val="2AC002A3"/>
    <w:rsid w:val="2AE741CB"/>
    <w:rsid w:val="2B074607"/>
    <w:rsid w:val="2B3044C4"/>
    <w:rsid w:val="2B5F7DE7"/>
    <w:rsid w:val="2BF72A5C"/>
    <w:rsid w:val="2C352AB5"/>
    <w:rsid w:val="2C480A58"/>
    <w:rsid w:val="2C6C2468"/>
    <w:rsid w:val="2C7A5395"/>
    <w:rsid w:val="2C8B58A9"/>
    <w:rsid w:val="2CD730B7"/>
    <w:rsid w:val="2CED54CB"/>
    <w:rsid w:val="2D461C33"/>
    <w:rsid w:val="2D4B3EAC"/>
    <w:rsid w:val="2DCC07F5"/>
    <w:rsid w:val="2DF95A82"/>
    <w:rsid w:val="2EB74DA9"/>
    <w:rsid w:val="2ECA1C79"/>
    <w:rsid w:val="2EDD663A"/>
    <w:rsid w:val="2FD972C2"/>
    <w:rsid w:val="2FE045EC"/>
    <w:rsid w:val="2FE33E8B"/>
    <w:rsid w:val="2FF33706"/>
    <w:rsid w:val="3008125F"/>
    <w:rsid w:val="307854AB"/>
    <w:rsid w:val="30B67275"/>
    <w:rsid w:val="30C9052A"/>
    <w:rsid w:val="30F85296"/>
    <w:rsid w:val="311451D3"/>
    <w:rsid w:val="31256A96"/>
    <w:rsid w:val="31340151"/>
    <w:rsid w:val="3141651E"/>
    <w:rsid w:val="31896A54"/>
    <w:rsid w:val="319B484E"/>
    <w:rsid w:val="31A1665A"/>
    <w:rsid w:val="31A367E8"/>
    <w:rsid w:val="31C46FF2"/>
    <w:rsid w:val="322921FB"/>
    <w:rsid w:val="32453DAA"/>
    <w:rsid w:val="32572DBD"/>
    <w:rsid w:val="329B625D"/>
    <w:rsid w:val="32A879D3"/>
    <w:rsid w:val="32AB0A36"/>
    <w:rsid w:val="33412CB1"/>
    <w:rsid w:val="337623F8"/>
    <w:rsid w:val="33BF1769"/>
    <w:rsid w:val="33D515CA"/>
    <w:rsid w:val="34002D58"/>
    <w:rsid w:val="34593D31"/>
    <w:rsid w:val="345B6403"/>
    <w:rsid w:val="34E04DD1"/>
    <w:rsid w:val="3574346C"/>
    <w:rsid w:val="35D416F7"/>
    <w:rsid w:val="35E02CBB"/>
    <w:rsid w:val="35E5082B"/>
    <w:rsid w:val="36334207"/>
    <w:rsid w:val="36C800E9"/>
    <w:rsid w:val="36F22CCC"/>
    <w:rsid w:val="36FB4D85"/>
    <w:rsid w:val="372D6867"/>
    <w:rsid w:val="374E1706"/>
    <w:rsid w:val="37592BE9"/>
    <w:rsid w:val="376519D3"/>
    <w:rsid w:val="37B37393"/>
    <w:rsid w:val="37CA682B"/>
    <w:rsid w:val="37D27694"/>
    <w:rsid w:val="37F66083"/>
    <w:rsid w:val="38631076"/>
    <w:rsid w:val="386C032C"/>
    <w:rsid w:val="3943714F"/>
    <w:rsid w:val="399E705B"/>
    <w:rsid w:val="3A342D49"/>
    <w:rsid w:val="3A455988"/>
    <w:rsid w:val="3A573108"/>
    <w:rsid w:val="3A573E09"/>
    <w:rsid w:val="3A6A7367"/>
    <w:rsid w:val="3A7719D3"/>
    <w:rsid w:val="3A8400BF"/>
    <w:rsid w:val="3AA02E6C"/>
    <w:rsid w:val="3B2C1B85"/>
    <w:rsid w:val="3B577E16"/>
    <w:rsid w:val="3BE0392A"/>
    <w:rsid w:val="3C4F416F"/>
    <w:rsid w:val="3CA6059D"/>
    <w:rsid w:val="3CA76A2C"/>
    <w:rsid w:val="3CBB6DC1"/>
    <w:rsid w:val="3D1B1B9C"/>
    <w:rsid w:val="3D3422DA"/>
    <w:rsid w:val="3D4C3523"/>
    <w:rsid w:val="3DBC44D7"/>
    <w:rsid w:val="3DDC7D86"/>
    <w:rsid w:val="3E0D04DF"/>
    <w:rsid w:val="3E170F2D"/>
    <w:rsid w:val="3ECB5933"/>
    <w:rsid w:val="403B63FC"/>
    <w:rsid w:val="40525D74"/>
    <w:rsid w:val="4059711E"/>
    <w:rsid w:val="407623D0"/>
    <w:rsid w:val="40EB162C"/>
    <w:rsid w:val="41016409"/>
    <w:rsid w:val="4127627E"/>
    <w:rsid w:val="416D4416"/>
    <w:rsid w:val="418D30B1"/>
    <w:rsid w:val="41900FEE"/>
    <w:rsid w:val="41935A75"/>
    <w:rsid w:val="41E12C29"/>
    <w:rsid w:val="41F113E1"/>
    <w:rsid w:val="420304AD"/>
    <w:rsid w:val="4203070B"/>
    <w:rsid w:val="426D5559"/>
    <w:rsid w:val="42B53505"/>
    <w:rsid w:val="42E413F2"/>
    <w:rsid w:val="438F6672"/>
    <w:rsid w:val="43A85E88"/>
    <w:rsid w:val="43D227E6"/>
    <w:rsid w:val="44337E09"/>
    <w:rsid w:val="445C704B"/>
    <w:rsid w:val="44A577B2"/>
    <w:rsid w:val="44E04895"/>
    <w:rsid w:val="44ED7E57"/>
    <w:rsid w:val="45252167"/>
    <w:rsid w:val="45372D1F"/>
    <w:rsid w:val="456A3D4B"/>
    <w:rsid w:val="45941926"/>
    <w:rsid w:val="45D179F4"/>
    <w:rsid w:val="45D8410F"/>
    <w:rsid w:val="460D2D87"/>
    <w:rsid w:val="46C23EA0"/>
    <w:rsid w:val="471709B7"/>
    <w:rsid w:val="47376DE3"/>
    <w:rsid w:val="482D2DFD"/>
    <w:rsid w:val="484B1648"/>
    <w:rsid w:val="484B59D2"/>
    <w:rsid w:val="48775C9C"/>
    <w:rsid w:val="48836F52"/>
    <w:rsid w:val="48B94127"/>
    <w:rsid w:val="48D93F74"/>
    <w:rsid w:val="49A47F0E"/>
    <w:rsid w:val="49B0045E"/>
    <w:rsid w:val="4A1268DF"/>
    <w:rsid w:val="4A2F28B7"/>
    <w:rsid w:val="4A3170C8"/>
    <w:rsid w:val="4A3F43D6"/>
    <w:rsid w:val="4A545605"/>
    <w:rsid w:val="4A6F5B7E"/>
    <w:rsid w:val="4ACC44D4"/>
    <w:rsid w:val="4B6A6D59"/>
    <w:rsid w:val="4BAC158A"/>
    <w:rsid w:val="4BE367F2"/>
    <w:rsid w:val="4BEE4F2D"/>
    <w:rsid w:val="4BFB6530"/>
    <w:rsid w:val="4C0137E4"/>
    <w:rsid w:val="4C1E483C"/>
    <w:rsid w:val="4C5654CD"/>
    <w:rsid w:val="4C8436A8"/>
    <w:rsid w:val="4CE82399"/>
    <w:rsid w:val="4CF62006"/>
    <w:rsid w:val="4D545060"/>
    <w:rsid w:val="4D854F5A"/>
    <w:rsid w:val="4D873905"/>
    <w:rsid w:val="4DB60A1A"/>
    <w:rsid w:val="4DF60060"/>
    <w:rsid w:val="4E0327C2"/>
    <w:rsid w:val="4E1421EA"/>
    <w:rsid w:val="4E2429BA"/>
    <w:rsid w:val="4E2F59DC"/>
    <w:rsid w:val="4E3709A7"/>
    <w:rsid w:val="4E397B33"/>
    <w:rsid w:val="4E6B289D"/>
    <w:rsid w:val="4E7D1FE1"/>
    <w:rsid w:val="4E8F5544"/>
    <w:rsid w:val="4EBC0FB5"/>
    <w:rsid w:val="4ED25DE6"/>
    <w:rsid w:val="4F235EA5"/>
    <w:rsid w:val="4F4C6DDC"/>
    <w:rsid w:val="4F7E4B29"/>
    <w:rsid w:val="50120848"/>
    <w:rsid w:val="501D3DFA"/>
    <w:rsid w:val="502241C5"/>
    <w:rsid w:val="503110FC"/>
    <w:rsid w:val="509259C9"/>
    <w:rsid w:val="50C2155F"/>
    <w:rsid w:val="51102E62"/>
    <w:rsid w:val="51251094"/>
    <w:rsid w:val="515E4C96"/>
    <w:rsid w:val="51882E72"/>
    <w:rsid w:val="51AB620D"/>
    <w:rsid w:val="51D20430"/>
    <w:rsid w:val="52291272"/>
    <w:rsid w:val="523C02A9"/>
    <w:rsid w:val="52DE3266"/>
    <w:rsid w:val="52F97AAC"/>
    <w:rsid w:val="536E04C4"/>
    <w:rsid w:val="53B219FE"/>
    <w:rsid w:val="53EB5C25"/>
    <w:rsid w:val="55033B59"/>
    <w:rsid w:val="55324B9C"/>
    <w:rsid w:val="555F14E3"/>
    <w:rsid w:val="557750D0"/>
    <w:rsid w:val="55854B46"/>
    <w:rsid w:val="55954D96"/>
    <w:rsid w:val="55BC5C05"/>
    <w:rsid w:val="55CF1ABF"/>
    <w:rsid w:val="55D67060"/>
    <w:rsid w:val="55D92755"/>
    <w:rsid w:val="56065DD1"/>
    <w:rsid w:val="56380DBD"/>
    <w:rsid w:val="56AC1197"/>
    <w:rsid w:val="56DD2AF8"/>
    <w:rsid w:val="56F13DB8"/>
    <w:rsid w:val="57147B00"/>
    <w:rsid w:val="57451CFE"/>
    <w:rsid w:val="5779575F"/>
    <w:rsid w:val="57BB15F2"/>
    <w:rsid w:val="57E25771"/>
    <w:rsid w:val="58A17895"/>
    <w:rsid w:val="58EC176B"/>
    <w:rsid w:val="590E6510"/>
    <w:rsid w:val="59387CB4"/>
    <w:rsid w:val="5954604E"/>
    <w:rsid w:val="595642FD"/>
    <w:rsid w:val="59670C36"/>
    <w:rsid w:val="597573E4"/>
    <w:rsid w:val="59853BB3"/>
    <w:rsid w:val="59A130F2"/>
    <w:rsid w:val="59D445AB"/>
    <w:rsid w:val="59F02E45"/>
    <w:rsid w:val="5A310D8E"/>
    <w:rsid w:val="5A323931"/>
    <w:rsid w:val="5A444546"/>
    <w:rsid w:val="5ACA5E11"/>
    <w:rsid w:val="5B13555F"/>
    <w:rsid w:val="5B8449A5"/>
    <w:rsid w:val="5BF1167B"/>
    <w:rsid w:val="5C0E73ED"/>
    <w:rsid w:val="5C2F30D5"/>
    <w:rsid w:val="5CCF2644"/>
    <w:rsid w:val="5CD67D96"/>
    <w:rsid w:val="5D1B7EB7"/>
    <w:rsid w:val="5D393DF3"/>
    <w:rsid w:val="5D7C06A7"/>
    <w:rsid w:val="5D7E59B2"/>
    <w:rsid w:val="5DA87282"/>
    <w:rsid w:val="5DD126A2"/>
    <w:rsid w:val="5E6917D7"/>
    <w:rsid w:val="5E713B33"/>
    <w:rsid w:val="5E7941E1"/>
    <w:rsid w:val="5EAB6812"/>
    <w:rsid w:val="5F096124"/>
    <w:rsid w:val="5F195A3F"/>
    <w:rsid w:val="5FC20C59"/>
    <w:rsid w:val="602A514C"/>
    <w:rsid w:val="604818C0"/>
    <w:rsid w:val="60A04347"/>
    <w:rsid w:val="60AE70D1"/>
    <w:rsid w:val="60C1566E"/>
    <w:rsid w:val="60D92970"/>
    <w:rsid w:val="613E77D4"/>
    <w:rsid w:val="61475F3A"/>
    <w:rsid w:val="61750529"/>
    <w:rsid w:val="617C5CB2"/>
    <w:rsid w:val="61D33527"/>
    <w:rsid w:val="625427D4"/>
    <w:rsid w:val="62632EC6"/>
    <w:rsid w:val="62BC3A54"/>
    <w:rsid w:val="62D05DC3"/>
    <w:rsid w:val="636C45DA"/>
    <w:rsid w:val="63BD08DA"/>
    <w:rsid w:val="63C15FBE"/>
    <w:rsid w:val="63ED6F91"/>
    <w:rsid w:val="642462B4"/>
    <w:rsid w:val="643D6CDE"/>
    <w:rsid w:val="645A3807"/>
    <w:rsid w:val="648318AF"/>
    <w:rsid w:val="64DC2DB8"/>
    <w:rsid w:val="65F913EB"/>
    <w:rsid w:val="66440CE5"/>
    <w:rsid w:val="66713C5B"/>
    <w:rsid w:val="667565C1"/>
    <w:rsid w:val="67002810"/>
    <w:rsid w:val="676D69A6"/>
    <w:rsid w:val="67943D1B"/>
    <w:rsid w:val="67A171EE"/>
    <w:rsid w:val="67A41A06"/>
    <w:rsid w:val="67A47B70"/>
    <w:rsid w:val="680F7225"/>
    <w:rsid w:val="684E6143"/>
    <w:rsid w:val="691056A3"/>
    <w:rsid w:val="693070EB"/>
    <w:rsid w:val="69CD5280"/>
    <w:rsid w:val="69F631D8"/>
    <w:rsid w:val="69F85385"/>
    <w:rsid w:val="6A1008EB"/>
    <w:rsid w:val="6A15483C"/>
    <w:rsid w:val="6A2D2ACE"/>
    <w:rsid w:val="6A7E0DC0"/>
    <w:rsid w:val="6A8542DC"/>
    <w:rsid w:val="6ACC1776"/>
    <w:rsid w:val="6B5601D9"/>
    <w:rsid w:val="6B8B277D"/>
    <w:rsid w:val="6BE14EEC"/>
    <w:rsid w:val="6C024594"/>
    <w:rsid w:val="6C6B18D9"/>
    <w:rsid w:val="6C7A2023"/>
    <w:rsid w:val="6C9E2370"/>
    <w:rsid w:val="6CF40DD4"/>
    <w:rsid w:val="6D8034BE"/>
    <w:rsid w:val="6DDA46FF"/>
    <w:rsid w:val="6DED0088"/>
    <w:rsid w:val="6E154A94"/>
    <w:rsid w:val="6E2F7DA2"/>
    <w:rsid w:val="6E321929"/>
    <w:rsid w:val="6E87685E"/>
    <w:rsid w:val="6ED94CDE"/>
    <w:rsid w:val="6EEA6055"/>
    <w:rsid w:val="6EF3389C"/>
    <w:rsid w:val="6F09593D"/>
    <w:rsid w:val="6F2E3C05"/>
    <w:rsid w:val="6F3E05BE"/>
    <w:rsid w:val="6F595205"/>
    <w:rsid w:val="6FB466D8"/>
    <w:rsid w:val="6FDA1799"/>
    <w:rsid w:val="6FED3B9A"/>
    <w:rsid w:val="70241DC1"/>
    <w:rsid w:val="704F48FA"/>
    <w:rsid w:val="707F5EE3"/>
    <w:rsid w:val="70CC7DAE"/>
    <w:rsid w:val="71633BEB"/>
    <w:rsid w:val="716C6C09"/>
    <w:rsid w:val="718528E3"/>
    <w:rsid w:val="722608F1"/>
    <w:rsid w:val="72360FCF"/>
    <w:rsid w:val="72557FAE"/>
    <w:rsid w:val="72762346"/>
    <w:rsid w:val="7277476B"/>
    <w:rsid w:val="733137E4"/>
    <w:rsid w:val="736F3F25"/>
    <w:rsid w:val="73730C25"/>
    <w:rsid w:val="737F7CAC"/>
    <w:rsid w:val="73A8121A"/>
    <w:rsid w:val="73F17240"/>
    <w:rsid w:val="74104D68"/>
    <w:rsid w:val="74233CC2"/>
    <w:rsid w:val="743B6193"/>
    <w:rsid w:val="747F13A9"/>
    <w:rsid w:val="747F7539"/>
    <w:rsid w:val="748B53AE"/>
    <w:rsid w:val="74BE5630"/>
    <w:rsid w:val="74E7501E"/>
    <w:rsid w:val="74F863BD"/>
    <w:rsid w:val="75105522"/>
    <w:rsid w:val="753434C5"/>
    <w:rsid w:val="75405893"/>
    <w:rsid w:val="75BC63BA"/>
    <w:rsid w:val="75C939A1"/>
    <w:rsid w:val="75DD3B78"/>
    <w:rsid w:val="75F974B7"/>
    <w:rsid w:val="76457E58"/>
    <w:rsid w:val="77037FDE"/>
    <w:rsid w:val="77701892"/>
    <w:rsid w:val="77AD05EC"/>
    <w:rsid w:val="78202A3D"/>
    <w:rsid w:val="78234F31"/>
    <w:rsid w:val="78A40F2D"/>
    <w:rsid w:val="797377DD"/>
    <w:rsid w:val="79F80BD0"/>
    <w:rsid w:val="7A0B3F0A"/>
    <w:rsid w:val="7A124C24"/>
    <w:rsid w:val="7A4D35EB"/>
    <w:rsid w:val="7A530C1C"/>
    <w:rsid w:val="7A5D43B0"/>
    <w:rsid w:val="7A5F45C7"/>
    <w:rsid w:val="7A6D79BE"/>
    <w:rsid w:val="7ABA750C"/>
    <w:rsid w:val="7B23091E"/>
    <w:rsid w:val="7B284CB2"/>
    <w:rsid w:val="7B3B35F8"/>
    <w:rsid w:val="7BD3369B"/>
    <w:rsid w:val="7BD40363"/>
    <w:rsid w:val="7BD82673"/>
    <w:rsid w:val="7BEB57E8"/>
    <w:rsid w:val="7C115D5C"/>
    <w:rsid w:val="7C4950C8"/>
    <w:rsid w:val="7C7A4F18"/>
    <w:rsid w:val="7C89522C"/>
    <w:rsid w:val="7C8D3A60"/>
    <w:rsid w:val="7D1C134B"/>
    <w:rsid w:val="7D5C1014"/>
    <w:rsid w:val="7D6F608A"/>
    <w:rsid w:val="7D814D07"/>
    <w:rsid w:val="7DAA7CBF"/>
    <w:rsid w:val="7DD82E60"/>
    <w:rsid w:val="7DE85200"/>
    <w:rsid w:val="7E3563FA"/>
    <w:rsid w:val="7E79667D"/>
    <w:rsid w:val="7EB96CB1"/>
    <w:rsid w:val="7EE57AC0"/>
    <w:rsid w:val="7F13618E"/>
    <w:rsid w:val="7F3B60D8"/>
    <w:rsid w:val="7F6720C6"/>
    <w:rsid w:val="7FE770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bidi="ar"/>
    </w:rPr>
  </w:style>
  <w:style w:type="paragraph" w:styleId="4">
    <w:name w:val="heading 2"/>
    <w:basedOn w:val="1"/>
    <w:next w:val="1"/>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qFormat/>
    <w:uiPriority w:val="1"/>
    <w:pPr>
      <w:ind w:left="861" w:hanging="421"/>
      <w:outlineLvl w:val="3"/>
    </w:pPr>
    <w:rPr>
      <w:rFonts w:ascii="宋体" w:hAnsi="宋体" w:eastAsia="宋体" w:cs="宋体"/>
      <w:b/>
      <w:bCs/>
      <w:sz w:val="24"/>
      <w:szCs w:val="24"/>
      <w:lang w:val="zh-CN" w:eastAsia="zh-CN" w:bidi="zh-CN"/>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1"/>
    <w:rPr>
      <w:rFonts w:ascii="宋体" w:hAnsi="宋体" w:eastAsia="宋体" w:cs="宋体"/>
      <w:sz w:val="24"/>
      <w:szCs w:val="24"/>
      <w:lang w:val="zh-CN" w:eastAsia="zh-CN" w:bidi="zh-CN"/>
    </w:rPr>
  </w:style>
  <w:style w:type="paragraph" w:styleId="6">
    <w:name w:val="Normal Indent"/>
    <w:basedOn w:val="1"/>
    <w:qFormat/>
    <w:uiPriority w:val="0"/>
    <w:pPr>
      <w:spacing w:line="460" w:lineRule="atLeast"/>
      <w:ind w:firstLine="420"/>
    </w:pPr>
    <w:rPr>
      <w:rFonts w:ascii="Arial" w:hAnsi="Arial" w:cs="Verdana"/>
      <w:b/>
      <w:sz w:val="24"/>
      <w:szCs w:val="20"/>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Body Text Indent 3"/>
    <w:basedOn w:val="1"/>
    <w:unhideWhenUsed/>
    <w:qFormat/>
    <w:uiPriority w:val="0"/>
    <w:pPr>
      <w:spacing w:after="120"/>
      <w:ind w:left="420" w:leftChars="200"/>
    </w:pPr>
    <w:rPr>
      <w:sz w:val="16"/>
      <w:szCs w:val="16"/>
    </w:rPr>
  </w:style>
  <w:style w:type="paragraph" w:styleId="10">
    <w:name w:val="Normal (Web)"/>
    <w:basedOn w:val="1"/>
    <w:unhideWhenUsed/>
    <w:qFormat/>
    <w:uiPriority w:val="99"/>
    <w:pPr>
      <w:spacing w:before="0" w:beforeAutospacing="1" w:after="0" w:afterAutospacing="1"/>
      <w:ind w:left="0" w:right="0"/>
      <w:jc w:val="left"/>
    </w:pPr>
    <w:rPr>
      <w:kern w:val="0"/>
      <w:sz w:val="24"/>
      <w:lang w:val="en-US" w:eastAsia="zh-CN" w:bidi="ar"/>
    </w:rPr>
  </w:style>
  <w:style w:type="table" w:styleId="12">
    <w:name w:val="Table Grid"/>
    <w:basedOn w:val="1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Emphasis"/>
    <w:basedOn w:val="13"/>
    <w:qFormat/>
    <w:uiPriority w:val="0"/>
    <w:rPr>
      <w:i/>
    </w:rPr>
  </w:style>
  <w:style w:type="character" w:styleId="15">
    <w:name w:val="Hyperlink"/>
    <w:basedOn w:val="13"/>
    <w:qFormat/>
    <w:uiPriority w:val="0"/>
    <w:rPr>
      <w:color w:val="0000FF"/>
      <w:u w:val="single"/>
    </w:rPr>
  </w:style>
  <w:style w:type="paragraph" w:customStyle="1" w:styleId="16">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17">
    <w:name w:val="Table Paragraph"/>
    <w:basedOn w:val="1"/>
    <w:qFormat/>
    <w:uiPriority w:val="0"/>
    <w:pPr>
      <w:autoSpaceDE w:val="0"/>
      <w:autoSpaceDN w:val="0"/>
      <w:adjustRightInd w:val="0"/>
      <w:jc w:val="left"/>
    </w:pPr>
    <w:rPr>
      <w:kern w:val="0"/>
      <w:sz w:val="24"/>
    </w:rPr>
  </w:style>
  <w:style w:type="paragraph" w:styleId="18">
    <w:name w:val="List Paragraph"/>
    <w:basedOn w:val="1"/>
    <w:qFormat/>
    <w:uiPriority w:val="34"/>
    <w:pPr>
      <w:ind w:firstLine="420" w:firstLineChars="200"/>
    </w:pPr>
  </w:style>
  <w:style w:type="character" w:customStyle="1" w:styleId="19">
    <w:name w:val="标题1"/>
    <w:qFormat/>
    <w:uiPriority w:val="0"/>
    <w:rPr>
      <w:rFonts w:ascii="宋体" w:hAnsi="宋体" w:eastAsia="汉鼎简书宋" w:cs="宋体"/>
      <w:sz w:val="24"/>
    </w:rPr>
  </w:style>
  <w:style w:type="paragraph" w:customStyle="1" w:styleId="20">
    <w:name w:val="列表段落1"/>
    <w:basedOn w:val="1"/>
    <w:qFormat/>
    <w:uiPriority w:val="0"/>
    <w:pPr>
      <w:ind w:firstLine="420" w:firstLineChars="200"/>
    </w:pPr>
    <w:rPr>
      <w:szCs w:val="21"/>
    </w:rPr>
  </w:style>
  <w:style w:type="paragraph" w:customStyle="1" w:styleId="21">
    <w:name w:val="xl48"/>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szCs w:val="21"/>
    </w:rPr>
  </w:style>
  <w:style w:type="paragraph" w:customStyle="1" w:styleId="22">
    <w:name w:val="表格(张曦)"/>
    <w:basedOn w:val="1"/>
    <w:qFormat/>
    <w:uiPriority w:val="0"/>
    <w:pPr>
      <w:autoSpaceDE w:val="0"/>
      <w:autoSpaceDN w:val="0"/>
      <w:snapToGrid w:val="0"/>
      <w:jc w:val="center"/>
    </w:pPr>
    <w:rPr>
      <w:rFonts w:ascii="宋体" w:hAnsi="宋体" w:cs="宋体"/>
      <w:kern w:val="0"/>
      <w:szCs w:val="22"/>
      <w:lang w:eastAsia="en-US" w:bidi="en-US"/>
    </w:rPr>
  </w:style>
  <w:style w:type="paragraph" w:customStyle="1" w:styleId="23">
    <w:name w:val="无间隔1"/>
    <w:qFormat/>
    <w:uiPriority w:val="0"/>
    <w:pPr>
      <w:jc w:val="center"/>
    </w:pPr>
    <w:rPr>
      <w:rFonts w:ascii="Times New Roman" w:hAnsi="Times New Roman" w:eastAsiaTheme="minorEastAsia" w:cstheme="minorBidi"/>
      <w:sz w:val="21"/>
      <w:szCs w:val="22"/>
      <w:lang w:val="en-US" w:eastAsia="zh-CN" w:bidi="ar-SA"/>
    </w:rPr>
  </w:style>
  <w:style w:type="paragraph" w:customStyle="1" w:styleId="24">
    <w:name w:val="表格"/>
    <w:qFormat/>
    <w:uiPriority w:val="0"/>
    <w:pPr>
      <w:jc w:val="center"/>
    </w:pPr>
    <w:rPr>
      <w:rFonts w:asciiTheme="minorHAnsi" w:hAnsiTheme="minorHAnsi" w:eastAsiaTheme="minorEastAsia" w:cstheme="minorBidi"/>
      <w:kern w:val="2"/>
      <w:sz w:val="24"/>
      <w:szCs w:val="22"/>
      <w:lang w:val="en-US" w:eastAsia="zh-CN" w:bidi="ar-SA"/>
    </w:rPr>
  </w:style>
  <w:style w:type="paragraph" w:customStyle="1" w:styleId="25">
    <w:name w:val="A-正文"/>
    <w:basedOn w:val="1"/>
    <w:qFormat/>
    <w:uiPriority w:val="99"/>
    <w:pPr>
      <w:spacing w:line="400" w:lineRule="atLeast"/>
      <w:ind w:firstLine="200" w:firstLineChars="200"/>
    </w:pPr>
  </w:style>
  <w:style w:type="paragraph" w:customStyle="1" w:styleId="26">
    <w:name w:val="插图题注"/>
    <w:basedOn w:val="1"/>
    <w:qFormat/>
    <w:uiPriority w:val="0"/>
    <w:pPr>
      <w:adjustRightInd w:val="0"/>
      <w:snapToGrid w:val="0"/>
      <w:spacing w:line="360" w:lineRule="auto"/>
      <w:jc w:val="center"/>
    </w:pPr>
    <w:rPr>
      <w:rFonts w:ascii="仿宋" w:hAnsi="仿宋" w:eastAsia="仿宋"/>
      <w:b/>
      <w:bCs/>
      <w:color w:val="000000"/>
      <w:szCs w:val="21"/>
    </w:rPr>
  </w:style>
  <w:style w:type="character" w:customStyle="1" w:styleId="27">
    <w:name w:val="font11"/>
    <w:basedOn w:val="13"/>
    <w:qFormat/>
    <w:uiPriority w:val="0"/>
    <w:rPr>
      <w:rFonts w:hint="default" w:ascii="Times New Roman" w:hAnsi="Times New Roman" w:cs="Times New Roman"/>
      <w:color w:val="000000"/>
      <w:sz w:val="22"/>
      <w:szCs w:val="22"/>
      <w:u w:val="none"/>
    </w:rPr>
  </w:style>
  <w:style w:type="character" w:customStyle="1" w:styleId="28">
    <w:name w:val="font01"/>
    <w:basedOn w:val="13"/>
    <w:qFormat/>
    <w:uiPriority w:val="0"/>
    <w:rPr>
      <w:rFonts w:ascii="仿宋_GB2312" w:eastAsia="仿宋_GB2312" w:cs="仿宋_GB2312"/>
      <w:color w:val="000000"/>
      <w:sz w:val="22"/>
      <w:szCs w:val="22"/>
      <w:u w:val="none"/>
    </w:rPr>
  </w:style>
  <w:style w:type="character" w:customStyle="1" w:styleId="29">
    <w:name w:val="font41"/>
    <w:basedOn w:val="13"/>
    <w:qFormat/>
    <w:uiPriority w:val="0"/>
    <w:rPr>
      <w:rFonts w:hint="eastAsia" w:ascii="宋体" w:hAnsi="宋体" w:eastAsia="宋体" w:cs="宋体"/>
      <w:b/>
      <w:color w:val="000000"/>
      <w:sz w:val="18"/>
      <w:szCs w:val="18"/>
      <w:u w:val="none"/>
    </w:rPr>
  </w:style>
  <w:style w:type="character" w:customStyle="1" w:styleId="30">
    <w:name w:val="font51"/>
    <w:basedOn w:val="13"/>
    <w:qFormat/>
    <w:uiPriority w:val="0"/>
    <w:rPr>
      <w:rFonts w:hint="eastAsia" w:ascii="宋体" w:hAnsi="宋体" w:eastAsia="宋体" w:cs="宋体"/>
      <w:b/>
      <w:color w:val="000000"/>
      <w:sz w:val="18"/>
      <w:szCs w:val="18"/>
      <w:u w:val="none"/>
    </w:rPr>
  </w:style>
  <w:style w:type="paragraph" w:customStyle="1" w:styleId="31">
    <w:name w:val="text"/>
    <w:basedOn w:val="1"/>
    <w:qFormat/>
    <w:uiPriority w:val="0"/>
    <w:pPr>
      <w:widowControl/>
      <w:spacing w:before="100" w:beforeAutospacing="1" w:after="100" w:afterAutospacing="1" w:line="368" w:lineRule="atLeast"/>
      <w:jc w:val="left"/>
    </w:pPr>
    <w:rPr>
      <w:rFonts w:ascii="仿宋_GB2312" w:hAnsi="Calibri" w:eastAsia="Arial Unicode MS" w:cs="Arial Unicode MS"/>
      <w:color w:val="000000"/>
      <w:kern w:val="0"/>
      <w:sz w:val="23"/>
      <w:szCs w:val="23"/>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4.png"/><Relationship Id="rId21" Type="http://schemas.openxmlformats.org/officeDocument/2006/relationships/image" Target="media/image13.jpe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oleObject3.bin"/><Relationship Id="rId17" Type="http://schemas.openxmlformats.org/officeDocument/2006/relationships/image" Target="media/image10.emf"/><Relationship Id="rId16" Type="http://schemas.openxmlformats.org/officeDocument/2006/relationships/oleObject" Target="embeddings/oleObject2.bin"/><Relationship Id="rId15" Type="http://schemas.openxmlformats.org/officeDocument/2006/relationships/image" Target="media/image9.emf"/><Relationship Id="rId14" Type="http://schemas.openxmlformats.org/officeDocument/2006/relationships/oleObject" Target="embeddings/oleObject1.bin"/><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Office_11.1.0.9914_F1E327BC-269C-435d-A152-05C5408002CA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2022-02-15T08:19:00Z</dcterms:created>
  <dc:creator>晓琼</dc:creator>
  <cp:lastModifiedBy>晓琼</cp:lastModifiedBy>
  <dcterms:modified xsi:type="dcterms:W3CDTF">2022-03-22T02:31:40Z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2052-11.1.0.9914</vt:lpwstr>
  </property>
</Properties>
</file>