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312" w:beforeLines="100" w:after="312" w:afterLines="100" w:line="360" w:lineRule="auto"/>
        <w:jc w:val="center"/>
        <w:rPr>
          <w:b/>
          <w:bCs/>
          <w:sz w:val="44"/>
          <w:szCs w:val="44"/>
          <w:lang w:val="en-GB"/>
        </w:rPr>
      </w:pPr>
      <w:bookmarkStart w:id="0" w:name="_Toc3795897"/>
    </w:p>
    <w:p>
      <w:pPr>
        <w:spacing w:before="312" w:beforeLines="100" w:after="312" w:afterLines="100" w:line="360" w:lineRule="auto"/>
        <w:jc w:val="center"/>
        <w:rPr>
          <w:b/>
          <w:bCs/>
          <w:sz w:val="44"/>
          <w:szCs w:val="44"/>
          <w:lang w:val="en-GB"/>
        </w:rPr>
      </w:pPr>
    </w:p>
    <w:p>
      <w:pPr>
        <w:adjustRightInd w:val="0"/>
        <w:snapToGrid w:val="0"/>
        <w:spacing w:line="300" w:lineRule="auto"/>
        <w:jc w:val="center"/>
        <w:rPr>
          <w:rFonts w:hint="eastAsia" w:ascii="Times New Roman" w:hAnsi="宋体" w:cs="Times New Roman"/>
          <w:b/>
          <w:color w:val="000000" w:themeColor="text1"/>
          <w:sz w:val="48"/>
          <w:szCs w:val="22"/>
          <w:lang w:val="en-GB" w:eastAsia="zh-CN"/>
          <w14:textFill>
            <w14:solidFill>
              <w14:schemeClr w14:val="tx1"/>
            </w14:solidFill>
          </w14:textFill>
        </w:rPr>
      </w:pPr>
      <w:r>
        <w:rPr>
          <w:rFonts w:hint="eastAsia" w:ascii="Times New Roman" w:hAnsi="宋体" w:cs="Times New Roman"/>
          <w:b/>
          <w:color w:val="000000" w:themeColor="text1"/>
          <w:sz w:val="48"/>
          <w:szCs w:val="22"/>
          <w:lang w:val="en-GB" w:eastAsia="zh-CN"/>
          <w14:textFill>
            <w14:solidFill>
              <w14:schemeClr w14:val="tx1"/>
            </w14:solidFill>
          </w14:textFill>
        </w:rPr>
        <w:t>柴达木盆地阿拉尔—苏干湖地区铀矿</w:t>
      </w:r>
    </w:p>
    <w:p>
      <w:pPr>
        <w:adjustRightInd w:val="0"/>
        <w:snapToGrid w:val="0"/>
        <w:spacing w:line="300" w:lineRule="auto"/>
        <w:jc w:val="center"/>
        <w:rPr>
          <w:rFonts w:hint="eastAsia" w:ascii="Times New Roman" w:hAnsi="宋体" w:cs="Times New Roman"/>
          <w:b/>
          <w:color w:val="000000" w:themeColor="text1"/>
          <w:sz w:val="48"/>
          <w:szCs w:val="22"/>
          <w:lang w:val="en-US" w:eastAsia="zh-CN"/>
          <w14:textFill>
            <w14:solidFill>
              <w14:schemeClr w14:val="tx1"/>
            </w14:solidFill>
          </w14:textFill>
        </w:rPr>
      </w:pPr>
      <w:r>
        <w:rPr>
          <w:rFonts w:hint="eastAsia" w:ascii="Times New Roman" w:hAnsi="宋体" w:cs="Times New Roman"/>
          <w:b/>
          <w:color w:val="000000" w:themeColor="text1"/>
          <w:sz w:val="48"/>
          <w:szCs w:val="22"/>
          <w:lang w:val="en-GB" w:eastAsia="zh-CN"/>
          <w14:textFill>
            <w14:solidFill>
              <w14:schemeClr w14:val="tx1"/>
            </w14:solidFill>
          </w14:textFill>
        </w:rPr>
        <w:t>资源调查评价与勘查</w:t>
      </w:r>
    </w:p>
    <w:p>
      <w:pPr>
        <w:spacing w:before="156" w:beforeLines="50" w:after="156" w:afterLines="50" w:line="360" w:lineRule="auto"/>
        <w:jc w:val="center"/>
        <w:rPr>
          <w:rFonts w:ascii="华文行楷" w:eastAsia="华文行楷"/>
          <w:color w:val="000000" w:themeColor="text1"/>
          <w:sz w:val="72"/>
          <w:szCs w:val="72"/>
          <w:lang w:val="en-GB"/>
          <w14:textFill>
            <w14:solidFill>
              <w14:schemeClr w14:val="tx1"/>
            </w14:solidFill>
          </w14:textFill>
        </w:rPr>
      </w:pPr>
      <w:r>
        <w:rPr>
          <w:rFonts w:hint="eastAsia" w:ascii="华文行楷" w:eastAsia="华文行楷"/>
          <w:color w:val="000000" w:themeColor="text1"/>
          <w:sz w:val="72"/>
          <w:szCs w:val="72"/>
          <w:lang w:val="en-GB"/>
          <w14:textFill>
            <w14:solidFill>
              <w14:schemeClr w14:val="tx1"/>
            </w14:solidFill>
          </w14:textFill>
        </w:rPr>
        <w:t>环境影响报告表</w:t>
      </w: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rPr>
          <w:color w:val="000000" w:themeColor="text1"/>
          <w:sz w:val="28"/>
          <w:szCs w:val="28"/>
          <w:lang w:val="en-GB"/>
          <w14:textFill>
            <w14:solidFill>
              <w14:schemeClr w14:val="tx1"/>
            </w14:solidFill>
          </w14:textFill>
        </w:rPr>
      </w:pPr>
    </w:p>
    <w:p>
      <w:pPr>
        <w:spacing w:line="360" w:lineRule="auto"/>
        <w:ind w:left="1260" w:leftChars="600"/>
        <w:rPr>
          <w:rFonts w:hint="eastAsia" w:eastAsia="宋体"/>
          <w:color w:val="000000" w:themeColor="text1"/>
          <w:sz w:val="28"/>
          <w:szCs w:val="28"/>
          <w:lang w:val="en-GB" w:eastAsia="zh-CN"/>
          <w14:textFill>
            <w14:solidFill>
              <w14:schemeClr w14:val="tx1"/>
            </w14:solidFill>
          </w14:textFill>
        </w:rPr>
      </w:pPr>
      <w:r>
        <w:rPr>
          <w:rFonts w:hint="eastAsia"/>
          <w:color w:val="000000" w:themeColor="text1"/>
          <w:sz w:val="28"/>
          <w:szCs w:val="28"/>
          <w:lang w:val="en-GB"/>
          <w14:textFill>
            <w14:solidFill>
              <w14:schemeClr w14:val="tx1"/>
            </w14:solidFill>
          </w14:textFill>
        </w:rPr>
        <w:t>建设单位：核工业二</w:t>
      </w:r>
      <w:r>
        <w:rPr>
          <w:rFonts w:hint="eastAsia"/>
          <w:color w:val="000000" w:themeColor="text1"/>
          <w:sz w:val="24"/>
          <w:lang w:val="en-GB" w:eastAsia="zh-CN"/>
          <w14:textFill>
            <w14:solidFill>
              <w14:schemeClr w14:val="tx1"/>
            </w14:solidFill>
          </w14:textFill>
        </w:rPr>
        <w:t>〇</w:t>
      </w:r>
      <w:r>
        <w:rPr>
          <w:rFonts w:hint="eastAsia"/>
          <w:color w:val="000000" w:themeColor="text1"/>
          <w:sz w:val="28"/>
          <w:szCs w:val="28"/>
          <w:lang w:val="en-GB"/>
          <w14:textFill>
            <w14:solidFill>
              <w14:schemeClr w14:val="tx1"/>
            </w14:solidFill>
          </w14:textFill>
        </w:rPr>
        <w:t>三研究所</w:t>
      </w:r>
      <w:r>
        <w:rPr>
          <w:rFonts w:hint="eastAsia"/>
          <w:color w:val="000000" w:themeColor="text1"/>
          <w:sz w:val="28"/>
          <w:szCs w:val="28"/>
          <w:lang w:val="en-GB"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盖章</w:t>
      </w:r>
      <w:r>
        <w:rPr>
          <w:rFonts w:hint="eastAsia"/>
          <w:color w:val="000000" w:themeColor="text1"/>
          <w:sz w:val="28"/>
          <w:szCs w:val="28"/>
          <w:lang w:val="en-GB" w:eastAsia="zh-CN"/>
          <w14:textFill>
            <w14:solidFill>
              <w14:schemeClr w14:val="tx1"/>
            </w14:solidFill>
          </w14:textFill>
        </w:rPr>
        <w:t>）</w:t>
      </w:r>
    </w:p>
    <w:p>
      <w:pPr>
        <w:spacing w:line="360" w:lineRule="auto"/>
        <w:ind w:left="1260" w:leftChars="600"/>
        <w:rPr>
          <w:color w:val="000000" w:themeColor="text1"/>
          <w:sz w:val="28"/>
          <w:szCs w:val="28"/>
          <w:lang w:val="en-GB"/>
          <w14:textFill>
            <w14:solidFill>
              <w14:schemeClr w14:val="tx1"/>
            </w14:solidFill>
          </w14:textFill>
        </w:rPr>
      </w:pPr>
      <w:r>
        <w:rPr>
          <w:rFonts w:hint="eastAsia"/>
          <w:color w:val="000000" w:themeColor="text1"/>
          <w:sz w:val="28"/>
          <w:szCs w:val="28"/>
          <w:lang w:val="en-GB"/>
          <w14:textFill>
            <w14:solidFill>
              <w14:schemeClr w14:val="tx1"/>
            </w14:solidFill>
          </w14:textFill>
        </w:rPr>
        <w:t>法人代表：王乐力</w:t>
      </w:r>
    </w:p>
    <w:p>
      <w:pPr>
        <w:spacing w:line="360" w:lineRule="auto"/>
        <w:ind w:left="1260" w:leftChars="600"/>
        <w:rPr>
          <w:color w:val="000000" w:themeColor="text1"/>
          <w:sz w:val="28"/>
          <w:szCs w:val="28"/>
          <w:lang w:val="en-GB"/>
          <w14:textFill>
            <w14:solidFill>
              <w14:schemeClr w14:val="tx1"/>
            </w14:solidFill>
          </w14:textFill>
        </w:rPr>
      </w:pPr>
      <w:r>
        <w:rPr>
          <w:rFonts w:hint="eastAsia"/>
          <w:color w:val="000000" w:themeColor="text1"/>
          <w:sz w:val="28"/>
          <w:szCs w:val="28"/>
          <w:lang w:val="en-GB"/>
          <w14:textFill>
            <w14:solidFill>
              <w14:schemeClr w14:val="tx1"/>
            </w14:solidFill>
          </w14:textFill>
        </w:rPr>
        <w:t>通讯地址：陕西省西咸新区沣东新城科源三路8</w:t>
      </w:r>
      <w:r>
        <w:rPr>
          <w:color w:val="000000" w:themeColor="text1"/>
          <w:sz w:val="28"/>
          <w:szCs w:val="28"/>
          <w:lang w:val="en-GB"/>
          <w14:textFill>
            <w14:solidFill>
              <w14:schemeClr w14:val="tx1"/>
            </w14:solidFill>
          </w14:textFill>
        </w:rPr>
        <w:t>69</w:t>
      </w:r>
      <w:r>
        <w:rPr>
          <w:rFonts w:hint="eastAsia"/>
          <w:color w:val="000000" w:themeColor="text1"/>
          <w:sz w:val="28"/>
          <w:szCs w:val="28"/>
          <w:lang w:val="en-GB"/>
          <w14:textFill>
            <w14:solidFill>
              <w14:schemeClr w14:val="tx1"/>
            </w14:solidFill>
          </w14:textFill>
        </w:rPr>
        <w:t>号</w:t>
      </w:r>
    </w:p>
    <w:p>
      <w:pPr>
        <w:spacing w:line="360" w:lineRule="auto"/>
        <w:ind w:left="1260" w:leftChars="600"/>
        <w:rPr>
          <w:color w:val="000000" w:themeColor="text1"/>
          <w:sz w:val="28"/>
          <w:szCs w:val="28"/>
          <w:lang w:val="en-GB"/>
          <w14:textFill>
            <w14:solidFill>
              <w14:schemeClr w14:val="tx1"/>
            </w14:solidFill>
          </w14:textFill>
        </w:rPr>
      </w:pPr>
      <w:r>
        <w:rPr>
          <w:rFonts w:hint="eastAsia"/>
          <w:color w:val="000000" w:themeColor="text1"/>
          <w:sz w:val="28"/>
          <w:szCs w:val="28"/>
          <w:lang w:val="en-GB"/>
          <w14:textFill>
            <w14:solidFill>
              <w14:schemeClr w14:val="tx1"/>
            </w14:solidFill>
          </w14:textFill>
        </w:rPr>
        <w:t>邮政编码：7</w:t>
      </w:r>
      <w:r>
        <w:rPr>
          <w:color w:val="000000" w:themeColor="text1"/>
          <w:sz w:val="28"/>
          <w:szCs w:val="28"/>
          <w:lang w:val="en-GB"/>
          <w14:textFill>
            <w14:solidFill>
              <w14:schemeClr w14:val="tx1"/>
            </w14:solidFill>
          </w14:textFill>
        </w:rPr>
        <w:t>10086</w:t>
      </w:r>
    </w:p>
    <w:p>
      <w:pPr>
        <w:outlineLvl w:val="0"/>
        <w:rPr>
          <w:rFonts w:eastAsia="黑体"/>
          <w:color w:val="000000" w:themeColor="text1"/>
          <w:w w:val="95"/>
          <w:sz w:val="32"/>
          <w14:textFill>
            <w14:solidFill>
              <w14:schemeClr w14:val="tx1"/>
            </w14:solidFill>
          </w14:textFill>
        </w:rPr>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outlineLvl w:val="0"/>
        <w:rPr>
          <w:rFonts w:eastAsia="黑体"/>
          <w:color w:val="000000" w:themeColor="text1"/>
          <w:w w:val="95"/>
          <w:sz w:val="32"/>
          <w14:textFill>
            <w14:solidFill>
              <w14:schemeClr w14:val="tx1"/>
            </w14:solidFill>
          </w14:textFill>
        </w:rPr>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14:textFill>
            <w14:solidFill>
              <w14:schemeClr w14:val="tx1"/>
            </w14:solidFill>
          </w14:textFill>
        </w:rPr>
        <w:t>一、</w:t>
      </w:r>
      <w:r>
        <w:rPr>
          <w:rFonts w:eastAsia="黑体"/>
          <w:color w:val="000000" w:themeColor="text1"/>
          <w:w w:val="95"/>
          <w:sz w:val="32"/>
          <w14:textFill>
            <w14:solidFill>
              <w14:schemeClr w14:val="tx1"/>
            </w14:solidFill>
          </w14:textFill>
        </w:rPr>
        <w:t>建设项目基本情况</w:t>
      </w:r>
      <w:bookmarkEnd w:id="0"/>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18"/>
        <w:gridCol w:w="2570"/>
        <w:gridCol w:w="1347"/>
        <w:gridCol w:w="1654"/>
        <w:gridCol w:w="1419"/>
        <w:gridCol w:w="115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cantSplit/>
          <w:trHeight w:val="454" w:hRule="atLeast"/>
          <w:jc w:val="center"/>
        </w:trPr>
        <w:tc>
          <w:tcPr>
            <w:tcW w:w="913" w:type="pct"/>
            <w:vAlign w:val="center"/>
          </w:tcPr>
          <w:p>
            <w:pPr>
              <w:jc w:val="center"/>
              <w:rPr>
                <w:rFonts w:eastAsia="楷体_GB2312"/>
                <w:color w:val="000000" w:themeColor="text1"/>
                <w:sz w:val="24"/>
                <w14:textFill>
                  <w14:solidFill>
                    <w14:schemeClr w14:val="tx1"/>
                  </w14:solidFill>
                </w14:textFill>
              </w:rPr>
            </w:pPr>
            <w:r>
              <w:rPr>
                <w:color w:val="000000" w:themeColor="text1"/>
                <w:sz w:val="24"/>
                <w14:textFill>
                  <w14:solidFill>
                    <w14:schemeClr w14:val="tx1"/>
                  </w14:solidFill>
                </w14:textFill>
              </w:rPr>
              <w:t>项目名称</w:t>
            </w:r>
          </w:p>
        </w:tc>
        <w:tc>
          <w:tcPr>
            <w:tcW w:w="4086" w:type="pct"/>
            <w:gridSpan w:val="5"/>
            <w:vAlign w:val="center"/>
          </w:tcPr>
          <w:p>
            <w:pPr>
              <w:jc w:val="center"/>
              <w:rPr>
                <w:rFonts w:hint="eastAsia" w:eastAsia="宋体"/>
                <w:color w:val="000000" w:themeColor="text1"/>
                <w:sz w:val="24"/>
                <w:lang w:val="en-US" w:eastAsia="zh-CN"/>
                <w14:textFill>
                  <w14:solidFill>
                    <w14:schemeClr w14:val="tx1"/>
                  </w14:solidFill>
                </w14:textFill>
              </w:rPr>
            </w:pPr>
            <w:r>
              <w:rPr>
                <w:rFonts w:hint="eastAsia"/>
                <w:color w:val="000000" w:themeColor="text1"/>
                <w:sz w:val="24"/>
                <w:lang w:val="en-GB"/>
                <w14:textFill>
                  <w14:solidFill>
                    <w14:schemeClr w14:val="tx1"/>
                  </w14:solidFill>
                </w14:textFill>
              </w:rPr>
              <w:t>柴达木盆地阿拉尔—苏干湖地区铀矿资源调查评价与勘查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3"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建设单位</w:t>
            </w:r>
          </w:p>
        </w:tc>
        <w:tc>
          <w:tcPr>
            <w:tcW w:w="4086" w:type="pct"/>
            <w:gridSpan w:val="5"/>
            <w:vAlign w:val="center"/>
          </w:tcPr>
          <w:p>
            <w:pPr>
              <w:jc w:val="center"/>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核工业二</w:t>
            </w:r>
            <w:r>
              <w:rPr>
                <w:rFonts w:hint="eastAsia"/>
                <w:color w:val="000000" w:themeColor="text1"/>
                <w:sz w:val="24"/>
                <w:lang w:val="en-GB" w:eastAsia="zh-CN"/>
                <w14:textFill>
                  <w14:solidFill>
                    <w14:schemeClr w14:val="tx1"/>
                  </w14:solidFill>
                </w14:textFill>
              </w:rPr>
              <w:t>〇</w:t>
            </w:r>
            <w:r>
              <w:rPr>
                <w:rFonts w:hint="eastAsia"/>
                <w:color w:val="000000" w:themeColor="text1"/>
                <w:sz w:val="24"/>
                <w:lang w:val="en-GB"/>
                <w14:textFill>
                  <w14:solidFill>
                    <w14:schemeClr w14:val="tx1"/>
                  </w14:solidFill>
                </w14:textFill>
              </w:rPr>
              <w:t>三研究所</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3" w:type="pct"/>
            <w:vAlign w:val="center"/>
          </w:tcPr>
          <w:p>
            <w:pPr>
              <w:jc w:val="center"/>
              <w:rPr>
                <w:color w:val="000000" w:themeColor="text1"/>
                <w:sz w:val="24"/>
                <w14:textFill>
                  <w14:solidFill>
                    <w14:schemeClr w14:val="tx1"/>
                  </w14:solidFill>
                </w14:textFill>
              </w:rPr>
            </w:pPr>
            <w:bookmarkStart w:id="1" w:name="_Hlk519687509"/>
            <w:r>
              <w:rPr>
                <w:color w:val="000000" w:themeColor="text1"/>
                <w:sz w:val="24"/>
                <w14:textFill>
                  <w14:solidFill>
                    <w14:schemeClr w14:val="tx1"/>
                  </w14:solidFill>
                </w14:textFill>
              </w:rPr>
              <w:t>法人代表</w:t>
            </w:r>
            <w:bookmarkEnd w:id="1"/>
          </w:p>
        </w:tc>
        <w:tc>
          <w:tcPr>
            <w:tcW w:w="1966"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王乐力</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联系人</w:t>
            </w:r>
          </w:p>
        </w:tc>
        <w:tc>
          <w:tcPr>
            <w:tcW w:w="1288"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王江波</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3"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通讯地址</w:t>
            </w:r>
          </w:p>
        </w:tc>
        <w:tc>
          <w:tcPr>
            <w:tcW w:w="4086" w:type="pct"/>
            <w:gridSpan w:val="5"/>
            <w:vAlign w:val="center"/>
          </w:tcPr>
          <w:p>
            <w:pPr>
              <w:jc w:val="center"/>
              <w:rPr>
                <w:color w:val="000000" w:themeColor="text1"/>
                <w:sz w:val="24"/>
                <w14:textFill>
                  <w14:solidFill>
                    <w14:schemeClr w14:val="tx1"/>
                  </w14:solidFill>
                </w14:textFill>
              </w:rPr>
            </w:pPr>
            <w:r>
              <w:rPr>
                <w:rFonts w:hint="eastAsia"/>
                <w:color w:val="000000" w:themeColor="text1"/>
                <w:sz w:val="24"/>
                <w:lang w:val="en-GB"/>
                <w14:textFill>
                  <w14:solidFill>
                    <w14:schemeClr w14:val="tx1"/>
                  </w14:solidFill>
                </w14:textFill>
              </w:rPr>
              <w:t>陕西省</w:t>
            </w:r>
            <w:r>
              <w:rPr>
                <w:rFonts w:hint="eastAsia"/>
                <w:color w:val="000000" w:themeColor="text1"/>
                <w:sz w:val="24"/>
                <w14:textFill>
                  <w14:solidFill>
                    <w14:schemeClr w14:val="tx1"/>
                  </w14:solidFill>
                </w14:textFill>
              </w:rPr>
              <w:t>西咸新区沣东新城科源三路869号</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913"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联系电话</w:t>
            </w:r>
          </w:p>
        </w:tc>
        <w:tc>
          <w:tcPr>
            <w:tcW w:w="1290" w:type="pct"/>
            <w:vAlign w:val="center"/>
          </w:tcPr>
          <w:p>
            <w:pPr>
              <w:jc w:val="center"/>
              <w:rPr>
                <w:rFonts w:eastAsia="楷体_GB2312"/>
                <w:color w:val="000000" w:themeColor="text1"/>
                <w:sz w:val="24"/>
                <w14:textFill>
                  <w14:solidFill>
                    <w14:schemeClr w14:val="tx1"/>
                  </w14:solidFill>
                </w14:textFill>
              </w:rPr>
            </w:pPr>
            <w:r>
              <w:rPr>
                <w:rFonts w:hint="eastAsia" w:eastAsia="楷体_GB2312"/>
                <w:color w:val="000000" w:themeColor="text1"/>
                <w:sz w:val="24"/>
                <w14:textFill>
                  <w14:solidFill>
                    <w14:schemeClr w14:val="tx1"/>
                  </w14:solidFill>
                </w14:textFill>
              </w:rPr>
              <w:t>029-89101611</w:t>
            </w:r>
          </w:p>
        </w:tc>
        <w:tc>
          <w:tcPr>
            <w:tcW w:w="676"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传真</w:t>
            </w:r>
          </w:p>
        </w:tc>
        <w:tc>
          <w:tcPr>
            <w:tcW w:w="830" w:type="pct"/>
            <w:vAlign w:val="center"/>
          </w:tcPr>
          <w:p>
            <w:pPr>
              <w:jc w:val="center"/>
              <w:rPr>
                <w:rFonts w:eastAsia="楷体_GB2312"/>
                <w:color w:val="000000" w:themeColor="text1"/>
                <w:sz w:val="24"/>
                <w14:textFill>
                  <w14:solidFill>
                    <w14:schemeClr w14:val="tx1"/>
                  </w14:solidFill>
                </w14:textFill>
              </w:rPr>
            </w:pPr>
            <w:r>
              <w:rPr>
                <w:rFonts w:hint="eastAsia" w:eastAsia="楷体_GB2312"/>
                <w:color w:val="000000" w:themeColor="text1"/>
                <w:sz w:val="24"/>
                <w14:textFill>
                  <w14:solidFill>
                    <w14:schemeClr w14:val="tx1"/>
                  </w14:solidFill>
                </w14:textFill>
              </w:rPr>
              <w:t>—</w:t>
            </w:r>
          </w:p>
        </w:tc>
        <w:tc>
          <w:tcPr>
            <w:tcW w:w="712"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邮政编码</w:t>
            </w:r>
          </w:p>
        </w:tc>
        <w:tc>
          <w:tcPr>
            <w:tcW w:w="576" w:type="pct"/>
            <w:vAlign w:val="center"/>
          </w:tcPr>
          <w:p>
            <w:pPr>
              <w:jc w:val="center"/>
              <w:rPr>
                <w:rFonts w:eastAsia="楷体_GB2312"/>
                <w:color w:val="000000" w:themeColor="text1"/>
                <w:sz w:val="24"/>
                <w14:textFill>
                  <w14:solidFill>
                    <w14:schemeClr w14:val="tx1"/>
                  </w14:solidFill>
                </w14:textFill>
              </w:rPr>
            </w:pPr>
            <w:r>
              <w:rPr>
                <w:rFonts w:eastAsia="楷体_GB2312"/>
                <w:color w:val="000000" w:themeColor="text1"/>
                <w:sz w:val="24"/>
                <w14:textFill>
                  <w14:solidFill>
                    <w14:schemeClr w14:val="tx1"/>
                  </w14:solidFill>
                </w14:textFill>
              </w:rPr>
              <w:t>71</w:t>
            </w:r>
            <w:r>
              <w:rPr>
                <w:rFonts w:hint="eastAsia" w:eastAsia="楷体_GB2312"/>
                <w:color w:val="000000" w:themeColor="text1"/>
                <w:sz w:val="24"/>
                <w14:textFill>
                  <w14:solidFill>
                    <w14:schemeClr w14:val="tx1"/>
                  </w14:solidFill>
                </w14:textFill>
              </w:rPr>
              <w:t>0086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3"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建设地点</w:t>
            </w:r>
          </w:p>
        </w:tc>
        <w:tc>
          <w:tcPr>
            <w:tcW w:w="4086" w:type="pct"/>
            <w:gridSpan w:val="5"/>
            <w:vAlign w:val="center"/>
          </w:tcPr>
          <w:p>
            <w:pPr>
              <w:jc w:val="left"/>
              <w:rPr>
                <w:rFonts w:hint="eastAsia" w:eastAsia="宋体"/>
                <w:color w:val="000000" w:themeColor="text1"/>
                <w:sz w:val="24"/>
                <w:lang w:val="en-US" w:eastAsia="zh-CN"/>
                <w14:textFill>
                  <w14:solidFill>
                    <w14:schemeClr w14:val="tx1"/>
                  </w14:solidFill>
                </w14:textFill>
              </w:rPr>
            </w:pPr>
            <w:r>
              <w:rPr>
                <w:rFonts w:hint="eastAsia"/>
                <w:color w:val="000000" w:themeColor="text1"/>
                <w:sz w:val="24"/>
                <w:lang w:val="en-GB"/>
                <w14:textFill>
                  <w14:solidFill>
                    <w14:schemeClr w14:val="tx1"/>
                  </w14:solidFill>
                </w14:textFill>
              </w:rPr>
              <w:t>行政</w:t>
            </w:r>
            <w:r>
              <w:rPr>
                <w:rFonts w:hint="eastAsia"/>
                <w:color w:val="000000" w:themeColor="text1"/>
                <w:sz w:val="24"/>
                <w:lang w:val="en-US" w:eastAsia="zh-CN"/>
                <w14:textFill>
                  <w14:solidFill>
                    <w14:schemeClr w14:val="tx1"/>
                  </w14:solidFill>
                </w14:textFill>
              </w:rPr>
              <w:t>区划隶属于青海省</w:t>
            </w:r>
            <w:r>
              <w:rPr>
                <w:rFonts w:hint="eastAsia"/>
                <w:color w:val="000000" w:themeColor="text1"/>
                <w:sz w:val="24"/>
                <w:lang w:val="en-GB"/>
                <w14:textFill>
                  <w14:solidFill>
                    <w14:schemeClr w14:val="tx1"/>
                  </w14:solidFill>
                </w14:textFill>
              </w:rPr>
              <w:t>海西蒙古族藏族自治州、新疆维吾尔自治区若羌县和</w:t>
            </w:r>
            <w:r>
              <w:rPr>
                <w:rFonts w:hint="eastAsia"/>
                <w:color w:val="000000" w:themeColor="text1"/>
                <w:sz w:val="24"/>
                <w:lang w:val="en-GB" w:eastAsia="zh-CN"/>
                <w14:textFill>
                  <w14:solidFill>
                    <w14:schemeClr w14:val="tx1"/>
                  </w14:solidFill>
                </w14:textFill>
              </w:rPr>
              <w:t>甘肃省</w:t>
            </w:r>
            <w:r>
              <w:rPr>
                <w:rFonts w:hint="eastAsia"/>
                <w:color w:val="000000" w:themeColor="text1"/>
                <w:sz w:val="24"/>
                <w:lang w:val="en-US" w:eastAsia="zh-CN"/>
                <w14:textFill>
                  <w14:solidFill>
                    <w14:schemeClr w14:val="tx1"/>
                  </w14:solidFill>
                </w14:textFill>
              </w:rPr>
              <w:t>酒泉市</w:t>
            </w:r>
            <w:r>
              <w:rPr>
                <w:rFonts w:hint="eastAsia"/>
                <w:color w:val="000000" w:themeColor="text1"/>
                <w:sz w:val="24"/>
                <w:lang w:val="en-GB" w:eastAsia="zh-CN"/>
                <w14:textFill>
                  <w14:solidFill>
                    <w14:schemeClr w14:val="tx1"/>
                  </w14:solidFill>
                </w14:textFill>
              </w:rPr>
              <w:t>阿克塞哈萨克族自治县</w:t>
            </w:r>
            <w:r>
              <w:rPr>
                <w:rFonts w:hint="eastAsia"/>
                <w:color w:val="000000" w:themeColor="text1"/>
                <w:sz w:val="24"/>
                <w:lang w:val="en-US" w:eastAsia="zh-CN"/>
                <w14:textFill>
                  <w14:solidFill>
                    <w14:schemeClr w14:val="tx1"/>
                  </w14:solidFill>
                </w14:textFill>
              </w:rPr>
              <w:t>管辖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3"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立项审批部门</w:t>
            </w:r>
          </w:p>
        </w:tc>
        <w:tc>
          <w:tcPr>
            <w:tcW w:w="1966" w:type="pct"/>
            <w:gridSpan w:val="2"/>
            <w:vAlign w:val="center"/>
          </w:tcPr>
          <w:p>
            <w:pPr>
              <w:jc w:val="center"/>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中国核工业地质局</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批准文号</w:t>
            </w:r>
          </w:p>
        </w:tc>
        <w:tc>
          <w:tcPr>
            <w:tcW w:w="128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75" w:hRule="atLeast"/>
          <w:jc w:val="center"/>
        </w:trPr>
        <w:tc>
          <w:tcPr>
            <w:tcW w:w="913"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建设性质</w:t>
            </w:r>
          </w:p>
        </w:tc>
        <w:tc>
          <w:tcPr>
            <w:tcW w:w="1966" w:type="pct"/>
            <w:gridSpan w:val="2"/>
            <w:vAlign w:val="center"/>
          </w:tcPr>
          <w:p>
            <w:pPr>
              <w:jc w:val="center"/>
              <w:rPr>
                <w:rFonts w:eastAsia="楷体_GB2312"/>
                <w:color w:val="000000" w:themeColor="text1"/>
                <w:sz w:val="24"/>
                <w:bdr w:val="single" w:color="auto" w:sz="4" w:space="0"/>
                <w14:textFill>
                  <w14:solidFill>
                    <w14:schemeClr w14:val="tx1"/>
                  </w14:solidFill>
                </w14:textFill>
              </w:rPr>
            </w:pPr>
            <w:r>
              <w:rPr>
                <w:rFonts w:hint="default" w:ascii="Times New Roman" w:hAnsi="Times New Roman" w:eastAsia="宋体" w:cs="Times New Roman"/>
                <w:sz w:val="24"/>
                <w:szCs w:val="24"/>
                <w:lang w:eastAsia="zh-CN"/>
              </w:rPr>
              <w:t>新建</w:t>
            </w:r>
            <w:r>
              <w:rPr>
                <w:rFonts w:hint="default" w:ascii="Times New Roman" w:hAnsi="Times New Roman" w:eastAsia="宋体" w:cs="Times New Roman"/>
                <w:sz w:val="24"/>
                <w:szCs w:val="24"/>
              </w:rPr>
              <w:sym w:font="Wingdings 2" w:char="0052"/>
            </w:r>
            <w:r>
              <w:rPr>
                <w:rFonts w:hint="default" w:ascii="Times New Roman" w:hAnsi="Times New Roman" w:eastAsia="宋体" w:cs="Times New Roman"/>
                <w:sz w:val="24"/>
                <w:szCs w:val="24"/>
                <w:lang w:eastAsia="zh-CN"/>
              </w:rPr>
              <w:t>扩建</w:t>
            </w:r>
            <w:r>
              <w:rPr>
                <w:rFonts w:hint="default" w:ascii="Times New Roman" w:hAnsi="Times New Roman" w:eastAsia="宋体" w:cs="Times New Roman"/>
                <w:sz w:val="24"/>
                <w:szCs w:val="24"/>
                <w:lang w:eastAsia="zh-CN"/>
              </w:rPr>
              <w:sym w:font="Wingdings 2" w:char="00A3"/>
            </w:r>
            <w:r>
              <w:rPr>
                <w:rFonts w:hint="default" w:ascii="Times New Roman" w:hAnsi="Times New Roman" w:eastAsia="宋体" w:cs="Times New Roman"/>
                <w:sz w:val="24"/>
                <w:szCs w:val="24"/>
                <w:lang w:eastAsia="zh-CN"/>
              </w:rPr>
              <w:t>改建</w:t>
            </w:r>
            <w:r>
              <w:rPr>
                <w:rFonts w:hint="default" w:ascii="Times New Roman" w:hAnsi="Times New Roman" w:eastAsia="宋体" w:cs="Times New Roman"/>
                <w:sz w:val="24"/>
                <w:szCs w:val="24"/>
                <w:lang w:eastAsia="zh-CN"/>
              </w:rPr>
              <w:sym w:font="Wingdings 2" w:char="00A3"/>
            </w:r>
            <w:r>
              <w:rPr>
                <w:rFonts w:hint="default" w:ascii="Times New Roman" w:hAnsi="Times New Roman" w:eastAsia="宋体" w:cs="Times New Roman"/>
                <w:sz w:val="24"/>
                <w:szCs w:val="24"/>
                <w:lang w:eastAsia="zh-CN"/>
              </w:rPr>
              <w:t>技改</w:t>
            </w:r>
            <w:r>
              <w:rPr>
                <w:rFonts w:hint="default" w:ascii="Times New Roman" w:hAnsi="Times New Roman" w:eastAsia="宋体" w:cs="Times New Roman"/>
                <w:sz w:val="24"/>
                <w:szCs w:val="24"/>
                <w:lang w:eastAsia="zh-CN"/>
              </w:rPr>
              <w:sym w:font="Wingdings 2" w:char="00A3"/>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行业类别</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及代码</w:t>
            </w:r>
          </w:p>
        </w:tc>
        <w:tc>
          <w:tcPr>
            <w:tcW w:w="1288"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M7471</w:t>
            </w:r>
          </w:p>
          <w:p>
            <w:pPr>
              <w:jc w:val="center"/>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能源矿产地质勘查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58" w:hRule="atLeast"/>
          <w:jc w:val="center"/>
        </w:trPr>
        <w:tc>
          <w:tcPr>
            <w:tcW w:w="913"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占地面积</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(平方米)</w:t>
            </w:r>
          </w:p>
        </w:tc>
        <w:tc>
          <w:tcPr>
            <w:tcW w:w="1966"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42600</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绿化面积</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(平方米)</w:t>
            </w:r>
          </w:p>
        </w:tc>
        <w:tc>
          <w:tcPr>
            <w:tcW w:w="1288" w:type="pct"/>
            <w:gridSpan w:val="2"/>
            <w:vAlign w:val="center"/>
          </w:tcPr>
          <w:p>
            <w:pPr>
              <w:jc w:val="center"/>
              <w:rPr>
                <w:rFonts w:hint="default" w:eastAsia="宋体"/>
                <w:color w:val="000000" w:themeColor="text1"/>
                <w:sz w:val="24"/>
                <w:highlight w:val="yellow"/>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8520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913"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总投资</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(万元)</w:t>
            </w:r>
          </w:p>
        </w:tc>
        <w:tc>
          <w:tcPr>
            <w:tcW w:w="1966"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15985</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(万元)</w:t>
            </w:r>
          </w:p>
        </w:tc>
        <w:tc>
          <w:tcPr>
            <w:tcW w:w="1288" w:type="pct"/>
            <w:gridSpan w:val="2"/>
            <w:vAlign w:val="center"/>
          </w:tcPr>
          <w:p>
            <w:pPr>
              <w:jc w:val="center"/>
              <w:rPr>
                <w:rFonts w:hint="default" w:eastAsia="楷体_GB2312"/>
                <w:color w:val="000000" w:themeColor="text1"/>
                <w:sz w:val="24"/>
                <w:highlight w:val="yellow"/>
                <w:lang w:val="en-US" w:eastAsia="zh-CN"/>
                <w14:textFill>
                  <w14:solidFill>
                    <w14:schemeClr w14:val="tx1"/>
                  </w14:solidFill>
                </w14:textFill>
              </w:rPr>
            </w:pPr>
            <w:r>
              <w:rPr>
                <w:rFonts w:hint="eastAsia" w:eastAsia="楷体_GB2312"/>
                <w:color w:val="000000" w:themeColor="text1"/>
                <w:sz w:val="24"/>
                <w:lang w:val="en-US" w:eastAsia="zh-CN"/>
                <w14:textFill>
                  <w14:solidFill>
                    <w14:schemeClr w14:val="tx1"/>
                  </w14:solidFill>
                </w14:textFill>
              </w:rPr>
              <w:t>1111.6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722" w:hRule="atLeast"/>
          <w:jc w:val="center"/>
        </w:trPr>
        <w:tc>
          <w:tcPr>
            <w:tcW w:w="913"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环保投资占</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总投资比例</w:t>
            </w:r>
          </w:p>
        </w:tc>
        <w:tc>
          <w:tcPr>
            <w:tcW w:w="1966"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6.95%</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预期投</w:t>
            </w:r>
            <w:r>
              <w:rPr>
                <w:rFonts w:hint="eastAsia"/>
                <w:color w:val="000000" w:themeColor="text1"/>
                <w:sz w:val="24"/>
                <w14:textFill>
                  <w14:solidFill>
                    <w14:schemeClr w14:val="tx1"/>
                  </w14:solidFill>
                </w14:textFill>
              </w:rPr>
              <w:t>产</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日期</w:t>
            </w:r>
          </w:p>
        </w:tc>
        <w:tc>
          <w:tcPr>
            <w:tcW w:w="1288" w:type="pct"/>
            <w:gridSpan w:val="2"/>
            <w:vAlign w:val="center"/>
          </w:tcPr>
          <w:p>
            <w:pPr>
              <w:jc w:val="center"/>
              <w:rPr>
                <w:rFonts w:hint="default" w:eastAsia="楷体_GB2312"/>
                <w:color w:val="000000" w:themeColor="text1"/>
                <w:sz w:val="24"/>
                <w:lang w:val="en-US" w:eastAsia="zh-CN"/>
                <w14:textFill>
                  <w14:solidFill>
                    <w14:schemeClr w14:val="tx1"/>
                  </w14:solidFill>
                </w14:textFill>
              </w:rPr>
            </w:pPr>
            <w:r>
              <w:rPr>
                <w:rFonts w:hint="eastAsia" w:eastAsia="楷体_GB2312"/>
                <w:color w:val="000000" w:themeColor="text1"/>
                <w:sz w:val="24"/>
                <w:lang w:val="en-US" w:eastAsia="zh-CN"/>
                <w14:textFill>
                  <w14:solidFill>
                    <w14:schemeClr w14:val="tx1"/>
                  </w14:solidFill>
                </w14:textFill>
              </w:rPr>
              <w:t>2022年4月</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gridSpan w:val="6"/>
            <w:vAlign w:val="center"/>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工程内容及规模：</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1、项目由来</w:t>
            </w:r>
          </w:p>
          <w:p>
            <w:pPr>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GB"/>
                <w14:textFill>
                  <w14:solidFill>
                    <w14:schemeClr w14:val="tx1"/>
                  </w14:solidFill>
                </w14:textFill>
              </w:rPr>
              <w:t>“柴达木盆地阿拉尔—苏干湖地区铀矿资源调查评价与勘查”</w:t>
            </w:r>
            <w:r>
              <w:rPr>
                <w:rFonts w:hint="eastAsia"/>
                <w:color w:val="000000" w:themeColor="text1"/>
                <w:sz w:val="24"/>
                <w:szCs w:val="24"/>
                <w:lang w:eastAsia="zh-CN"/>
                <w14:textFill>
                  <w14:solidFill>
                    <w14:schemeClr w14:val="tx1"/>
                  </w14:solidFill>
                </w14:textFill>
              </w:rPr>
              <w:t>由中国核工业地质局下达并管理，</w:t>
            </w:r>
            <w:r>
              <w:rPr>
                <w:rFonts w:hint="eastAsia"/>
                <w:color w:val="000000" w:themeColor="text1"/>
                <w:sz w:val="24"/>
                <w14:textFill>
                  <w14:solidFill>
                    <w14:schemeClr w14:val="tx1"/>
                  </w14:solidFill>
                </w14:textFill>
              </w:rPr>
              <w:t>承担单位为核工业二</w:t>
            </w:r>
            <w:r>
              <w:rPr>
                <w:rFonts w:hint="eastAsia"/>
                <w:color w:val="000000" w:themeColor="text1"/>
                <w:sz w:val="24"/>
                <w:szCs w:val="24"/>
                <w:lang w:val="en-US" w:eastAsia="zh-CN"/>
                <w14:textFill>
                  <w14:solidFill>
                    <w14:schemeClr w14:val="tx1"/>
                  </w14:solidFill>
                </w14:textFill>
              </w:rPr>
              <w:t>〇</w:t>
            </w:r>
            <w:r>
              <w:rPr>
                <w:rFonts w:hint="eastAsia"/>
                <w:color w:val="000000" w:themeColor="text1"/>
                <w:sz w:val="24"/>
                <w14:textFill>
                  <w14:solidFill>
                    <w14:schemeClr w14:val="tx1"/>
                  </w14:solidFill>
                </w14:textFill>
              </w:rPr>
              <w:t>三研究所</w:t>
            </w:r>
            <w:r>
              <w:rPr>
                <w:rFonts w:hint="eastAsia"/>
                <w:color w:val="000000" w:themeColor="text1"/>
                <w:sz w:val="24"/>
                <w:lang w:val="en-US" w:eastAsia="zh-CN"/>
                <w14:textFill>
                  <w14:solidFill>
                    <w14:schemeClr w14:val="tx1"/>
                  </w14:solidFill>
                </w14:textFill>
              </w:rPr>
              <w:t>和</w:t>
            </w:r>
            <w:r>
              <w:rPr>
                <w:rFonts w:hint="eastAsia"/>
                <w:bCs/>
                <w:color w:val="000000" w:themeColor="text1"/>
                <w:sz w:val="24"/>
                <w:szCs w:val="20"/>
                <w14:textFill>
                  <w14:solidFill>
                    <w14:schemeClr w14:val="tx1"/>
                  </w14:solidFill>
                </w14:textFill>
              </w:rPr>
              <w:t>核工业北京地质研究院</w:t>
            </w:r>
            <w:r>
              <w:rPr>
                <w:rFonts w:hint="eastAsia"/>
                <w:bCs/>
                <w:color w:val="000000" w:themeColor="text1"/>
                <w:sz w:val="24"/>
                <w:szCs w:val="20"/>
                <w:lang w:eastAsia="zh-CN"/>
                <w14:textFill>
                  <w14:solidFill>
                    <w14:schemeClr w14:val="tx1"/>
                  </w14:solidFill>
                </w14:textFill>
              </w:rPr>
              <w:t>，</w:t>
            </w:r>
            <w:r>
              <w:rPr>
                <w:rFonts w:hint="eastAsia"/>
                <w:color w:val="000000" w:themeColor="text1"/>
                <w:sz w:val="24"/>
                <w14:textFill>
                  <w14:solidFill>
                    <w14:schemeClr w14:val="tx1"/>
                  </w14:solidFill>
                </w14:textFill>
              </w:rPr>
              <w:t>工作性质为区域评价－勘查，工作</w:t>
            </w:r>
            <w:r>
              <w:rPr>
                <w:rFonts w:hint="eastAsia"/>
                <w:color w:val="000000" w:themeColor="text1"/>
                <w:sz w:val="24"/>
                <w:lang w:val="en-US" w:eastAsia="zh-CN"/>
                <w14:textFill>
                  <w14:solidFill>
                    <w14:schemeClr w14:val="tx1"/>
                  </w14:solidFill>
                </w14:textFill>
              </w:rPr>
              <w:t>周期</w:t>
            </w:r>
            <w:r>
              <w:rPr>
                <w:rFonts w:hint="eastAsia"/>
                <w:color w:val="000000" w:themeColor="text1"/>
                <w:sz w:val="24"/>
                <w14:textFill>
                  <w14:solidFill>
                    <w14:schemeClr w14:val="tx1"/>
                  </w14:solidFill>
                </w14:textFill>
              </w:rPr>
              <w:t>5年（2022-2026年）</w:t>
            </w:r>
            <w:r>
              <w:rPr>
                <w:rFonts w:hint="eastAsia"/>
                <w:color w:val="000000" w:themeColor="text1"/>
                <w:sz w:val="24"/>
                <w:lang w:eastAsia="zh-CN"/>
                <w14:textFill>
                  <w14:solidFill>
                    <w14:schemeClr w14:val="tx1"/>
                  </w14:solidFill>
                </w14:textFill>
              </w:rPr>
              <w:t>，</w:t>
            </w:r>
            <w:r>
              <w:rPr>
                <w:rFonts w:hint="eastAsia" w:ascii="宋体" w:hAnsi="宋体" w:eastAsia="宋体" w:cs="宋体"/>
                <w:color w:val="000000" w:themeColor="text1"/>
                <w:sz w:val="24"/>
                <w:szCs w:val="24"/>
                <w:lang w:val="en-US" w:eastAsia="zh-CN"/>
                <w14:textFill>
                  <w14:solidFill>
                    <w14:schemeClr w14:val="tx1"/>
                  </w14:solidFill>
                </w14:textFill>
              </w:rPr>
              <w:t>项目实施主体为</w:t>
            </w:r>
            <w:r>
              <w:rPr>
                <w:rFonts w:hint="eastAsia"/>
                <w:color w:val="000000" w:themeColor="text1"/>
                <w:sz w:val="24"/>
                <w:szCs w:val="24"/>
                <w:lang w:eastAsia="zh-CN"/>
                <w14:textFill>
                  <w14:solidFill>
                    <w14:schemeClr w14:val="tx1"/>
                  </w14:solidFill>
                </w14:textFill>
              </w:rPr>
              <w:t>核工业二</w:t>
            </w:r>
            <w:r>
              <w:rPr>
                <w:rFonts w:hint="eastAsia"/>
                <w:color w:val="000000" w:themeColor="text1"/>
                <w:sz w:val="24"/>
                <w:szCs w:val="24"/>
                <w:lang w:val="en-US" w:eastAsia="zh-CN"/>
                <w14:textFill>
                  <w14:solidFill>
                    <w14:schemeClr w14:val="tx1"/>
                  </w14:solidFill>
                </w14:textFill>
              </w:rPr>
              <w:t>〇三研究所</w:t>
            </w:r>
            <w:r>
              <w:rPr>
                <w:rFonts w:hint="eastAsia" w:ascii="宋体" w:hAnsi="宋体" w:eastAsia="宋体" w:cs="宋体"/>
                <w:color w:val="000000" w:themeColor="text1"/>
                <w:sz w:val="24"/>
                <w:szCs w:val="24"/>
                <w:lang w:val="en-US" w:eastAsia="zh-CN"/>
                <w14:textFill>
                  <w14:solidFill>
                    <w14:schemeClr w14:val="tx1"/>
                  </w14:solidFill>
                </w14:textFill>
              </w:rPr>
              <w:t>。</w:t>
            </w:r>
          </w:p>
          <w:p>
            <w:pPr>
              <w:spacing w:line="360" w:lineRule="auto"/>
              <w:ind w:firstLine="480" w:firstLineChars="200"/>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cs="Times New Roman"/>
                <w:color w:val="000000" w:themeColor="text1"/>
                <w:sz w:val="24"/>
                <w:szCs w:val="24"/>
                <w:lang w:eastAsia="zh-CN"/>
                <w14:textFill>
                  <w14:solidFill>
                    <w14:schemeClr w14:val="tx1"/>
                  </w14:solidFill>
                </w14:textFill>
              </w:rPr>
              <w:t>核工业二</w:t>
            </w:r>
            <w:r>
              <w:rPr>
                <w:rFonts w:hint="eastAsia"/>
                <w:color w:val="000000" w:themeColor="text1"/>
                <w:sz w:val="24"/>
                <w:szCs w:val="24"/>
                <w:lang w:val="en-US" w:eastAsia="zh-CN"/>
                <w14:textFill>
                  <w14:solidFill>
                    <w14:schemeClr w14:val="tx1"/>
                  </w14:solidFill>
                </w14:textFill>
              </w:rPr>
              <w:t>〇</w:t>
            </w:r>
            <w:r>
              <w:rPr>
                <w:rFonts w:ascii="Times New Roman" w:hAnsi="Times New Roman" w:cs="Times New Roman"/>
                <w:color w:val="000000" w:themeColor="text1"/>
                <w:sz w:val="24"/>
                <w:szCs w:val="24"/>
                <w:lang w:eastAsia="zh-CN"/>
                <w14:textFill>
                  <w14:solidFill>
                    <w14:schemeClr w14:val="tx1"/>
                  </w14:solidFill>
                </w14:textFill>
              </w:rPr>
              <w:t>三研究所成立于1974年9月，是隶属于中国核工业集团有限公司中国铀业有限公司的综合性核地勘队伍</w:t>
            </w:r>
            <w:r>
              <w:rPr>
                <w:rFonts w:hint="eastAsia"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主要承担中国西北地区</w:t>
            </w:r>
            <w:r>
              <w:rPr>
                <w:rFonts w:hint="eastAsia" w:ascii="Times New Roman" w:hAnsi="Times New Roman" w:cs="Times New Roman"/>
                <w:color w:val="000000" w:themeColor="text1"/>
                <w:sz w:val="24"/>
                <w:szCs w:val="24"/>
                <w:lang w:eastAsia="zh-CN"/>
                <w14:textFill>
                  <w14:solidFill>
                    <w14:schemeClr w14:val="tx1"/>
                  </w14:solidFill>
                </w14:textFill>
              </w:rPr>
              <w:t>铀矿</w:t>
            </w:r>
            <w:r>
              <w:rPr>
                <w:rFonts w:ascii="Times New Roman" w:hAnsi="Times New Roman" w:cs="Times New Roman"/>
                <w:color w:val="000000" w:themeColor="text1"/>
                <w:sz w:val="24"/>
                <w:szCs w:val="24"/>
                <w:lang w:eastAsia="zh-CN"/>
                <w14:textFill>
                  <w14:solidFill>
                    <w14:schemeClr w14:val="tx1"/>
                  </w14:solidFill>
                </w14:textFill>
              </w:rPr>
              <w:t>地质勘查与研究、资源量提交、放射性环境评价及放射性分析测试等国家战略任务，</w:t>
            </w:r>
            <w:r>
              <w:rPr>
                <w:rFonts w:hint="eastAsia" w:ascii="Times New Roman" w:hAnsi="Times New Roman" w:cs="Times New Roman"/>
                <w:color w:val="000000" w:themeColor="text1"/>
                <w:sz w:val="24"/>
                <w:szCs w:val="24"/>
                <w:lang w:val="en-US" w:eastAsia="zh-CN"/>
                <w14:textFill>
                  <w14:solidFill>
                    <w14:schemeClr w14:val="tx1"/>
                  </w14:solidFill>
                </w14:textFill>
              </w:rPr>
              <w:t>勘查</w:t>
            </w:r>
            <w:r>
              <w:rPr>
                <w:rFonts w:hint="eastAsia" w:cs="Times New Roman"/>
                <w:color w:val="000000" w:themeColor="text1"/>
                <w:sz w:val="24"/>
                <w:szCs w:val="24"/>
                <w:lang w:val="en-US" w:eastAsia="zh-CN"/>
                <w14:textFill>
                  <w14:solidFill>
                    <w14:schemeClr w14:val="tx1"/>
                  </w14:solidFill>
                </w14:textFill>
              </w:rPr>
              <w:t>区</w:t>
            </w:r>
            <w:r>
              <w:rPr>
                <w:rFonts w:ascii="Times New Roman" w:hAnsi="Times New Roman" w:cs="Times New Roman"/>
                <w:color w:val="000000" w:themeColor="text1"/>
                <w:sz w:val="24"/>
                <w:szCs w:val="24"/>
                <w:lang w:eastAsia="zh-CN"/>
                <w14:textFill>
                  <w14:solidFill>
                    <w14:schemeClr w14:val="tx1"/>
                  </w14:solidFill>
                </w14:textFill>
              </w:rPr>
              <w:t>跨新疆、内蒙、甘肃、宁夏、青海、陕西、山西等七省区。研究所在开展</w:t>
            </w:r>
            <w:r>
              <w:rPr>
                <w:rFonts w:hint="eastAsia" w:ascii="Times New Roman" w:hAnsi="Times New Roman" w:cs="Times New Roman"/>
                <w:color w:val="000000" w:themeColor="text1"/>
                <w:sz w:val="24"/>
                <w:szCs w:val="24"/>
                <w:lang w:eastAsia="zh-CN"/>
                <w14:textFill>
                  <w14:solidFill>
                    <w14:schemeClr w14:val="tx1"/>
                  </w14:solidFill>
                </w14:textFill>
              </w:rPr>
              <w:t>铀矿</w:t>
            </w:r>
            <w:r>
              <w:rPr>
                <w:rFonts w:ascii="Times New Roman" w:hAnsi="Times New Roman" w:cs="Times New Roman"/>
                <w:color w:val="000000" w:themeColor="text1"/>
                <w:sz w:val="24"/>
                <w:szCs w:val="24"/>
                <w:lang w:eastAsia="zh-CN"/>
                <w14:textFill>
                  <w14:solidFill>
                    <w14:schemeClr w14:val="tx1"/>
                  </w14:solidFill>
                </w14:textFill>
              </w:rPr>
              <w:t>勘查的同时，积极开展金属与非</w:t>
            </w:r>
            <w:r>
              <w:rPr>
                <w:rFonts w:hint="eastAsia" w:ascii="Times New Roman" w:hAnsi="Times New Roman" w:cs="Times New Roman"/>
                <w:color w:val="000000" w:themeColor="text1"/>
                <w:sz w:val="24"/>
                <w:szCs w:val="24"/>
                <w:lang w:eastAsia="zh-CN"/>
                <w14:textFill>
                  <w14:solidFill>
                    <w14:schemeClr w14:val="tx1"/>
                  </w14:solidFill>
                </w14:textFill>
              </w:rPr>
              <w:t>铀</w:t>
            </w:r>
            <w:r>
              <w:rPr>
                <w:rFonts w:ascii="Times New Roman" w:hAnsi="Times New Roman" w:cs="Times New Roman"/>
                <w:color w:val="000000" w:themeColor="text1"/>
                <w:sz w:val="24"/>
                <w:szCs w:val="24"/>
                <w:lang w:eastAsia="zh-CN"/>
                <w14:textFill>
                  <w14:solidFill>
                    <w14:schemeClr w14:val="tx1"/>
                  </w14:solidFill>
                </w14:textFill>
              </w:rPr>
              <w:t>资源找矿勘查与评价、地质灾害调查与治理、工程勘察及施工、分析测试、环境评价及环保工程、数字制图与彩色印刷、电子产品研发与生产等市场经营业务，经济规模和效益持续提升。先后获国家科技进步二等奖3项，省部级科技进步一、二等奖170余项；获陕西省高新技术企业，2011年至今获全国文明单位称号。</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w:t>
            </w:r>
            <w:r>
              <w:rPr>
                <w:rFonts w:hint="eastAsia"/>
                <w:color w:val="000000" w:themeColor="text1"/>
                <w:sz w:val="24"/>
                <w14:textFill>
                  <w14:solidFill>
                    <w14:schemeClr w14:val="tx1"/>
                  </w14:solidFill>
                </w14:textFill>
              </w:rPr>
              <w:t>工作</w:t>
            </w:r>
            <w:r>
              <w:rPr>
                <w:rFonts w:hint="eastAsia"/>
                <w:color w:val="000000" w:themeColor="text1"/>
                <w:sz w:val="24"/>
                <w:lang w:val="en-US" w:eastAsia="zh-CN"/>
                <w14:textFill>
                  <w14:solidFill>
                    <w14:schemeClr w14:val="tx1"/>
                  </w14:solidFill>
                </w14:textFill>
              </w:rPr>
              <w:t>时间</w:t>
            </w:r>
            <w:r>
              <w:rPr>
                <w:rFonts w:hint="eastAsia"/>
                <w:color w:val="000000" w:themeColor="text1"/>
                <w:sz w:val="24"/>
                <w14:textFill>
                  <w14:solidFill>
                    <w14:schemeClr w14:val="tx1"/>
                  </w14:solidFill>
                </w14:textFill>
              </w:rPr>
              <w:t>为2022-2026年，</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地跨青海</w:t>
            </w:r>
            <w:r>
              <w:rPr>
                <w:rFonts w:hint="eastAsia"/>
                <w:color w:val="000000" w:themeColor="text1"/>
                <w:sz w:val="24"/>
                <w:lang w:val="en-US" w:eastAsia="zh-CN"/>
                <w14:textFill>
                  <w14:solidFill>
                    <w14:schemeClr w14:val="tx1"/>
                  </w14:solidFill>
                </w14:textFill>
              </w:rPr>
              <w:t>省</w:t>
            </w:r>
            <w:r>
              <w:rPr>
                <w:rFonts w:hint="eastAsia"/>
                <w:color w:val="000000" w:themeColor="text1"/>
                <w:sz w:val="24"/>
                <w14:textFill>
                  <w14:solidFill>
                    <w14:schemeClr w14:val="tx1"/>
                  </w14:solidFill>
                </w14:textFill>
              </w:rPr>
              <w:t>海西蒙古族藏族自治州、甘肃</w:t>
            </w:r>
            <w:r>
              <w:rPr>
                <w:rFonts w:hint="eastAsia"/>
                <w:color w:val="000000" w:themeColor="text1"/>
                <w:sz w:val="24"/>
                <w:lang w:val="en-US" w:eastAsia="zh-CN"/>
                <w14:textFill>
                  <w14:solidFill>
                    <w14:schemeClr w14:val="tx1"/>
                  </w14:solidFill>
                </w14:textFill>
              </w:rPr>
              <w:t>省酒泉市</w:t>
            </w:r>
            <w:r>
              <w:rPr>
                <w:rFonts w:hint="eastAsia"/>
                <w:color w:val="000000" w:themeColor="text1"/>
                <w:sz w:val="24"/>
                <w14:textFill>
                  <w14:solidFill>
                    <w14:schemeClr w14:val="tx1"/>
                  </w14:solidFill>
                </w14:textFill>
              </w:rPr>
              <w:t>阿克塞哈萨克族自治县、新疆维吾尔自治区若羌县三大行政区域。</w:t>
            </w:r>
            <w:r>
              <w:rPr>
                <w:rFonts w:hint="eastAsia"/>
                <w:color w:val="000000" w:themeColor="text1"/>
                <w:sz w:val="24"/>
                <w:lang w:val="en-US" w:eastAsia="zh-CN"/>
                <w14:textFill>
                  <w14:solidFill>
                    <w14:schemeClr w14:val="tx1"/>
                  </w14:solidFill>
                </w14:textFill>
              </w:rPr>
              <w:t>2022年</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工作量28</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ascii="Times New Roman" w:hAnsi="Times New Roman" w:cs="Times New Roman"/>
                <w:b w:val="0"/>
                <w:bCs w:val="0"/>
                <w:color w:val="000000" w:themeColor="text1"/>
                <w:sz w:val="24"/>
                <w:lang w:val="en-US" w:eastAsia="zh-CN"/>
                <w14:textFill>
                  <w14:solidFill>
                    <w14:schemeClr w14:val="tx1"/>
                  </w14:solidFill>
                </w14:textFill>
              </w:rPr>
              <w:t>46</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ascii="Times New Roman" w:hAnsi="Times New Roman" w:cs="Times New Roman"/>
                <w:b w:val="0"/>
                <w:bCs w:val="0"/>
                <w:color w:val="000000" w:themeColor="text1"/>
                <w:sz w:val="24"/>
                <w:lang w:eastAsia="zh-CN"/>
                <w14:textFill>
                  <w14:solidFill>
                    <w14:schemeClr w14:val="tx1"/>
                  </w14:solidFill>
                </w14:textFill>
              </w:rPr>
              <w:t>。</w:t>
            </w:r>
            <w:r>
              <w:rPr>
                <w:rFonts w:hint="eastAsia" w:ascii="Times New Roman" w:hAnsi="Times New Roman" w:cs="Times New Roman"/>
                <w:b w:val="0"/>
                <w:bCs w:val="0"/>
                <w:color w:val="000000" w:themeColor="text1"/>
                <w:sz w:val="24"/>
                <w:lang w:val="en-US" w:eastAsia="zh-CN"/>
                <w14:textFill>
                  <w14:solidFill>
                    <w14:schemeClr w14:val="tx1"/>
                  </w14:solidFill>
                </w14:textFill>
              </w:rPr>
              <w:t>2023-2026年</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预估钻探工作量</w:t>
            </w:r>
            <w:r>
              <w:rPr>
                <w:rFonts w:hint="eastAsia" w:cs="Times New Roman"/>
                <w:b w:val="0"/>
                <w:bCs w:val="0"/>
                <w:color w:val="000000" w:themeColor="text1"/>
                <w:kern w:val="2"/>
                <w:sz w:val="24"/>
                <w:szCs w:val="24"/>
                <w:lang w:val="en-US" w:eastAsia="zh-CN" w:bidi="ar-SA"/>
                <w14:textFill>
                  <w14:solidFill>
                    <w14:schemeClr w14:val="tx1"/>
                  </w14:solidFill>
                </w14:textFill>
              </w:rPr>
              <w:t>148000</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m，</w:t>
            </w:r>
            <w:r>
              <w:rPr>
                <w:rFonts w:hint="eastAsia" w:cs="Times New Roman"/>
                <w:b w:val="0"/>
                <w:bCs w:val="0"/>
                <w:color w:val="000000" w:themeColor="text1"/>
                <w:kern w:val="2"/>
                <w:sz w:val="24"/>
                <w:szCs w:val="24"/>
                <w:lang w:val="en-US" w:eastAsia="zh-CN" w:bidi="ar-SA"/>
                <w14:textFill>
                  <w14:solidFill>
                    <w14:schemeClr w14:val="tx1"/>
                  </w14:solidFill>
                </w14:textFill>
              </w:rPr>
              <w:t>拟设钻孔238个</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w:t>
            </w:r>
            <w:r>
              <w:rPr>
                <w:rFonts w:hint="eastAsia"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eastAsia"/>
                <w:color w:val="000000" w:themeColor="text1"/>
                <w:sz w:val="24"/>
                <w:lang w:val="en-US" w:eastAsia="zh-CN"/>
                <w14:textFill>
                  <w14:solidFill>
                    <w14:schemeClr w14:val="tx1"/>
                  </w14:solidFill>
                </w14:textFill>
              </w:rPr>
              <w:t>青海省、甘肃省及新疆维吾尔自治区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eastAsia" w:ascii="Times New Roman" w:hAnsi="Times New Roman" w:cs="Times New Roman"/>
                <w:color w:val="000000" w:themeColor="text1"/>
                <w:kern w:val="2"/>
                <w:sz w:val="24"/>
                <w:szCs w:val="24"/>
                <w:lang w:eastAsia="zh-CN" w:bidi="ar-SA"/>
                <w14:textFill>
                  <w14:solidFill>
                    <w14:schemeClr w14:val="tx1"/>
                  </w14:solidFill>
                </w14:textFill>
              </w:rPr>
              <w:t>。</w:t>
            </w:r>
            <w:r>
              <w:rPr>
                <w:rFonts w:hint="eastAsia"/>
                <w:color w:val="000000" w:themeColor="text1"/>
                <w:sz w:val="24"/>
                <w:lang w:eastAsia="zh-CN"/>
                <w14:textFill>
                  <w14:solidFill>
                    <w14:schemeClr w14:val="tx1"/>
                  </w14:solidFill>
                </w14:textFill>
              </w:rPr>
              <w:t>同时评价要求勘查过程中调整的钻孔以及2023-2026年拟布设的钻孔选址应对禁止开发区域的环境敏感区及生态红线进行避让，钻孔位置明确后及时向审批部门及属地监管部门进行报备</w:t>
            </w:r>
            <w:r>
              <w:rPr>
                <w:rFonts w:hint="default" w:ascii="Times New Roman" w:hAnsi="Times New Roman" w:cs="Times New Roman"/>
                <w:color w:val="000000" w:themeColor="text1"/>
                <w:kern w:val="2"/>
                <w:sz w:val="24"/>
                <w:szCs w:val="24"/>
                <w:lang w:eastAsia="zh-CN" w:bidi="ar-SA"/>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拟布设的钻孔与勘查区内环境敏感区的位置关系详见第</w:t>
            </w:r>
            <w:r>
              <w:rPr>
                <w:rFonts w:hint="eastAsia" w:ascii="Times New Roman" w:hAnsi="Times New Roman" w:eastAsia="宋体" w:cs="Times New Roman"/>
                <w:color w:val="000000" w:themeColor="text1"/>
                <w:kern w:val="0"/>
                <w:sz w:val="24"/>
                <w:lang w:val="en-US" w:eastAsia="zh-CN"/>
                <w14:textFill>
                  <w14:solidFill>
                    <w14:schemeClr w14:val="tx1"/>
                  </w14:solidFill>
                </w14:textFill>
              </w:rPr>
              <w:t>五</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章表5-</w:t>
            </w:r>
            <w:r>
              <w:rPr>
                <w:rFonts w:hint="eastAsia" w:cs="Times New Roman"/>
                <w:color w:val="000000" w:themeColor="text1"/>
                <w:kern w:val="0"/>
                <w:sz w:val="24"/>
                <w:lang w:val="en-US" w:eastAsia="zh-CN"/>
                <w14:textFill>
                  <w14:solidFill>
                    <w14:schemeClr w14:val="tx1"/>
                  </w14:solidFill>
                </w14:textFill>
              </w:rPr>
              <w:t>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w:t>
            </w:r>
          </w:p>
          <w:p>
            <w:pPr>
              <w:spacing w:line="360" w:lineRule="auto"/>
              <w:ind w:firstLine="480" w:firstLineChars="200"/>
              <w:rPr>
                <w:rFonts w:ascii="Times New Roman" w:hAnsi="Times New Roman" w:cs="Times New Roman"/>
                <w:color w:val="000000" w:themeColor="text1"/>
                <w:sz w:val="24"/>
                <w:szCs w:val="24"/>
                <w14:textFill>
                  <w14:solidFill>
                    <w14:schemeClr w14:val="tx1"/>
                  </w14:solidFill>
                </w14:textFill>
              </w:rPr>
            </w:pPr>
            <w:r>
              <w:rPr>
                <w:rFonts w:hint="eastAsia"/>
                <w:color w:val="000000" w:themeColor="text1"/>
                <w:sz w:val="24"/>
                <w14:textFill>
                  <w14:solidFill>
                    <w14:schemeClr w14:val="tx1"/>
                  </w14:solidFill>
                </w14:textFill>
              </w:rPr>
              <w:t>根据《中华人民共和国环境影响评价法》、《建设项目环境影响评价分类管理名录》（2</w:t>
            </w:r>
            <w:r>
              <w:rPr>
                <w:color w:val="000000" w:themeColor="text1"/>
                <w:sz w:val="24"/>
                <w14:textFill>
                  <w14:solidFill>
                    <w14:schemeClr w14:val="tx1"/>
                  </w14:solidFill>
                </w14:textFill>
              </w:rPr>
              <w:t>0</w:t>
            </w:r>
            <w:r>
              <w:rPr>
                <w:rFonts w:hint="eastAsia"/>
                <w:color w:val="000000" w:themeColor="text1"/>
                <w:sz w:val="24"/>
                <w14:textFill>
                  <w14:solidFill>
                    <w14:schemeClr w14:val="tx1"/>
                  </w14:solidFill>
                </w14:textFill>
              </w:rPr>
              <w:t>21）</w:t>
            </w:r>
            <w:r>
              <w:rPr>
                <w:color w:val="000000" w:themeColor="text1"/>
                <w:sz w:val="24"/>
                <w:lang w:val="en-GB"/>
                <w14:textFill>
                  <w14:solidFill>
                    <w14:schemeClr w14:val="tx1"/>
                  </w14:solidFill>
                </w14:textFill>
              </w:rPr>
              <w:t>的有关规定</w:t>
            </w:r>
            <w:r>
              <w:rPr>
                <w:rFonts w:hint="eastAsia"/>
                <w:color w:val="000000" w:themeColor="text1"/>
                <w:sz w:val="24"/>
                <w14:textFill>
                  <w14:solidFill>
                    <w14:schemeClr w14:val="tx1"/>
                  </w14:solidFill>
                </w14:textFill>
              </w:rPr>
              <w:t>，</w:t>
            </w:r>
            <w:r>
              <w:rPr>
                <w:rFonts w:ascii="Times New Roman" w:hAnsi="Times New Roman" w:cs="Times New Roman"/>
                <w:color w:val="000000" w:themeColor="text1"/>
                <w:sz w:val="24"/>
                <w:szCs w:val="24"/>
                <w14:textFill>
                  <w14:solidFill>
                    <w14:schemeClr w14:val="tx1"/>
                  </w14:solidFill>
                </w14:textFill>
              </w:rPr>
              <w:t>该铀矿勘查项目需开展环境影响评价，并</w:t>
            </w:r>
            <w:r>
              <w:rPr>
                <w:rFonts w:hint="eastAsia" w:ascii="Times New Roman" w:hAnsi="Times New Roman" w:cs="Times New Roman"/>
                <w:color w:val="000000" w:themeColor="text1"/>
                <w:sz w:val="24"/>
                <w:szCs w:val="24"/>
                <w:lang w:val="en-US" w:eastAsia="zh-CN"/>
                <w14:textFill>
                  <w14:solidFill>
                    <w14:schemeClr w14:val="tx1"/>
                  </w14:solidFill>
                </w14:textFill>
              </w:rPr>
              <w:t>应</w:t>
            </w:r>
            <w:r>
              <w:rPr>
                <w:rFonts w:ascii="Times New Roman" w:hAnsi="Times New Roman" w:cs="Times New Roman"/>
                <w:color w:val="000000" w:themeColor="text1"/>
                <w:sz w:val="24"/>
                <w:szCs w:val="24"/>
                <w14:textFill>
                  <w14:solidFill>
                    <w14:schemeClr w14:val="tx1"/>
                  </w14:solidFill>
                </w14:textFill>
              </w:rPr>
              <w:t>编制环境影响报告表。</w:t>
            </w:r>
            <w:r>
              <w:rPr>
                <w:rFonts w:hint="eastAsia" w:ascii="Times New Roman" w:hAnsi="Times New Roman" w:cs="Times New Roman"/>
                <w:color w:val="000000" w:themeColor="text1"/>
                <w:sz w:val="24"/>
                <w:szCs w:val="24"/>
                <w:lang w:eastAsia="zh-CN"/>
                <w14:textFill>
                  <w14:solidFill>
                    <w14:schemeClr w14:val="tx1"/>
                  </w14:solidFill>
                </w14:textFill>
              </w:rPr>
              <w:t>为此，我所对该项目进行环境影响评价工作。</w:t>
            </w:r>
          </w:p>
          <w:p>
            <w:pPr>
              <w:spacing w:line="360" w:lineRule="auto"/>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2、分析判定相关情况</w:t>
            </w:r>
          </w:p>
          <w:p>
            <w:pPr>
              <w:spacing w:line="360" w:lineRule="auto"/>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2.</w:t>
            </w:r>
            <w:r>
              <w:rPr>
                <w:rFonts w:hint="eastAsia"/>
                <w:b/>
                <w:bCs/>
                <w:color w:val="000000" w:themeColor="text1"/>
                <w:sz w:val="24"/>
                <w:lang w:val="en-US" w:eastAsia="zh-CN"/>
                <w14:textFill>
                  <w14:solidFill>
                    <w14:schemeClr w14:val="tx1"/>
                  </w14:solidFill>
                </w14:textFill>
              </w:rPr>
              <w:t>1</w:t>
            </w:r>
            <w:r>
              <w:rPr>
                <w:b/>
                <w:bCs/>
                <w:color w:val="000000" w:themeColor="text1"/>
                <w:sz w:val="24"/>
                <w14:textFill>
                  <w14:solidFill>
                    <w14:schemeClr w14:val="tx1"/>
                  </w14:solidFill>
                </w14:textFill>
              </w:rPr>
              <w:t>产业政策符合性分析</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本项目未列入</w:t>
            </w:r>
            <w:r>
              <w:rPr>
                <w:rFonts w:hint="eastAsia"/>
                <w:color w:val="000000" w:themeColor="text1"/>
                <w:sz w:val="24"/>
                <w:lang w:val="en-GB"/>
                <w14:textFill>
                  <w14:solidFill>
                    <w14:schemeClr w14:val="tx1"/>
                  </w14:solidFill>
                </w14:textFill>
              </w:rPr>
              <w:t>《</w:t>
            </w:r>
            <w:r>
              <w:rPr>
                <w:rFonts w:hint="eastAsia"/>
                <w:color w:val="000000" w:themeColor="text1"/>
                <w:sz w:val="24"/>
                <w14:textFill>
                  <w14:solidFill>
                    <w14:schemeClr w14:val="tx1"/>
                  </w14:solidFill>
                </w14:textFill>
              </w:rPr>
              <w:t>青海省</w:t>
            </w:r>
            <w:r>
              <w:rPr>
                <w:rFonts w:hint="eastAsia"/>
                <w:color w:val="000000" w:themeColor="text1"/>
                <w:sz w:val="24"/>
                <w:lang w:val="en-GB"/>
                <w14:textFill>
                  <w14:solidFill>
                    <w14:schemeClr w14:val="tx1"/>
                  </w14:solidFill>
                </w14:textFill>
              </w:rPr>
              <w:t>国家重点生态功能区产业准入负面清单（试行）》、《甘肃省国家重点生态功能区产业准入负面清单（试行）》、《新疆维吾尔自治区28个国家重点生态功能区县(市)产业准入负面清单（试行）》</w:t>
            </w:r>
            <w:r>
              <w:rPr>
                <w:rFonts w:hint="eastAsia"/>
                <w:color w:val="000000" w:themeColor="text1"/>
                <w:sz w:val="24"/>
                <w14:textFill>
                  <w14:solidFill>
                    <w14:schemeClr w14:val="tx1"/>
                  </w14:solidFill>
                </w14:textFill>
              </w:rPr>
              <w:t>以及《新疆维吾尔自治区17个新增纳入国家重点生态功能区县(市)产业准入负面清单（试行）》</w:t>
            </w:r>
            <w:r>
              <w:rPr>
                <w:rFonts w:hint="eastAsia"/>
                <w:color w:val="000000" w:themeColor="text1"/>
                <w:sz w:val="24"/>
                <w:lang w:val="en-US" w:eastAsia="zh-CN"/>
                <w14:textFill>
                  <w14:solidFill>
                    <w14:schemeClr w14:val="tx1"/>
                  </w14:solidFill>
                </w14:textFill>
              </w:rPr>
              <w:t>内</w:t>
            </w:r>
            <w:r>
              <w:rPr>
                <w:rFonts w:hint="eastAsia"/>
                <w:color w:val="000000" w:themeColor="text1"/>
                <w:sz w:val="24"/>
                <w:lang w:val="en-GB"/>
                <w14:textFill>
                  <w14:solidFill>
                    <w14:schemeClr w14:val="tx1"/>
                  </w14:solidFill>
                </w14:textFill>
              </w:rPr>
              <w:t>。</w:t>
            </w:r>
          </w:p>
          <w:p>
            <w:pPr>
              <w:spacing w:line="360" w:lineRule="auto"/>
              <w:ind w:firstLine="480" w:firstLineChars="200"/>
              <w:rPr>
                <w:color w:val="000000" w:themeColor="text1"/>
                <w:sz w:val="24"/>
                <w:lang w:val="en-GB"/>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本项目</w:t>
            </w:r>
            <w:r>
              <w:rPr>
                <w:rFonts w:hint="eastAsia" w:cs="Times New Roman"/>
                <w:color w:val="000000" w:themeColor="text1"/>
                <w:sz w:val="24"/>
                <w:lang w:val="en-US" w:eastAsia="zh-CN"/>
                <w14:textFill>
                  <w14:solidFill>
                    <w14:schemeClr w14:val="tx1"/>
                  </w14:solidFill>
                </w14:textFill>
              </w:rPr>
              <w:t>属于</w:t>
            </w:r>
            <w:r>
              <w:rPr>
                <w:rFonts w:ascii="Times New Roman" w:hAnsi="Times New Roman" w:cs="Times New Roman"/>
                <w:color w:val="000000" w:themeColor="text1"/>
                <w:sz w:val="24"/>
                <w:lang w:eastAsia="zh-CN"/>
                <w14:textFill>
                  <w14:solidFill>
                    <w14:schemeClr w14:val="tx1"/>
                  </w14:solidFill>
                </w14:textFill>
              </w:rPr>
              <w:t>《产业结构调整指导目录（2019年本）》中“鼓励类”</w:t>
            </w:r>
            <w:r>
              <w:rPr>
                <w:rFonts w:hint="eastAsia" w:cs="Times New Roman"/>
                <w:color w:val="000000" w:themeColor="text1"/>
                <w:sz w:val="24"/>
                <w:lang w:eastAsia="zh-CN"/>
                <w14:textFill>
                  <w14:solidFill>
                    <w14:schemeClr w14:val="tx1"/>
                  </w14:solidFill>
                </w14:textFill>
              </w:rPr>
              <w:t>，</w:t>
            </w:r>
            <w:r>
              <w:rPr>
                <w:rFonts w:hint="eastAsia"/>
                <w:color w:val="000000" w:themeColor="text1"/>
                <w:sz w:val="24"/>
                <w:lang w:val="en-GB"/>
                <w14:textFill>
                  <w14:solidFill>
                    <w14:schemeClr w14:val="tx1"/>
                  </w14:solidFill>
                </w14:textFill>
              </w:rPr>
              <w:t>符合国家产业政策</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项目与产业政策相符性分析见表1-1</w:t>
            </w:r>
            <w:r>
              <w:rPr>
                <w:rFonts w:hint="eastAsia"/>
                <w:color w:val="000000" w:themeColor="text1"/>
                <w:sz w:val="24"/>
                <w:lang w:val="en-GB"/>
                <w14:textFill>
                  <w14:solidFill>
                    <w14:schemeClr w14:val="tx1"/>
                  </w14:solidFill>
                </w14:textFill>
              </w:rPr>
              <w:t>。</w:t>
            </w:r>
          </w:p>
          <w:p>
            <w:pPr>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表1-1  项目与产业政策相符性分析表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2479"/>
              <w:gridCol w:w="4073"/>
              <w:gridCol w:w="1745"/>
              <w:gridCol w:w="141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127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 称</w:t>
                  </w:r>
                </w:p>
              </w:tc>
              <w:tc>
                <w:tcPr>
                  <w:tcW w:w="209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相关内容</w:t>
                  </w:r>
                </w:p>
              </w:tc>
              <w:tc>
                <w:tcPr>
                  <w:tcW w:w="898"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项目情况</w:t>
                  </w:r>
                </w:p>
              </w:tc>
              <w:tc>
                <w:tcPr>
                  <w:tcW w:w="730"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127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《产业结构调整指导目录（2019年本）》</w:t>
                  </w:r>
                </w:p>
              </w:tc>
              <w:tc>
                <w:tcPr>
                  <w:tcW w:w="2096" w:type="pct"/>
                  <w:tcBorders>
                    <w:tl2br w:val="nil"/>
                    <w:tr2bl w:val="nil"/>
                  </w:tcBorders>
                  <w:tcMar>
                    <w:top w:w="15" w:type="dxa"/>
                    <w:left w:w="15" w:type="dxa"/>
                    <w:bottom w:w="0" w:type="dxa"/>
                    <w:right w:w="15" w:type="dxa"/>
                  </w:tcMar>
                  <w:vAlign w:val="center"/>
                </w:tcPr>
                <w:p>
                  <w:pPr>
                    <w:pStyle w:val="17"/>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鼓励类</w:t>
                  </w:r>
                  <w:r>
                    <w:rPr>
                      <w:rFonts w:hint="eastAsia" w:ascii="Times New Roman" w:hAnsi="Times New Roman" w:cs="Times New Roman"/>
                      <w:color w:val="000000" w:themeColor="text1"/>
                      <w:sz w:val="21"/>
                      <w:szCs w:val="21"/>
                      <w:lang w:val="en-US" w:eastAsia="zh-CN"/>
                      <w14:textFill>
                        <w14:solidFill>
                          <w14:schemeClr w14:val="tx1"/>
                        </w14:solidFill>
                      </w14:textFill>
                    </w:rPr>
                    <w:t>中“</w:t>
                  </w:r>
                  <w:r>
                    <w:rPr>
                      <w:rFonts w:ascii="Times New Roman" w:hAnsi="Times New Roman" w:cs="Times New Roman"/>
                      <w:color w:val="000000" w:themeColor="text1"/>
                      <w:sz w:val="21"/>
                      <w:szCs w:val="21"/>
                      <w14:textFill>
                        <w14:solidFill>
                          <w14:schemeClr w14:val="tx1"/>
                        </w14:solidFill>
                      </w14:textFill>
                    </w:rPr>
                    <w:t>六、核能</w:t>
                  </w:r>
                  <w:r>
                    <w:rPr>
                      <w:rFonts w:hint="eastAsia" w:ascii="Times New Roman" w:hAnsi="Times New Roman" w:cs="Times New Roman"/>
                      <w:color w:val="000000" w:themeColor="text1"/>
                      <w:sz w:val="21"/>
                      <w:szCs w:val="21"/>
                      <w14:textFill>
                        <w14:solidFill>
                          <w14:schemeClr w14:val="tx1"/>
                        </w14:solidFill>
                      </w14:textFill>
                    </w:rPr>
                    <w:t>，</w:t>
                  </w:r>
                  <w:r>
                    <w:rPr>
                      <w:rFonts w:ascii="Times New Roman" w:hAnsi="Times New Roman" w:cs="Times New Roman"/>
                      <w:color w:val="000000" w:themeColor="text1"/>
                      <w:sz w:val="21"/>
                      <w:szCs w:val="21"/>
                      <w14:textFill>
                        <w14:solidFill>
                          <w14:schemeClr w14:val="tx1"/>
                        </w14:solidFill>
                      </w14:textFill>
                    </w:rPr>
                    <w:t>1、铀矿地质勘查和铀矿采冶、铀精制、铀转化</w:t>
                  </w: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898" w:type="pct"/>
                  <w:tcBorders>
                    <w:tl2br w:val="nil"/>
                    <w:tr2bl w:val="nil"/>
                  </w:tcBorders>
                  <w:tcMar>
                    <w:top w:w="15" w:type="dxa"/>
                    <w:left w:w="15" w:type="dxa"/>
                    <w:bottom w:w="0" w:type="dxa"/>
                    <w:right w:w="15" w:type="dxa"/>
                  </w:tcMar>
                  <w:vAlign w:val="center"/>
                </w:tcPr>
                <w:p>
                  <w:pPr>
                    <w:pStyle w:val="17"/>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铀矿地质勘查</w:t>
                  </w:r>
                </w:p>
              </w:tc>
              <w:tc>
                <w:tcPr>
                  <w:tcW w:w="730"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属</w:t>
                  </w:r>
                  <w:r>
                    <w:rPr>
                      <w:color w:val="000000" w:themeColor="text1"/>
                      <w:szCs w:val="21"/>
                      <w14:textFill>
                        <w14:solidFill>
                          <w14:schemeClr w14:val="tx1"/>
                        </w14:solidFill>
                      </w14:textFill>
                    </w:rPr>
                    <w:t>鼓励类</w:t>
                  </w:r>
                </w:p>
              </w:tc>
            </w:tr>
          </w:tbl>
          <w:p>
            <w:pPr>
              <w:spacing w:line="360" w:lineRule="auto"/>
              <w:rPr>
                <w:b/>
                <w:bCs/>
                <w:color w:val="000000" w:themeColor="text1"/>
                <w:sz w:val="24"/>
                <w:lang w:val="en-GB"/>
                <w14:textFill>
                  <w14:solidFill>
                    <w14:schemeClr w14:val="tx1"/>
                  </w14:solidFill>
                </w14:textFill>
              </w:rPr>
            </w:pPr>
            <w:r>
              <w:rPr>
                <w:rFonts w:hint="eastAsia"/>
                <w:b/>
                <w:bCs/>
                <w:color w:val="000000" w:themeColor="text1"/>
                <w:sz w:val="24"/>
                <w14:textFill>
                  <w14:solidFill>
                    <w14:schemeClr w14:val="tx1"/>
                  </w14:solidFill>
                </w14:textFill>
              </w:rPr>
              <w:t>2.</w:t>
            </w: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lang w:val="en-GB"/>
                <w14:textFill>
                  <w14:solidFill>
                    <w14:schemeClr w14:val="tx1"/>
                  </w14:solidFill>
                </w14:textFill>
              </w:rPr>
              <w:t>与相关区划、规划符合性分析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域地跨</w:t>
            </w:r>
            <w:r>
              <w:rPr>
                <w:rFonts w:hint="eastAsia"/>
                <w:color w:val="000000" w:themeColor="text1"/>
                <w:sz w:val="24"/>
                <w:lang w:eastAsia="zh-CN"/>
                <w14:textFill>
                  <w14:solidFill>
                    <w14:schemeClr w14:val="tx1"/>
                  </w14:solidFill>
                </w14:textFill>
              </w:rPr>
              <w:t>青海省海西蒙古族藏族自治州</w:t>
            </w:r>
            <w:r>
              <w:rPr>
                <w:rFonts w:hint="eastAsia"/>
                <w:color w:val="000000" w:themeColor="text1"/>
                <w:sz w:val="24"/>
                <w14:textFill>
                  <w14:solidFill>
                    <w14:schemeClr w14:val="tx1"/>
                  </w14:solidFill>
                </w14:textFill>
              </w:rPr>
              <w:t>、</w:t>
            </w:r>
            <w:r>
              <w:rPr>
                <w:rFonts w:hint="eastAsia"/>
                <w:color w:val="000000" w:themeColor="text1"/>
                <w:sz w:val="24"/>
                <w:lang w:eastAsia="zh-CN"/>
                <w14:textFill>
                  <w14:solidFill>
                    <w14:schemeClr w14:val="tx1"/>
                  </w14:solidFill>
                </w14:textFill>
              </w:rPr>
              <w:t>甘肃省阿克塞哈萨克族自治县</w:t>
            </w:r>
            <w:r>
              <w:rPr>
                <w:rFonts w:hint="eastAsia"/>
                <w:color w:val="000000" w:themeColor="text1"/>
                <w:sz w:val="24"/>
                <w14:textFill>
                  <w14:solidFill>
                    <w14:schemeClr w14:val="tx1"/>
                  </w14:solidFill>
                </w14:textFill>
              </w:rPr>
              <w:t>、新疆维吾尔自治区若羌县三大行政区域，因此本次评价分区域进行相关规划符合性分析。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（1）与青海省</w:t>
            </w:r>
            <w:r>
              <w:rPr>
                <w:rFonts w:hint="eastAsia"/>
                <w:color w:val="000000" w:themeColor="text1"/>
                <w:sz w:val="24"/>
                <w:lang w:val="en-US" w:eastAsia="zh-CN"/>
                <w14:textFill>
                  <w14:solidFill>
                    <w14:schemeClr w14:val="tx1"/>
                  </w14:solidFill>
                </w14:textFill>
              </w:rPr>
              <w:t>相</w:t>
            </w:r>
            <w:r>
              <w:rPr>
                <w:rFonts w:hint="eastAsia"/>
                <w:color w:val="000000" w:themeColor="text1"/>
                <w:sz w:val="24"/>
                <w14:textFill>
                  <w14:solidFill>
                    <w14:schemeClr w14:val="tx1"/>
                  </w14:solidFill>
                </w14:textFill>
              </w:rPr>
              <w:t>关规划符合性分析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①与《青海省主体功能区</w:t>
            </w:r>
            <w:r>
              <w:rPr>
                <w:rFonts w:hint="eastAsia"/>
                <w:color w:val="000000" w:themeColor="text1"/>
                <w:sz w:val="24"/>
                <w:lang w:val="en-US" w:eastAsia="zh-CN"/>
                <w14:textFill>
                  <w14:solidFill>
                    <w14:schemeClr w14:val="tx1"/>
                  </w14:solidFill>
                </w14:textFill>
              </w:rPr>
              <w:t>规划</w:t>
            </w:r>
            <w:r>
              <w:rPr>
                <w:rFonts w:hint="eastAsia"/>
                <w:color w:val="000000" w:themeColor="text1"/>
                <w:sz w:val="24"/>
                <w14:textFill>
                  <w14:solidFill>
                    <w14:schemeClr w14:val="tx1"/>
                  </w14:solidFill>
                </w14:textFill>
              </w:rPr>
              <w:t>》符合性分析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根据《青海省主体功能区</w:t>
            </w:r>
            <w:r>
              <w:rPr>
                <w:rFonts w:hint="eastAsia"/>
                <w:color w:val="000000" w:themeColor="text1"/>
                <w:sz w:val="24"/>
                <w:lang w:val="en-US" w:eastAsia="zh-CN"/>
                <w14:textFill>
                  <w14:solidFill>
                    <w14:schemeClr w14:val="tx1"/>
                  </w14:solidFill>
                </w14:textFill>
              </w:rPr>
              <w:t>规划</w:t>
            </w:r>
            <w:r>
              <w:rPr>
                <w:rFonts w:hint="eastAsia"/>
                <w:color w:val="000000" w:themeColor="text1"/>
                <w:sz w:val="24"/>
                <w14:textFill>
                  <w14:solidFill>
                    <w14:schemeClr w14:val="tx1"/>
                  </w14:solidFill>
                </w14:textFill>
              </w:rPr>
              <w:t>》，将青海省划分为重点开发区域、限制开发区域和禁止开发区域三类。</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涉</w:t>
            </w:r>
            <w:r>
              <w:rPr>
                <w:rFonts w:hint="eastAsia" w:ascii="Times New Roman" w:hAnsi="Times New Roman" w:eastAsia="宋体" w:cs="Times New Roman"/>
                <w:color w:val="000000" w:themeColor="text1"/>
                <w:sz w:val="24"/>
                <w14:textFill>
                  <w14:solidFill>
                    <w14:schemeClr w14:val="tx1"/>
                  </w14:solidFill>
                </w14:textFill>
              </w:rPr>
              <w:t>及</w:t>
            </w:r>
            <w:r>
              <w:rPr>
                <w:rFonts w:hint="eastAsia" w:cs="Times New Roman"/>
                <w:color w:val="000000" w:themeColor="text1"/>
                <w:sz w:val="24"/>
                <w:lang w:eastAsia="zh-CN"/>
                <w14:textFill>
                  <w14:solidFill>
                    <w14:schemeClr w14:val="tx1"/>
                  </w14:solidFill>
                </w14:textFill>
              </w:rPr>
              <w:t>青海省海西蒙古族藏族自治州</w:t>
            </w:r>
            <w:r>
              <w:rPr>
                <w:rFonts w:hint="eastAsia"/>
                <w:color w:val="000000" w:themeColor="text1"/>
                <w:sz w:val="24"/>
                <w14:textFill>
                  <w14:solidFill>
                    <w14:schemeClr w14:val="tx1"/>
                  </w14:solidFill>
                </w14:textFill>
              </w:rPr>
              <w:t>的茫崖市、格尔木市、大柴旦行委、德令哈市、乌兰县、都兰县，经与《青海省主体功能区规划》对照，</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属于《规划》中的柴达木重点开发区域</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限制开发区域</w:t>
            </w:r>
            <w:r>
              <w:rPr>
                <w:rFonts w:hint="eastAsia"/>
                <w:color w:val="000000" w:themeColor="text1"/>
                <w:sz w:val="24"/>
                <w:lang w:val="en-US" w:eastAsia="zh-CN"/>
                <w14:textFill>
                  <w14:solidFill>
                    <w14:schemeClr w14:val="tx1"/>
                  </w14:solidFill>
                </w14:textFill>
              </w:rPr>
              <w:t>-</w:t>
            </w:r>
            <w:r>
              <w:rPr>
                <w:color w:val="000000" w:themeColor="text1"/>
                <w:sz w:val="24"/>
                <w14:textFill>
                  <w14:solidFill>
                    <w14:schemeClr w14:val="tx1"/>
                  </w14:solidFill>
                </w14:textFill>
              </w:rPr>
              <w:t>省级重点生态功能区</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中部生态功能区</w:t>
            </w:r>
            <w:r>
              <w:rPr>
                <w:rFonts w:hint="eastAsia"/>
                <w:color w:val="000000" w:themeColor="text1"/>
                <w:sz w:val="24"/>
                <w14:textFill>
                  <w14:solidFill>
                    <w14:schemeClr w14:val="tx1"/>
                  </w14:solidFill>
                </w14:textFill>
              </w:rPr>
              <w:t>）。</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lang w:eastAsia="zh-CN"/>
                <w14:textFill>
                  <w14:solidFill>
                    <w14:schemeClr w14:val="tx1"/>
                  </w14:solidFill>
                </w14:textFill>
              </w:rPr>
              <w:t>勘查区</w:t>
            </w:r>
            <w:r>
              <w:rPr>
                <w:rFonts w:hint="eastAsia"/>
                <w:bCs/>
                <w:color w:val="000000" w:themeColor="text1"/>
                <w:sz w:val="24"/>
                <w14:textFill>
                  <w14:solidFill>
                    <w14:schemeClr w14:val="tx1"/>
                  </w14:solidFill>
                </w14:textFill>
              </w:rPr>
              <w:t>内分布有3个省级自然保护区（青海格尔木胡杨林自然保护区、青海省诺木洪自然保护区、克鲁克湖-托素湖自然保护区）、1个国家级自然保护区（青海柴达木梭梭林自然保护区）、1个省级风景名胜区（柴达木魔鬼城风景名胜区）、1个省级森林公园（青海德令哈柏树山省级森林公园）、1个省级地质公园（青海德令哈柏树山省级地质公园）、4个水源保护地（阿拉尔水源保护地、冷湖水源保护地、大柴旦水源保护地和巴音河水源保护地），属于禁止开发区域。</w:t>
            </w:r>
          </w:p>
          <w:p>
            <w:pPr>
              <w:spacing w:line="360" w:lineRule="auto"/>
              <w:ind w:firstLine="480" w:firstLineChars="200"/>
              <w:rPr>
                <w:rFonts w:hint="default" w:ascii="Times New Roman" w:hAnsi="Times New Roman" w:cs="Times New Roman"/>
                <w:bCs/>
                <w:color w:val="000000" w:themeColor="text1"/>
                <w:sz w:val="24"/>
                <w14:textFill>
                  <w14:solidFill>
                    <w14:schemeClr w14:val="tx1"/>
                  </w14:solidFill>
                </w14:textFill>
              </w:rPr>
            </w:pPr>
            <w:r>
              <w:rPr>
                <w:rFonts w:hint="default" w:ascii="Times New Roman" w:hAnsi="Times New Roman" w:cs="Times New Roman"/>
                <w:bCs/>
                <w:color w:val="000000" w:themeColor="text1"/>
                <w:sz w:val="24"/>
                <w14:textFill>
                  <w14:solidFill>
                    <w14:schemeClr w14:val="tx1"/>
                  </w14:solidFill>
                </w14:textFill>
              </w:rPr>
              <w:t>项目与《青海省主体功能区</w:t>
            </w:r>
            <w:r>
              <w:rPr>
                <w:rFonts w:hint="eastAsia"/>
                <w:color w:val="000000" w:themeColor="text1"/>
                <w:sz w:val="24"/>
                <w:lang w:val="en-US" w:eastAsia="zh-CN"/>
                <w14:textFill>
                  <w14:solidFill>
                    <w14:schemeClr w14:val="tx1"/>
                  </w14:solidFill>
                </w14:textFill>
              </w:rPr>
              <w:t>规划</w:t>
            </w:r>
            <w:r>
              <w:rPr>
                <w:rFonts w:hint="default" w:ascii="Times New Roman" w:hAnsi="Times New Roman" w:cs="Times New Roman"/>
                <w:bCs/>
                <w:color w:val="000000" w:themeColor="text1"/>
                <w:sz w:val="24"/>
                <w14:textFill>
                  <w14:solidFill>
                    <w14:schemeClr w14:val="tx1"/>
                  </w14:solidFill>
                </w14:textFill>
              </w:rPr>
              <w:t>》相符性分析见下表1-2</w:t>
            </w: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eastAsia" w:cs="Times New Roman"/>
                <w:bCs/>
                <w:color w:val="000000" w:themeColor="text1"/>
                <w:sz w:val="24"/>
                <w:lang w:val="en-US" w:eastAsia="zh-CN"/>
                <w14:textFill>
                  <w14:solidFill>
                    <w14:schemeClr w14:val="tx1"/>
                  </w14:solidFill>
                </w14:textFill>
              </w:rPr>
              <w:t>勘查区</w:t>
            </w:r>
            <w:r>
              <w:rPr>
                <w:rFonts w:hint="default" w:ascii="Times New Roman" w:hAnsi="Times New Roman" w:cs="Times New Roman"/>
                <w:bCs/>
                <w:color w:val="000000" w:themeColor="text1"/>
                <w:sz w:val="24"/>
                <w:lang w:val="en-US" w:eastAsia="zh-CN"/>
                <w14:textFill>
                  <w14:solidFill>
                    <w14:schemeClr w14:val="tx1"/>
                  </w14:solidFill>
                </w14:textFill>
              </w:rPr>
              <w:t>与</w:t>
            </w:r>
            <w:r>
              <w:rPr>
                <w:rFonts w:hint="eastAsia" w:ascii="Times New Roman" w:hAnsi="Times New Roman" w:cs="Times New Roman"/>
                <w:bCs/>
                <w:color w:val="000000" w:themeColor="text1"/>
                <w:sz w:val="24"/>
                <w:lang w:val="en-US" w:eastAsia="zh-CN"/>
                <w14:textFill>
                  <w14:solidFill>
                    <w14:schemeClr w14:val="tx1"/>
                  </w14:solidFill>
                </w14:textFill>
              </w:rPr>
              <w:t>青海省</w:t>
            </w:r>
            <w:r>
              <w:rPr>
                <w:rFonts w:hint="default" w:ascii="Times New Roman" w:hAnsi="Times New Roman" w:cs="Times New Roman"/>
                <w:bCs/>
                <w:color w:val="000000" w:themeColor="text1"/>
                <w:sz w:val="24"/>
                <w:lang w:val="en-US" w:eastAsia="zh-CN"/>
                <w14:textFill>
                  <w14:solidFill>
                    <w14:schemeClr w14:val="tx1"/>
                  </w14:solidFill>
                </w14:textFill>
              </w:rPr>
              <w:t>主体功能区规划关系见附图</w:t>
            </w:r>
            <w:r>
              <w:rPr>
                <w:rFonts w:hint="eastAsia" w:cs="Times New Roman"/>
                <w:bCs/>
                <w:color w:val="000000" w:themeColor="text1"/>
                <w:sz w:val="24"/>
                <w:lang w:val="en-US" w:eastAsia="zh-CN"/>
                <w14:textFill>
                  <w14:solidFill>
                    <w14:schemeClr w14:val="tx1"/>
                  </w14:solidFill>
                </w14:textFill>
              </w:rPr>
              <w:t>1</w:t>
            </w:r>
            <w:r>
              <w:rPr>
                <w:rFonts w:hint="default" w:ascii="Times New Roman" w:hAnsi="Times New Roman" w:cs="Times New Roman"/>
                <w:bCs/>
                <w:color w:val="000000" w:themeColor="text1"/>
                <w:sz w:val="24"/>
                <w14:textFill>
                  <w14:solidFill>
                    <w14:schemeClr w14:val="tx1"/>
                  </w14:solidFill>
                </w14:textFill>
              </w:rPr>
              <w:t>。</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 xml:space="preserve">表1-2  </w:t>
            </w:r>
            <w:r>
              <w:rPr>
                <w:rFonts w:hint="eastAsia"/>
                <w:bCs/>
                <w:color w:val="000000" w:themeColor="text1"/>
                <w:sz w:val="24"/>
                <w14:textFill>
                  <w14:solidFill>
                    <w14:schemeClr w14:val="tx1"/>
                  </w14:solidFill>
                </w14:textFill>
              </w:rPr>
              <w:t>项目与《青海省主体功能区</w:t>
            </w:r>
            <w:r>
              <w:rPr>
                <w:rFonts w:hint="eastAsia"/>
                <w:bCs/>
                <w:color w:val="000000" w:themeColor="text1"/>
                <w:sz w:val="24"/>
                <w:lang w:val="en-US" w:eastAsia="zh-CN"/>
                <w14:textFill>
                  <w14:solidFill>
                    <w14:schemeClr w14:val="tx1"/>
                  </w14:solidFill>
                </w14:textFill>
              </w:rPr>
              <w:t>规划</w:t>
            </w:r>
            <w:r>
              <w:rPr>
                <w:rFonts w:hint="eastAsia"/>
                <w:bCs/>
                <w:color w:val="000000" w:themeColor="text1"/>
                <w:sz w:val="24"/>
                <w14:textFill>
                  <w14:solidFill>
                    <w14:schemeClr w14:val="tx1"/>
                  </w14:solidFill>
                </w14:textFill>
              </w:rPr>
              <w:t>》相符性分析表</w:t>
            </w:r>
          </w:p>
          <w:tbl>
            <w:tblPr>
              <w:tblStyle w:val="13"/>
              <w:tblW w:w="4997"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77"/>
              <w:gridCol w:w="5374"/>
              <w:gridCol w:w="1859"/>
              <w:gridCol w:w="13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606"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名称</w:t>
                  </w:r>
                </w:p>
              </w:tc>
              <w:tc>
                <w:tcPr>
                  <w:tcW w:w="2766"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相关内容</w:t>
                  </w:r>
                </w:p>
              </w:tc>
              <w:tc>
                <w:tcPr>
                  <w:tcW w:w="957"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669"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《青海省主体功能区</w:t>
                  </w:r>
                  <w:r>
                    <w:rPr>
                      <w:rFonts w:hint="eastAsia"/>
                      <w:color w:val="000000" w:themeColor="text1"/>
                      <w:szCs w:val="21"/>
                      <w:lang w:val="en-US" w:eastAsia="zh-CN"/>
                      <w14:textFill>
                        <w14:solidFill>
                          <w14:schemeClr w14:val="tx1"/>
                        </w14:solidFill>
                      </w14:textFill>
                    </w:rPr>
                    <w:t>规划</w:t>
                  </w:r>
                  <w:r>
                    <w:rPr>
                      <w:color w:val="000000" w:themeColor="text1"/>
                      <w:szCs w:val="21"/>
                      <w14:textFill>
                        <w14:solidFill>
                          <w14:schemeClr w14:val="tx1"/>
                        </w14:solidFill>
                      </w14:textFill>
                    </w:rPr>
                    <w:t>》</w:t>
                  </w:r>
                </w:p>
              </w:tc>
              <w:tc>
                <w:tcPr>
                  <w:tcW w:w="2766" w:type="pct"/>
                  <w:tcBorders>
                    <w:tl2br w:val="nil"/>
                    <w:tr2bl w:val="nil"/>
                  </w:tcBorders>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重点开发区域：</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构建以格尔木市、德令哈市为重心，以青藏铁（公）路轴线城市和工矿区为节点的城市空间开发格局。</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加快国家级柴达木循环经济试验区建设。</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推进生态保护与综合治理。</w:t>
                  </w:r>
                </w:p>
              </w:tc>
              <w:tc>
                <w:tcPr>
                  <w:tcW w:w="95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lang w:val="en-US" w:eastAsia="zh-CN"/>
                      <w14:textFill>
                        <w14:solidFill>
                          <w14:schemeClr w14:val="tx1"/>
                        </w14:solidFill>
                      </w14:textFill>
                    </w:rPr>
                    <w:t>勘查区内格尔木市、德令哈市、乌兰县、都兰县、大柴旦行委、茫崖市、冷湖镇为</w:t>
                  </w:r>
                  <w:r>
                    <w:rPr>
                      <w:color w:val="000000" w:themeColor="text1"/>
                      <w:szCs w:val="21"/>
                      <w14:textFill>
                        <w14:solidFill>
                          <w14:schemeClr w14:val="tx1"/>
                        </w14:solidFill>
                      </w14:textFill>
                    </w:rPr>
                    <w:t>重点开发区域</w:t>
                  </w:r>
                </w:p>
              </w:tc>
              <w:tc>
                <w:tcPr>
                  <w:tcW w:w="669" w:type="pct"/>
                  <w:tcBorders>
                    <w:tl2br w:val="nil"/>
                    <w:tr2bl w:val="nil"/>
                  </w:tcBorders>
                  <w:vAlign w:val="center"/>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tcPr>
                <w:p>
                  <w:pPr>
                    <w:spacing w:line="360" w:lineRule="auto"/>
                    <w:jc w:val="center"/>
                    <w:rPr>
                      <w:color w:val="000000" w:themeColor="text1"/>
                      <w:szCs w:val="21"/>
                      <w14:textFill>
                        <w14:solidFill>
                          <w14:schemeClr w14:val="tx1"/>
                        </w14:solidFill>
                      </w14:textFill>
                    </w:rPr>
                  </w:pPr>
                </w:p>
              </w:tc>
              <w:tc>
                <w:tcPr>
                  <w:tcW w:w="2766" w:type="pct"/>
                  <w:tcBorders>
                    <w:tl2br w:val="nil"/>
                    <w:tr2bl w:val="nil"/>
                  </w:tcBorders>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限制开发区域：</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省级重点生态功能区（中部生态功能区）发展方向：以退耕还林还草、防风固沙、退牧还草工程为重点，加强沙生植被和天然林、草原、湿地保护，开发沙生产业，提高植被覆盖度，防止沙漠化扩大，在重要交通干线两侧和重要城市周边构建防风固沙生态屏障。加强水资源保护和节水工程建设，合理分配、高效利用水资源，点带状开发水电、太阳能、风能、地热能、矿产等优势资源。</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相关开发原则：各类开发活动尽可能减少对自然生态系统的干扰，不得损害生态系统的稳定性和完整性；开发矿产资源、发展适宜产业和建设基础设施，都要控制在尽可能小的空间范围之内。</w:t>
                  </w:r>
                </w:p>
              </w:tc>
              <w:tc>
                <w:tcPr>
                  <w:tcW w:w="957" w:type="pct"/>
                  <w:tcBorders>
                    <w:tl2br w:val="nil"/>
                    <w:tr2bl w:val="nil"/>
                  </w:tcBorders>
                  <w:vAlign w:val="center"/>
                </w:tcPr>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本项目属铀矿地质勘查，</w:t>
                  </w:r>
                  <w:r>
                    <w:rPr>
                      <w:rFonts w:hint="eastAsia"/>
                      <w:color w:val="000000" w:themeColor="text1"/>
                      <w:szCs w:val="21"/>
                      <w:lang w:val="en-US" w:eastAsia="zh-CN"/>
                      <w14:textFill>
                        <w14:solidFill>
                          <w14:schemeClr w14:val="tx1"/>
                        </w14:solidFill>
                      </w14:textFill>
                    </w:rPr>
                    <w:t>勘查工程</w:t>
                  </w:r>
                  <w:r>
                    <w:rPr>
                      <w:rFonts w:hint="eastAsia"/>
                      <w:color w:val="000000" w:themeColor="text1"/>
                      <w:szCs w:val="21"/>
                      <w14:textFill>
                        <w14:solidFill>
                          <w14:schemeClr w14:val="tx1"/>
                        </w14:solidFill>
                      </w14:textFill>
                    </w:rPr>
                    <w:t>属于点状开发工程，</w:t>
                  </w:r>
                  <w:r>
                    <w:rPr>
                      <w:color w:val="000000" w:themeColor="text1"/>
                      <w:szCs w:val="21"/>
                      <w14:textFill>
                        <w14:solidFill>
                          <w14:schemeClr w14:val="tx1"/>
                        </w14:solidFill>
                      </w14:textFill>
                    </w:rPr>
                    <w:t>污染物产生量小，开发活动均为临时占地，采取生态保护与恢复措施，对生态环境影响小</w:t>
                  </w:r>
                </w:p>
              </w:tc>
              <w:tc>
                <w:tcPr>
                  <w:tcW w:w="669" w:type="pct"/>
                  <w:tcBorders>
                    <w:tl2br w:val="nil"/>
                    <w:tr2bl w:val="nil"/>
                  </w:tcBorders>
                  <w:vAlign w:val="center"/>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tcPr>
                <w:p>
                  <w:pPr>
                    <w:spacing w:line="360" w:lineRule="auto"/>
                    <w:jc w:val="center"/>
                    <w:rPr>
                      <w:color w:val="000000" w:themeColor="text1"/>
                      <w:szCs w:val="21"/>
                      <w14:textFill>
                        <w14:solidFill>
                          <w14:schemeClr w14:val="tx1"/>
                        </w14:solidFill>
                      </w14:textFill>
                    </w:rPr>
                  </w:pPr>
                </w:p>
              </w:tc>
              <w:tc>
                <w:tcPr>
                  <w:tcW w:w="2766" w:type="pct"/>
                  <w:tcBorders>
                    <w:tl2br w:val="nil"/>
                    <w:tr2bl w:val="nil"/>
                  </w:tcBorders>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禁止开发区域：依据法律法规和相关规划实施强制性保护，严格控制人为因素对自然生态和文化自然遗产的原真性和完整性的干扰，引导区内人口有序转移，实现污染物排放零增长，提高环境质量。</w:t>
                  </w:r>
                </w:p>
              </w:tc>
              <w:tc>
                <w:tcPr>
                  <w:tcW w:w="957" w:type="pct"/>
                  <w:tcBorders>
                    <w:tl2br w:val="nil"/>
                    <w:tr2bl w:val="nil"/>
                  </w:tcBorders>
                </w:tcPr>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lang w:val="en-US" w:eastAsia="zh-CN"/>
                      <w14:textFill>
                        <w14:solidFill>
                          <w14:schemeClr w14:val="tx1"/>
                        </w14:solidFill>
                      </w14:textFill>
                    </w:rPr>
                    <w:t>勘查</w:t>
                  </w:r>
                  <w:r>
                    <w:rPr>
                      <w:color w:val="000000" w:themeColor="text1"/>
                      <w:szCs w:val="21"/>
                      <w14:textFill>
                        <w14:solidFill>
                          <w14:schemeClr w14:val="tx1"/>
                        </w14:solidFill>
                      </w14:textFill>
                    </w:rPr>
                    <w:t>工程不在禁止开发区域内</w:t>
                  </w:r>
                  <w:r>
                    <w:rPr>
                      <w:rFonts w:hint="eastAsia"/>
                      <w:color w:val="000000" w:themeColor="text1"/>
                      <w:szCs w:val="21"/>
                      <w14:textFill>
                        <w14:solidFill>
                          <w14:schemeClr w14:val="tx1"/>
                        </w14:solidFill>
                      </w14:textFill>
                    </w:rPr>
                    <w:t>布置</w:t>
                  </w:r>
                </w:p>
              </w:tc>
              <w:tc>
                <w:tcPr>
                  <w:tcW w:w="669" w:type="pct"/>
                  <w:tcBorders>
                    <w:tl2br w:val="nil"/>
                    <w:tr2bl w:val="nil"/>
                  </w:tcBorders>
                  <w:vAlign w:val="center"/>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符合</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②与《青海省矿产资源总体规划（2016-2020）》的符合性分析</w:t>
            </w:r>
          </w:p>
          <w:p>
            <w:pPr>
              <w:spacing w:line="360" w:lineRule="auto"/>
              <w:ind w:firstLine="480" w:firstLineChars="200"/>
              <w:rPr>
                <w:color w:val="000000" w:themeColor="text1"/>
                <w:sz w:val="24"/>
                <w14:textFill>
                  <w14:solidFill>
                    <w14:schemeClr w14:val="tx1"/>
                  </w14:solidFill>
                </w14:textFill>
              </w:rPr>
            </w:pPr>
            <w:r>
              <w:rPr>
                <w:color w:val="000000" w:themeColor="text1"/>
                <w:kern w:val="0"/>
                <w:sz w:val="24"/>
                <w:lang w:bidi="ar"/>
                <w14:textFill>
                  <w14:solidFill>
                    <w14:schemeClr w14:val="tx1"/>
                  </w14:solidFill>
                </w14:textFill>
              </w:rPr>
              <w:t>项目与《</w:t>
            </w:r>
            <w:r>
              <w:rPr>
                <w:rFonts w:hint="eastAsia"/>
                <w:color w:val="000000" w:themeColor="text1"/>
                <w:sz w:val="24"/>
                <w14:textFill>
                  <w14:solidFill>
                    <w14:schemeClr w14:val="tx1"/>
                  </w14:solidFill>
                </w14:textFill>
              </w:rPr>
              <w:t>青海省</w:t>
            </w:r>
            <w:r>
              <w:rPr>
                <w:color w:val="000000" w:themeColor="text1"/>
                <w:kern w:val="0"/>
                <w:sz w:val="24"/>
                <w:lang w:bidi="ar"/>
                <w14:textFill>
                  <w14:solidFill>
                    <w14:schemeClr w14:val="tx1"/>
                  </w14:solidFill>
                </w14:textFill>
              </w:rPr>
              <w:t>矿产资源总体规划（</w:t>
            </w:r>
            <w:r>
              <w:rPr>
                <w:rFonts w:eastAsia="TimesNewRomanPSMT"/>
                <w:color w:val="000000" w:themeColor="text1"/>
                <w:kern w:val="0"/>
                <w:sz w:val="24"/>
                <w:lang w:bidi="ar"/>
                <w14:textFill>
                  <w14:solidFill>
                    <w14:schemeClr w14:val="tx1"/>
                  </w14:solidFill>
                </w14:textFill>
              </w:rPr>
              <w:t>2016-2020</w:t>
            </w:r>
            <w:r>
              <w:rPr>
                <w:color w:val="000000" w:themeColor="text1"/>
                <w:kern w:val="0"/>
                <w:sz w:val="24"/>
                <w:lang w:bidi="ar"/>
                <w14:textFill>
                  <w14:solidFill>
                    <w14:schemeClr w14:val="tx1"/>
                  </w14:solidFill>
                </w14:textFill>
              </w:rPr>
              <w:t>）》相符性分析</w:t>
            </w:r>
            <w:r>
              <w:rPr>
                <w:rFonts w:hint="eastAsia"/>
                <w:color w:val="000000" w:themeColor="text1"/>
                <w:kern w:val="0"/>
                <w:sz w:val="24"/>
                <w:lang w:val="en-US" w:eastAsia="zh-CN" w:bidi="ar"/>
                <w14:textFill>
                  <w14:solidFill>
                    <w14:schemeClr w14:val="tx1"/>
                  </w14:solidFill>
                </w14:textFill>
              </w:rPr>
              <w:t>见</w:t>
            </w:r>
            <w:r>
              <w:rPr>
                <w:color w:val="000000" w:themeColor="text1"/>
                <w:kern w:val="0"/>
                <w:sz w:val="24"/>
                <w:lang w:bidi="ar"/>
                <w14:textFill>
                  <w14:solidFill>
                    <w14:schemeClr w14:val="tx1"/>
                  </w14:solidFill>
                </w14:textFill>
              </w:rPr>
              <w:t>表1-</w:t>
            </w:r>
            <w:r>
              <w:rPr>
                <w:rFonts w:hint="eastAsia"/>
                <w:color w:val="000000" w:themeColor="text1"/>
                <w:kern w:val="0"/>
                <w:sz w:val="24"/>
                <w:lang w:bidi="ar"/>
                <w14:textFill>
                  <w14:solidFill>
                    <w14:schemeClr w14:val="tx1"/>
                  </w14:solidFill>
                </w14:textFill>
              </w:rPr>
              <w:t>3</w:t>
            </w:r>
            <w:r>
              <w:rPr>
                <w:color w:val="000000" w:themeColor="text1"/>
                <w:kern w:val="0"/>
                <w:sz w:val="24"/>
                <w:lang w:bidi="ar"/>
                <w14:textFill>
                  <w14:solidFill>
                    <w14:schemeClr w14:val="tx1"/>
                  </w14:solidFill>
                </w14:textFill>
              </w:rPr>
              <w:t>。</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 xml:space="preserve">表1-3  </w:t>
            </w:r>
            <w:r>
              <w:rPr>
                <w:color w:val="000000" w:themeColor="text1"/>
                <w:kern w:val="0"/>
                <w:sz w:val="24"/>
                <w:lang w:bidi="ar"/>
                <w14:textFill>
                  <w14:solidFill>
                    <w14:schemeClr w14:val="tx1"/>
                  </w14:solidFill>
                </w14:textFill>
              </w:rPr>
              <w:t>项目与《</w:t>
            </w:r>
            <w:r>
              <w:rPr>
                <w:rFonts w:hint="eastAsia"/>
                <w:color w:val="000000" w:themeColor="text1"/>
                <w:sz w:val="24"/>
                <w14:textFill>
                  <w14:solidFill>
                    <w14:schemeClr w14:val="tx1"/>
                  </w14:solidFill>
                </w14:textFill>
              </w:rPr>
              <w:t>青海省</w:t>
            </w:r>
            <w:r>
              <w:rPr>
                <w:color w:val="000000" w:themeColor="text1"/>
                <w:kern w:val="0"/>
                <w:sz w:val="24"/>
                <w:lang w:bidi="ar"/>
                <w14:textFill>
                  <w14:solidFill>
                    <w14:schemeClr w14:val="tx1"/>
                  </w14:solidFill>
                </w14:textFill>
              </w:rPr>
              <w:t>矿产资源总体规划（</w:t>
            </w:r>
            <w:r>
              <w:rPr>
                <w:rFonts w:eastAsia="TimesNewRomanPSMT"/>
                <w:color w:val="000000" w:themeColor="text1"/>
                <w:kern w:val="0"/>
                <w:sz w:val="24"/>
                <w:lang w:bidi="ar"/>
                <w14:textFill>
                  <w14:solidFill>
                    <w14:schemeClr w14:val="tx1"/>
                  </w14:solidFill>
                </w14:textFill>
              </w:rPr>
              <w:t>2016-2020</w:t>
            </w:r>
            <w:r>
              <w:rPr>
                <w:color w:val="000000" w:themeColor="text1"/>
                <w:kern w:val="0"/>
                <w:sz w:val="24"/>
                <w:lang w:bidi="ar"/>
                <w14:textFill>
                  <w14:solidFill>
                    <w14:schemeClr w14:val="tx1"/>
                  </w14:solidFill>
                </w14:textFill>
              </w:rPr>
              <w:t>）》相符性</w:t>
            </w:r>
            <w:r>
              <w:rPr>
                <w:rFonts w:hint="eastAsia"/>
                <w:color w:val="000000" w:themeColor="text1"/>
                <w:kern w:val="0"/>
                <w:sz w:val="24"/>
                <w:lang w:bidi="ar"/>
                <w14:textFill>
                  <w14:solidFill>
                    <w14:schemeClr w14:val="tx1"/>
                  </w14:solidFill>
                </w14:textFill>
              </w:rPr>
              <w:t>分析表</w:t>
            </w:r>
          </w:p>
          <w:tbl>
            <w:tblPr>
              <w:tblStyle w:val="13"/>
              <w:tblW w:w="4992"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5406"/>
              <w:gridCol w:w="1685"/>
              <w:gridCol w:w="13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55" w:type="pct"/>
                  <w:tcBorders>
                    <w:tl2br w:val="nil"/>
                    <w:tr2bl w:val="nil"/>
                  </w:tcBorders>
                  <w:vAlign w:val="center"/>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名称</w:t>
                  </w:r>
                </w:p>
              </w:tc>
              <w:tc>
                <w:tcPr>
                  <w:tcW w:w="2787"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相关内容</w:t>
                  </w:r>
                </w:p>
              </w:tc>
              <w:tc>
                <w:tcPr>
                  <w:tcW w:w="868"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689"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55"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《青海省矿产资源总体规划（2016-2020）》</w:t>
                  </w:r>
                </w:p>
              </w:tc>
              <w:tc>
                <w:tcPr>
                  <w:tcW w:w="2787" w:type="pct"/>
                  <w:tcBorders>
                    <w:tl2br w:val="nil"/>
                    <w:tr2bl w:val="nil"/>
                  </w:tcBorders>
                </w:tcPr>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重点加强海西地区和东部地区的矿产资源勘查开发，……。</w:t>
                  </w:r>
                </w:p>
              </w:tc>
              <w:tc>
                <w:tcPr>
                  <w:tcW w:w="868" w:type="pct"/>
                  <w:tcBorders>
                    <w:tl2br w:val="nil"/>
                    <w:tr2bl w:val="nil"/>
                  </w:tcBorders>
                  <w:vAlign w:val="center"/>
                </w:tcPr>
                <w:p>
                  <w:pPr>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本项目位于海西地区柴达木盆地</w:t>
                  </w:r>
                </w:p>
              </w:tc>
              <w:tc>
                <w:tcPr>
                  <w:tcW w:w="68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55" w:type="pct"/>
                  <w:vMerge w:val="continue"/>
                  <w:tcBorders>
                    <w:tl2br w:val="nil"/>
                    <w:tr2bl w:val="nil"/>
                  </w:tcBorders>
                  <w:vAlign w:val="center"/>
                </w:tcPr>
                <w:p>
                  <w:pPr>
                    <w:spacing w:line="360" w:lineRule="auto"/>
                    <w:jc w:val="center"/>
                    <w:rPr>
                      <w:color w:val="000000" w:themeColor="text1"/>
                      <w:szCs w:val="21"/>
                      <w14:textFill>
                        <w14:solidFill>
                          <w14:schemeClr w14:val="tx1"/>
                        </w14:solidFill>
                      </w14:textFill>
                    </w:rPr>
                  </w:pPr>
                </w:p>
              </w:tc>
              <w:tc>
                <w:tcPr>
                  <w:tcW w:w="2787" w:type="pct"/>
                  <w:tcBorders>
                    <w:tl2br w:val="nil"/>
                    <w:tr2bl w:val="nil"/>
                  </w:tcBorders>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海西地区：按照建成全国重要的循环经济示范区、新型工业化基地和城乡发展一体化示范区的要求，进一步加大石油、天然气、煤炭、盐湖矿产、铀矿、有色金属、贵金属等矿产的勘查、开发力度，提高综合开发、循环利用和精深加工水平，进一步提高矿产资源开发利用水平和矿产资源开发利用效益，实现矿业就地转型、提质增效和循环发展；加强新能源矿产（可燃冰、煤层气、铀矿、油页岩、页岩气、油砂、干热岩）、新兴材料矿产（钛矿、三稀矿产、晶质石墨）、地下水的调查评价与勘查力度，提交一批可供进一步工作或可供开发的矿产地，为经济社会发展提供优质有效的资源保证。</w:t>
                  </w:r>
                </w:p>
              </w:tc>
              <w:tc>
                <w:tcPr>
                  <w:tcW w:w="868" w:type="pct"/>
                  <w:tcBorders>
                    <w:tl2br w:val="nil"/>
                    <w:tr2bl w:val="nil"/>
                  </w:tcBorders>
                  <w:vAlign w:val="center"/>
                </w:tcPr>
                <w:p>
                  <w:pPr>
                    <w:jc w:val="left"/>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本项目属铀矿资源勘查</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为鼓励勘查矿种</w:t>
                  </w:r>
                </w:p>
              </w:tc>
              <w:tc>
                <w:tcPr>
                  <w:tcW w:w="689" w:type="pct"/>
                  <w:tcBorders>
                    <w:tl2br w:val="nil"/>
                    <w:tr2bl w:val="nil"/>
                  </w:tcBorders>
                  <w:vAlign w:val="center"/>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55" w:type="pct"/>
                  <w:vMerge w:val="continue"/>
                  <w:tcBorders>
                    <w:tl2br w:val="nil"/>
                    <w:tr2bl w:val="nil"/>
                  </w:tcBorders>
                  <w:vAlign w:val="center"/>
                </w:tcPr>
                <w:p>
                  <w:pPr>
                    <w:spacing w:line="360" w:lineRule="auto"/>
                    <w:jc w:val="center"/>
                    <w:rPr>
                      <w:color w:val="000000" w:themeColor="text1"/>
                      <w:szCs w:val="21"/>
                      <w14:textFill>
                        <w14:solidFill>
                          <w14:schemeClr w14:val="tx1"/>
                        </w14:solidFill>
                      </w14:textFill>
                    </w:rPr>
                  </w:pPr>
                </w:p>
              </w:tc>
              <w:tc>
                <w:tcPr>
                  <w:tcW w:w="2787" w:type="pct"/>
                  <w:tcBorders>
                    <w:tl2br w:val="nil"/>
                    <w:tr2bl w:val="nil"/>
                  </w:tcBorders>
                </w:tcPr>
                <w:p>
                  <w:pPr>
                    <w:widowControl/>
                    <w:ind w:firstLine="420" w:firstLineChars="200"/>
                    <w:jc w:val="left"/>
                    <w:rPr>
                      <w:color w:val="000000" w:themeColor="text1"/>
                      <w:szCs w:val="21"/>
                      <w14:textFill>
                        <w14:solidFill>
                          <w14:schemeClr w14:val="tx1"/>
                        </w14:solidFill>
                      </w14:textFill>
                    </w:rPr>
                  </w:pPr>
                  <w:r>
                    <w:rPr>
                      <w:rFonts w:hint="eastAsia" w:ascii="宋体" w:hAnsi="宋体" w:cs="宋体"/>
                      <w:color w:val="000000" w:themeColor="text1"/>
                      <w:kern w:val="0"/>
                      <w:szCs w:val="21"/>
                      <w:lang w:bidi="ar"/>
                      <w14:textFill>
                        <w14:solidFill>
                          <w14:schemeClr w14:val="tx1"/>
                        </w14:solidFill>
                      </w14:textFill>
                    </w:rPr>
                    <w:t>《规划》将自然保护区、森林公园、重要湿地、湿地公园、地质公园地质遗迹保护区、重要饮用水水源保护区、风景名胜区、重点历史文物和名胜古迹所在地划为禁止开发区，总面积</w:t>
                  </w:r>
                  <w:r>
                    <w:rPr>
                      <w:rFonts w:ascii="TimesNewRomanPSMT" w:hAnsi="TimesNewRomanPSMT" w:eastAsia="TimesNewRomanPSMT" w:cs="TimesNewRomanPSMT"/>
                      <w:color w:val="000000" w:themeColor="text1"/>
                      <w:kern w:val="0"/>
                      <w:szCs w:val="21"/>
                      <w:lang w:bidi="ar"/>
                      <w14:textFill>
                        <w14:solidFill>
                          <w14:schemeClr w14:val="tx1"/>
                        </w14:solidFill>
                      </w14:textFill>
                    </w:rPr>
                    <w:t>22.37</w:t>
                  </w:r>
                  <w:r>
                    <w:rPr>
                      <w:rFonts w:hint="eastAsia" w:ascii="宋体" w:hAnsi="宋体" w:cs="宋体"/>
                      <w:color w:val="000000" w:themeColor="text1"/>
                      <w:kern w:val="0"/>
                      <w:szCs w:val="21"/>
                      <w:lang w:bidi="ar"/>
                      <w14:textFill>
                        <w14:solidFill>
                          <w14:schemeClr w14:val="tx1"/>
                        </w14:solidFill>
                      </w14:textFill>
                    </w:rPr>
                    <w:t>万</w:t>
                  </w:r>
                  <w:r>
                    <w:rPr>
                      <w:rFonts w:eastAsia="TimesNewRomanPSMT"/>
                      <w:color w:val="000000" w:themeColor="text1"/>
                      <w:kern w:val="0"/>
                      <w:szCs w:val="21"/>
                      <w:lang w:bidi="ar"/>
                      <w14:textFill>
                        <w14:solidFill>
                          <w14:schemeClr w14:val="tx1"/>
                        </w14:solidFill>
                      </w14:textFill>
                    </w:rPr>
                    <w:t>km</w:t>
                  </w:r>
                  <w:r>
                    <w:rPr>
                      <w:rFonts w:eastAsia="TimesNewRomanPSMT"/>
                      <w:color w:val="000000" w:themeColor="text1"/>
                      <w:kern w:val="0"/>
                      <w:szCs w:val="21"/>
                      <w:vertAlign w:val="superscript"/>
                      <w:lang w:bidi="ar"/>
                      <w14:textFill>
                        <w14:solidFill>
                          <w14:schemeClr w14:val="tx1"/>
                        </w14:solidFill>
                      </w14:textFill>
                    </w:rPr>
                    <w:t>2</w:t>
                  </w:r>
                  <w:r>
                    <w:rPr>
                      <w:color w:val="000000" w:themeColor="text1"/>
                      <w:kern w:val="0"/>
                      <w:szCs w:val="21"/>
                      <w:lang w:bidi="ar"/>
                      <w14:textFill>
                        <w14:solidFill>
                          <w14:schemeClr w14:val="tx1"/>
                        </w14:solidFill>
                      </w14:textFill>
                    </w:rPr>
                    <w:t>。</w:t>
                  </w:r>
                </w:p>
              </w:tc>
              <w:tc>
                <w:tcPr>
                  <w:tcW w:w="868" w:type="pct"/>
                  <w:tcBorders>
                    <w:tl2br w:val="nil"/>
                    <w:tr2bl w:val="nil"/>
                  </w:tcBorders>
                  <w:vAlign w:val="center"/>
                </w:tcPr>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lang w:val="en-US" w:eastAsia="zh-CN"/>
                      <w14:textFill>
                        <w14:solidFill>
                          <w14:schemeClr w14:val="tx1"/>
                        </w14:solidFill>
                      </w14:textFill>
                    </w:rPr>
                    <w:t>勘查</w:t>
                  </w:r>
                  <w:r>
                    <w:rPr>
                      <w:color w:val="000000" w:themeColor="text1"/>
                      <w:szCs w:val="21"/>
                      <w14:textFill>
                        <w14:solidFill>
                          <w14:schemeClr w14:val="tx1"/>
                        </w14:solidFill>
                      </w14:textFill>
                    </w:rPr>
                    <w:t>工程不在禁止开发区域内</w:t>
                  </w:r>
                  <w:r>
                    <w:rPr>
                      <w:rFonts w:hint="eastAsia"/>
                      <w:color w:val="000000" w:themeColor="text1"/>
                      <w:szCs w:val="21"/>
                      <w14:textFill>
                        <w14:solidFill>
                          <w14:schemeClr w14:val="tx1"/>
                        </w14:solidFill>
                      </w14:textFill>
                    </w:rPr>
                    <w:t>布置</w:t>
                  </w:r>
                </w:p>
              </w:tc>
              <w:tc>
                <w:tcPr>
                  <w:tcW w:w="689" w:type="pct"/>
                  <w:tcBorders>
                    <w:tl2br w:val="nil"/>
                    <w:tr2bl w:val="nil"/>
                  </w:tcBorders>
                  <w:vAlign w:val="center"/>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55" w:type="pct"/>
                  <w:vMerge w:val="continue"/>
                  <w:tcBorders>
                    <w:tl2br w:val="nil"/>
                    <w:tr2bl w:val="nil"/>
                  </w:tcBorders>
                  <w:vAlign w:val="center"/>
                </w:tcPr>
                <w:p>
                  <w:pPr>
                    <w:spacing w:line="360" w:lineRule="auto"/>
                    <w:jc w:val="center"/>
                    <w:rPr>
                      <w:color w:val="000000" w:themeColor="text1"/>
                      <w:szCs w:val="21"/>
                      <w14:textFill>
                        <w14:solidFill>
                          <w14:schemeClr w14:val="tx1"/>
                        </w14:solidFill>
                      </w14:textFill>
                    </w:rPr>
                  </w:pPr>
                </w:p>
              </w:tc>
              <w:tc>
                <w:tcPr>
                  <w:tcW w:w="2787" w:type="pct"/>
                  <w:tcBorders>
                    <w:tl2br w:val="nil"/>
                    <w:tr2bl w:val="nil"/>
                  </w:tcBorders>
                </w:tcPr>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规划总体目标强调布局和结果优化、资源节约、绿色矿山建设，强调矿产资源勘查开发与环境保护协调发展。严格青海省重点勘查区和重点矿区内各类活动“三废”排放，确保各类污染物的排放。通过矿山地质环境治理恢复等生态措施综合提高区域水源涵养、防风固沙等生态功能。对于临时占地和新开辟的临时便道等破坏区，竣工后要及时进行土地平整等土地复垦工作，工业场地生产、生活设施建设完成后要根据工业场地布局对其周围进行绿化，结合当地实际情况制定生态环境建设管护计划，综合提高区域生态功能。对三江源草原草甸湿地国家重点生态功能区内3个勘查规划区块和中部防风固沙省级重点生态功能区内261个勘查规划区块进行合理的布置，严格控制探矿活动范围。防控重点生态功能区内的金属勘查规划区块的土壤污染。探矿期间，应对普查工作遗留的施工迹地采取植被恢复措施，尽早使地表恢复原貌。尽早减少对探矿区内现有植被的破坏，尽量做到不动土，如动土不可避免，应剥离并妥善保护好地表表层植毡层和土壤，待探矿活动完成后，进行场地恢复时重新覆盖在表面，尽快使地表恢复原貌。对于山体工程、探槽弃土临时堆放场地和渣场等用地的生态恢复工作，应在勘查结束后恢复与周围景观的基本协调，与原生地形、地貌基本一致，无明显板块状、条带状视觉印象</w:t>
                  </w:r>
                  <w:r>
                    <w:rPr>
                      <w:rFonts w:hint="eastAsia"/>
                      <w:color w:val="000000" w:themeColor="text1"/>
                      <w:szCs w:val="21"/>
                      <w14:textFill>
                        <w14:solidFill>
                          <w14:schemeClr w14:val="tx1"/>
                        </w14:solidFill>
                      </w14:textFill>
                    </w:rPr>
                    <w:t>。</w:t>
                  </w:r>
                </w:p>
              </w:tc>
              <w:tc>
                <w:tcPr>
                  <w:tcW w:w="868" w:type="pct"/>
                  <w:tcBorders>
                    <w:tl2br w:val="nil"/>
                    <w:tr2bl w:val="nil"/>
                  </w:tcBorders>
                  <w:vAlign w:val="center"/>
                </w:tcPr>
                <w:p>
                  <w:pPr>
                    <w:widowControl/>
                    <w:jc w:val="left"/>
                    <w:rPr>
                      <w:rFonts w:ascii="宋体" w:hAnsi="宋体" w:cs="宋体"/>
                      <w:color w:val="000000" w:themeColor="text1"/>
                      <w:kern w:val="0"/>
                      <w:szCs w:val="21"/>
                      <w:lang w:bidi="ar"/>
                      <w14:textFill>
                        <w14:solidFill>
                          <w14:schemeClr w14:val="tx1"/>
                        </w14:solidFill>
                      </w14:textFill>
                    </w:rPr>
                  </w:pPr>
                  <w:r>
                    <w:rPr>
                      <w:rFonts w:ascii="宋体" w:hAnsi="宋体" w:cs="宋体"/>
                      <w:color w:val="000000" w:themeColor="text1"/>
                      <w:kern w:val="0"/>
                      <w:szCs w:val="21"/>
                      <w:lang w:bidi="ar"/>
                      <w14:textFill>
                        <w14:solidFill>
                          <w14:schemeClr w14:val="tx1"/>
                        </w14:solidFill>
                      </w14:textFill>
                    </w:rPr>
                    <w:t>①钻探施工作业前，剥离表土集中堆放拍实、采取必要的遮盖，作为钻探施工结束后复垦土源。</w:t>
                  </w:r>
                </w:p>
                <w:p>
                  <w:pPr>
                    <w:widowControl/>
                    <w:jc w:val="left"/>
                    <w:rPr>
                      <w:color w:val="000000" w:themeColor="text1"/>
                      <w:szCs w:val="21"/>
                      <w14:textFill>
                        <w14:solidFill>
                          <w14:schemeClr w14:val="tx1"/>
                        </w14:solidFill>
                      </w14:textFill>
                    </w:rPr>
                  </w:pPr>
                  <w:r>
                    <w:rPr>
                      <w:rFonts w:ascii="宋体" w:hAnsi="宋体" w:cs="宋体"/>
                      <w:color w:val="000000" w:themeColor="text1"/>
                      <w:kern w:val="0"/>
                      <w:szCs w:val="21"/>
                      <w:lang w:bidi="ar"/>
                      <w14:textFill>
                        <w14:solidFill>
                          <w14:schemeClr w14:val="tx1"/>
                        </w14:solidFill>
                      </w14:textFill>
                    </w:rPr>
                    <w:t>②钻探施工结束后，拆除钻井井架、平整钻井平台等迹地清理，覆土（利用施工前剥离土壤），恢复原貌；泥浆池覆土掩埋，恢复原貌</w:t>
                  </w:r>
                </w:p>
              </w:tc>
              <w:tc>
                <w:tcPr>
                  <w:tcW w:w="689" w:type="pct"/>
                  <w:tcBorders>
                    <w:tl2br w:val="nil"/>
                    <w:tr2bl w:val="nil"/>
                  </w:tcBorders>
                  <w:vAlign w:val="center"/>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符合</w:t>
                  </w:r>
                </w:p>
              </w:tc>
            </w:tr>
          </w:tbl>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③</w:t>
            </w:r>
            <w:r>
              <w:rPr>
                <w:rFonts w:hint="eastAsia"/>
                <w:color w:val="000000" w:themeColor="text1"/>
                <w:sz w:val="24"/>
                <w14:textFill>
                  <w14:solidFill>
                    <w14:schemeClr w14:val="tx1"/>
                  </w14:solidFill>
                </w14:textFill>
              </w:rPr>
              <w:t>与《青海省“三线一单”生态环境分区管控的通知》符合性分析</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1）相关内容</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青海省“三线一单”生态环境分区管控的通知》（青政[2020]77号），按照生态保护红线、环境质量底线、资源利用上线的管控要求，将全省行政区域从生态环境保护角度划分为优先保护单元、重点管控单元、一般管控单元三类环境管控单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优先保护单元指具有一定生态功能、以生态环境保护为主的区域，应以生态环境保护优先为原则，严守生态环境质量底线，确保生态环境功能不降低。</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重点管控单元指人口密集、资源开发强度较大、污染物排放强度相对较高的区域，应推进产业布局优化、转型升级，不断提升资源利用效率，加强污染物排放控制和环境风险防控。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一般管控单元指除优先保护单元和重点管控单元之外的其他区域，应促进生产、生活、生态功能协调融合，落实生态环境保护基本要求，保持区域生态环境质量稳定。</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2）本项目所属单元分析</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项目</w:t>
            </w:r>
            <w:r>
              <w:rPr>
                <w:rFonts w:hint="eastAsia" w:cs="Times New Roman"/>
                <w:color w:val="000000" w:themeColor="text1"/>
                <w:sz w:val="24"/>
                <w:lang w:val="en-US" w:eastAsia="zh-CN"/>
                <w14:textFill>
                  <w14:solidFill>
                    <w14:schemeClr w14:val="tx1"/>
                  </w14:solidFill>
                </w14:textFill>
              </w:rPr>
              <w:t>与青海省</w:t>
            </w:r>
            <w:r>
              <w:rPr>
                <w:rFonts w:hint="default" w:ascii="Times New Roman" w:hAnsi="Times New Roman" w:cs="Times New Roman"/>
                <w:color w:val="000000" w:themeColor="text1"/>
                <w:sz w:val="24"/>
                <w:lang w:val="en-US" w:eastAsia="zh-CN"/>
                <w14:textFill>
                  <w14:solidFill>
                    <w14:schemeClr w14:val="tx1"/>
                  </w14:solidFill>
                </w14:textFill>
              </w:rPr>
              <w:t>“三线一单”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sz w:val="24"/>
                <w:lang w:val="en-US" w:eastAsia="zh-CN"/>
                <w14:textFill>
                  <w14:solidFill>
                    <w14:schemeClr w14:val="tx1"/>
                  </w14:solidFill>
                </w14:textFill>
              </w:rPr>
              <w:t>见附图</w:t>
            </w:r>
            <w:r>
              <w:rPr>
                <w:rFonts w:hint="eastAsia" w:cs="Times New Roman"/>
                <w:color w:val="000000" w:themeColor="text1"/>
                <w:sz w:val="24"/>
                <w:lang w:val="en-US" w:eastAsia="zh-CN"/>
                <w14:textFill>
                  <w14:solidFill>
                    <w14:schemeClr w14:val="tx1"/>
                  </w14:solidFill>
                </w14:textFill>
              </w:rPr>
              <w:t>2</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eastAsia" w:ascii="Times New Roman" w:hAnsi="Times New Roman" w:cs="Times New Roman"/>
                <w:color w:val="000000" w:themeColor="text1"/>
                <w:kern w:val="0"/>
                <w:sz w:val="24"/>
                <w:lang w:val="en-US" w:eastAsia="zh-CN"/>
                <w14:textFill>
                  <w14:solidFill>
                    <w14:schemeClr w14:val="tx1"/>
                  </w14:solidFill>
                </w14:textFill>
              </w:rPr>
              <w:t>青海省</w:t>
            </w:r>
            <w:r>
              <w:rPr>
                <w:rFonts w:hint="default" w:ascii="Times New Roman" w:hAnsi="Times New Roman" w:cs="Times New Roman"/>
                <w:color w:val="000000" w:themeColor="text1"/>
                <w:kern w:val="0"/>
                <w:sz w:val="24"/>
                <w:lang w:val="en-US" w:eastAsia="zh-CN"/>
                <w14:textFill>
                  <w14:solidFill>
                    <w14:schemeClr w14:val="tx1"/>
                  </w14:solidFill>
                </w14:textFill>
              </w:rPr>
              <w:t>划定的</w:t>
            </w:r>
            <w:r>
              <w:rPr>
                <w:rFonts w:hint="eastAsia" w:ascii="Times New Roman" w:hAnsi="Times New Roman" w:cs="Times New Roman"/>
                <w:color w:val="000000" w:themeColor="text1"/>
                <w:kern w:val="0"/>
                <w:sz w:val="24"/>
                <w:lang w:val="en-US" w:eastAsia="zh-CN"/>
                <w14:textFill>
                  <w14:solidFill>
                    <w14:schemeClr w14:val="tx1"/>
                  </w14:solidFill>
                </w14:textFill>
              </w:rPr>
              <w:t>优先保护单元、</w:t>
            </w:r>
            <w:r>
              <w:rPr>
                <w:rFonts w:hint="default" w:ascii="Times New Roman" w:hAnsi="Times New Roman" w:cs="Times New Roman"/>
                <w:color w:val="000000" w:themeColor="text1"/>
                <w:kern w:val="0"/>
                <w:sz w:val="24"/>
                <w:lang w:val="en-US" w:eastAsia="zh-CN"/>
                <w14:textFill>
                  <w14:solidFill>
                    <w14:schemeClr w14:val="tx1"/>
                  </w14:solidFill>
                </w14:textFill>
              </w:rPr>
              <w:t>重点管控单元和一般管控单元</w:t>
            </w:r>
            <w:r>
              <w:rPr>
                <w:rFonts w:hint="eastAsia" w:cs="Times New Roman"/>
                <w:color w:val="000000" w:themeColor="text1"/>
                <w:kern w:val="0"/>
                <w:sz w:val="24"/>
                <w:lang w:val="en-US" w:eastAsia="zh-CN"/>
                <w14:textFill>
                  <w14:solidFill>
                    <w14:schemeClr w14:val="tx1"/>
                  </w14:solidFill>
                </w14:textFill>
              </w:rPr>
              <w:t>，</w:t>
            </w:r>
            <w:r>
              <w:rPr>
                <w:rFonts w:hint="eastAsia" w:ascii="Times New Roman" w:hAnsi="Times New Roman" w:cs="Times New Roman"/>
                <w:color w:val="000000" w:themeColor="text1"/>
                <w:kern w:val="0"/>
                <w:sz w:val="24"/>
                <w:lang w:val="en-US" w:eastAsia="zh-CN"/>
                <w14:textFill>
                  <w14:solidFill>
                    <w14:schemeClr w14:val="tx1"/>
                  </w14:solidFill>
                </w14:textFill>
              </w:rPr>
              <w:t>2022年钻孔</w:t>
            </w:r>
            <w:r>
              <w:rPr>
                <w:rFonts w:hint="eastAsia" w:cs="Times New Roman"/>
                <w:color w:val="000000" w:themeColor="text1"/>
                <w:kern w:val="0"/>
                <w:sz w:val="24"/>
                <w:lang w:val="en-US" w:eastAsia="zh-CN"/>
                <w14:textFill>
                  <w14:solidFill>
                    <w14:schemeClr w14:val="tx1"/>
                  </w14:solidFill>
                </w14:textFill>
              </w:rPr>
              <w:t>涉及</w:t>
            </w:r>
            <w:r>
              <w:rPr>
                <w:rFonts w:hint="eastAsia" w:ascii="Times New Roman" w:hAnsi="Times New Roman" w:cs="Times New Roman"/>
                <w:color w:val="000000" w:themeColor="text1"/>
                <w:kern w:val="0"/>
                <w:sz w:val="24"/>
                <w:lang w:val="en-US" w:eastAsia="zh-CN"/>
                <w14:textFill>
                  <w14:solidFill>
                    <w14:schemeClr w14:val="tx1"/>
                  </w14:solidFill>
                </w14:textFill>
              </w:rPr>
              <w:t>青海省</w:t>
            </w:r>
            <w:r>
              <w:rPr>
                <w:rFonts w:hint="default" w:ascii="Times New Roman" w:hAnsi="Times New Roman" w:cs="Times New Roman"/>
                <w:color w:val="000000" w:themeColor="text1"/>
                <w:kern w:val="0"/>
                <w:sz w:val="24"/>
                <w:lang w:val="en-US" w:eastAsia="zh-CN"/>
                <w14:textFill>
                  <w14:solidFill>
                    <w14:schemeClr w14:val="tx1"/>
                  </w14:solidFill>
                </w14:textFill>
              </w:rPr>
              <w:t>划定的重点管控单元和一般管控单元</w:t>
            </w:r>
            <w:r>
              <w:rPr>
                <w:rFonts w:hint="eastAsia" w:ascii="Times New Roman" w:hAnsi="Times New Roman" w:cs="Times New Roman"/>
                <w:color w:val="000000" w:themeColor="text1"/>
                <w:kern w:val="0"/>
                <w:sz w:val="24"/>
                <w:lang w:val="en-US" w:eastAsia="zh-CN"/>
                <w14:textFill>
                  <w14:solidFill>
                    <w14:schemeClr w14:val="tx1"/>
                  </w14:solidFill>
                </w14:textFill>
              </w:rPr>
              <w:t>。因此，2022年钻孔不涉及</w:t>
            </w:r>
            <w:r>
              <w:rPr>
                <w:rFonts w:hint="eastAsia" w:cs="Times New Roman"/>
                <w:color w:val="000000" w:themeColor="text1"/>
                <w:kern w:val="0"/>
                <w:sz w:val="24"/>
                <w:lang w:val="en-US" w:eastAsia="zh-CN"/>
                <w14:textFill>
                  <w14:solidFill>
                    <w14:schemeClr w14:val="tx1"/>
                  </w14:solidFill>
                </w14:textFill>
              </w:rPr>
              <w:t>青海省</w:t>
            </w:r>
            <w:r>
              <w:rPr>
                <w:rFonts w:hint="eastAsia"/>
                <w:color w:val="000000" w:themeColor="text1"/>
                <w:sz w:val="24"/>
                <w14:textFill>
                  <w14:solidFill>
                    <w14:schemeClr w14:val="tx1"/>
                  </w14:solidFill>
                </w14:textFill>
              </w:rPr>
              <w:t>优先保护单元</w:t>
            </w:r>
            <w:r>
              <w:rPr>
                <w:rFonts w:hint="eastAsia"/>
                <w:color w:val="000000" w:themeColor="text1"/>
                <w:sz w:val="24"/>
                <w:lang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年拟布设的钻孔也不得占用上述保护目标。</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项目与《青海省“三线一单”生态环境分区管控》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1-4</w:t>
            </w:r>
            <w:r>
              <w:rPr>
                <w:rFonts w:hint="eastAsia"/>
                <w:color w:val="000000" w:themeColor="text1"/>
                <w:sz w:val="24"/>
                <w:lang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表1-4  项目与《青海省“三线一单”生态环境分区管控》</w:t>
            </w:r>
            <w:r>
              <w:rPr>
                <w:rFonts w:hint="eastAsia"/>
                <w:color w:val="000000" w:themeColor="text1"/>
                <w:sz w:val="24"/>
                <w:lang w:eastAsia="zh-CN"/>
                <w14:textFill>
                  <w14:solidFill>
                    <w14:schemeClr w14:val="tx1"/>
                  </w14:solidFill>
                </w14:textFill>
              </w:rPr>
              <w:t>相符性分析</w:t>
            </w:r>
            <w:r>
              <w:rPr>
                <w:rFonts w:hint="eastAsia"/>
                <w:color w:val="000000" w:themeColor="text1"/>
                <w:sz w:val="24"/>
                <w:lang w:val="en-US" w:eastAsia="zh-CN"/>
                <w14:textFill>
                  <w14:solidFill>
                    <w14:schemeClr w14:val="tx1"/>
                  </w14:solidFill>
                </w14:textFill>
              </w:rPr>
              <w:t>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1650"/>
              <w:gridCol w:w="4463"/>
              <w:gridCol w:w="2339"/>
              <w:gridCol w:w="126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84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名称</w:t>
                  </w:r>
                </w:p>
              </w:tc>
              <w:tc>
                <w:tcPr>
                  <w:tcW w:w="229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20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6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84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青海省</w:t>
                  </w:r>
                  <w:r>
                    <w:rPr>
                      <w:rFonts w:hint="eastAsia"/>
                      <w:color w:val="000000" w:themeColor="text1"/>
                      <w:sz w:val="21"/>
                      <w:szCs w:val="21"/>
                      <w:lang w:val="en-US" w:eastAsia="zh-CN"/>
                      <w14:textFill>
                        <w14:solidFill>
                          <w14:schemeClr w14:val="tx1"/>
                        </w14:solidFill>
                      </w14:textFill>
                    </w:rPr>
                    <w:t>“三线一单”生态环境分区管控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eastAsia="宋体" w:cs="宋体"/>
                      <w:color w:val="000000" w:themeColor="text1"/>
                      <w:sz w:val="21"/>
                      <w:szCs w:val="21"/>
                      <w:lang w:val="en-US" w:eastAsia="zh-CN" w:bidi="ar-SA"/>
                      <w14:textFill>
                        <w14:solidFill>
                          <w14:schemeClr w14:val="tx1"/>
                        </w14:solidFill>
                      </w14:textFill>
                    </w:rPr>
                    <w:t>优先保护单元：指具有一定生态功能、以生态环境保护为主的区域，应以生态环境保护优先为原则，严守生态环境质量底线，确保生态环境功能不降低</w:t>
                  </w:r>
                </w:p>
              </w:tc>
              <w:tc>
                <w:tcPr>
                  <w:tcW w:w="1203" w:type="pct"/>
                  <w:vMerge w:val="restart"/>
                  <w:tcBorders>
                    <w:tl2br w:val="nil"/>
                    <w:tr2bl w:val="nil"/>
                  </w:tcBorders>
                  <w:noWrap w:val="0"/>
                  <w:tcMar>
                    <w:top w:w="15" w:type="dxa"/>
                    <w:left w:w="15" w:type="dxa"/>
                    <w:bottom w:w="0" w:type="dxa"/>
                    <w:right w:w="15" w:type="dxa"/>
                  </w:tcMar>
                  <w:vAlign w:val="center"/>
                </w:tcPr>
                <w:p>
                  <w:pPr>
                    <w:pStyle w:val="17"/>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本项目2022年的钻孔不占用优先保护单元</w:t>
                  </w:r>
                  <w:r>
                    <w:rPr>
                      <w:rFonts w:hint="eastAsia" w:ascii="Times New Roman" w:hAnsi="Times New Roman" w:cs="Times New Roman"/>
                      <w:color w:val="000000" w:themeColor="text1"/>
                      <w:sz w:val="21"/>
                      <w:szCs w:val="21"/>
                      <w:lang w:val="en-US" w:eastAsia="zh-CN" w:bidi="ar-SA"/>
                      <w14:textFill>
                        <w14:solidFill>
                          <w14:schemeClr w14:val="tx1"/>
                        </w14:solidFill>
                      </w14:textFill>
                    </w:rPr>
                    <w:t>，不涉及生态红线</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，也不占用国家和自治区级自然保护区、风景名胜区、水源保护地、国家级森林公园、地质公园等环境敏感区。评价要求2023-2026年拟布设的钻孔也不得占用上述保护目标。</w:t>
                  </w:r>
                </w:p>
              </w:tc>
              <w:tc>
                <w:tcPr>
                  <w:tcW w:w="650"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8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default" w:ascii="宋体" w:hAnsi="宋体" w:eastAsia="宋体" w:cs="宋体"/>
                      <w:color w:val="000000" w:themeColor="text1"/>
                      <w:sz w:val="21"/>
                      <w:szCs w:val="21"/>
                      <w:lang w:val="en-US" w:eastAsia="zh-CN" w:bidi="ar-SA"/>
                      <w14:textFill>
                        <w14:solidFill>
                          <w14:schemeClr w14:val="tx1"/>
                        </w14:solidFill>
                      </w14:textFill>
                    </w:rPr>
                    <w:t>重点管控单元</w:t>
                  </w:r>
                  <w:r>
                    <w:rPr>
                      <w:rFonts w:hint="eastAsia" w:ascii="宋体" w:hAnsi="宋体" w:eastAsia="宋体" w:cs="宋体"/>
                      <w:color w:val="000000" w:themeColor="text1"/>
                      <w:sz w:val="21"/>
                      <w:szCs w:val="21"/>
                      <w:lang w:val="en-US" w:eastAsia="zh-CN" w:bidi="ar-SA"/>
                      <w14:textFill>
                        <w14:solidFill>
                          <w14:schemeClr w14:val="tx1"/>
                        </w14:solidFill>
                      </w14:textFill>
                    </w:rPr>
                    <w:t>：</w:t>
                  </w:r>
                  <w:r>
                    <w:rPr>
                      <w:rFonts w:hint="default" w:ascii="宋体" w:hAnsi="宋体" w:eastAsia="宋体" w:cs="宋体"/>
                      <w:color w:val="000000" w:themeColor="text1"/>
                      <w:sz w:val="21"/>
                      <w:szCs w:val="21"/>
                      <w:lang w:val="en-US" w:eastAsia="zh-CN" w:bidi="ar-SA"/>
                      <w14:textFill>
                        <w14:solidFill>
                          <w14:schemeClr w14:val="tx1"/>
                        </w14:solidFill>
                      </w14:textFill>
                    </w:rPr>
                    <w:t>指人口密集、资源开发强度较大、污染物排放强度相对较高的区域，应推进产业布局优化、转型升级，不断提升资源利用效率，加强污染物排放控制和环境风险防控;</w:t>
                  </w:r>
                </w:p>
              </w:tc>
              <w:tc>
                <w:tcPr>
                  <w:tcW w:w="1203" w:type="pct"/>
                  <w:vMerge w:val="continue"/>
                  <w:tcBorders>
                    <w:tl2br w:val="nil"/>
                    <w:tr2bl w:val="nil"/>
                  </w:tcBorders>
                  <w:noWrap w:val="0"/>
                  <w:tcMar>
                    <w:top w:w="15" w:type="dxa"/>
                    <w:left w:w="15" w:type="dxa"/>
                    <w:bottom w:w="0" w:type="dxa"/>
                    <w:right w:w="15" w:type="dxa"/>
                  </w:tcMar>
                  <w:vAlign w:val="center"/>
                </w:tcPr>
                <w:p>
                  <w:pPr>
                    <w:pStyle w:val="17"/>
                    <w:rPr>
                      <w:rFonts w:hAnsi="宋体"/>
                      <w:color w:val="000000" w:themeColor="text1"/>
                      <w:sz w:val="21"/>
                      <w:szCs w:val="21"/>
                      <w14:textFill>
                        <w14:solidFill>
                          <w14:schemeClr w14:val="tx1"/>
                        </w14:solidFill>
                      </w14:textFill>
                    </w:rPr>
                  </w:pPr>
                </w:p>
              </w:tc>
              <w:tc>
                <w:tcPr>
                  <w:tcW w:w="650"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17" w:hRule="atLeast"/>
                <w:tblHeader/>
                <w:jc w:val="center"/>
              </w:trPr>
              <w:tc>
                <w:tcPr>
                  <w:tcW w:w="8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eastAsia="宋体" w:cs="宋体"/>
                      <w:color w:val="000000" w:themeColor="text1"/>
                      <w:sz w:val="21"/>
                      <w:szCs w:val="21"/>
                      <w:lang w:val="en-US" w:eastAsia="zh-CN" w:bidi="ar-SA"/>
                      <w14:textFill>
                        <w14:solidFill>
                          <w14:schemeClr w14:val="tx1"/>
                        </w14:solidFill>
                      </w14:textFill>
                    </w:rPr>
                    <w:t>一般管控单元：指除优先保护单元和重点管控单元之外的其他区域，应促进生产、生活、生态功能协调融合，落实生态环境保护基本要求，保持区域生态环境质量稳定。</w:t>
                  </w:r>
                </w:p>
              </w:tc>
              <w:tc>
                <w:tcPr>
                  <w:tcW w:w="1203" w:type="pct"/>
                  <w:vMerge w:val="continue"/>
                  <w:tcBorders>
                    <w:tl2br w:val="nil"/>
                    <w:tr2bl w:val="nil"/>
                  </w:tcBorders>
                  <w:noWrap w:val="0"/>
                  <w:tcMar>
                    <w:top w:w="15" w:type="dxa"/>
                    <w:left w:w="15" w:type="dxa"/>
                    <w:bottom w:w="0" w:type="dxa"/>
                    <w:right w:w="15" w:type="dxa"/>
                  </w:tcMar>
                  <w:vAlign w:val="center"/>
                </w:tcPr>
                <w:p>
                  <w:pPr>
                    <w:pStyle w:val="17"/>
                    <w:rPr>
                      <w:rFonts w:hint="eastAsia" w:hAnsi="宋体"/>
                      <w:color w:val="000000" w:themeColor="text1"/>
                      <w:sz w:val="21"/>
                      <w:szCs w:val="21"/>
                      <w14:textFill>
                        <w14:solidFill>
                          <w14:schemeClr w14:val="tx1"/>
                        </w14:solidFill>
                      </w14:textFill>
                    </w:rPr>
                  </w:pPr>
                </w:p>
              </w:tc>
              <w:tc>
                <w:tcPr>
                  <w:tcW w:w="650"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综上所述，本项目符合</w:t>
            </w:r>
            <w:r>
              <w:rPr>
                <w:rFonts w:hint="eastAsia"/>
                <w:bCs/>
                <w:color w:val="000000" w:themeColor="text1"/>
                <w:sz w:val="24"/>
                <w14:textFill>
                  <w14:solidFill>
                    <w14:schemeClr w14:val="tx1"/>
                  </w14:solidFill>
                </w14:textFill>
              </w:rPr>
              <w:t>《青海省主体功能区</w:t>
            </w:r>
            <w:r>
              <w:rPr>
                <w:rFonts w:hint="eastAsia"/>
                <w:bCs/>
                <w:color w:val="000000" w:themeColor="text1"/>
                <w:sz w:val="24"/>
                <w:lang w:val="en-US" w:eastAsia="zh-CN"/>
                <w14:textFill>
                  <w14:solidFill>
                    <w14:schemeClr w14:val="tx1"/>
                  </w14:solidFill>
                </w14:textFill>
              </w:rPr>
              <w:t>规划</w:t>
            </w:r>
            <w:r>
              <w:rPr>
                <w:rFonts w:hint="eastAsia"/>
                <w:bCs/>
                <w:color w:val="000000" w:themeColor="text1"/>
                <w:sz w:val="24"/>
                <w14:textFill>
                  <w14:solidFill>
                    <w14:schemeClr w14:val="tx1"/>
                  </w14:solidFill>
                </w14:textFill>
              </w:rPr>
              <w:t>》</w:t>
            </w:r>
            <w:r>
              <w:rPr>
                <w:rFonts w:hint="eastAsia"/>
                <w:bCs/>
                <w:color w:val="000000" w:themeColor="text1"/>
                <w:sz w:val="24"/>
                <w:lang w:eastAsia="zh-CN"/>
                <w14:textFill>
                  <w14:solidFill>
                    <w14:schemeClr w14:val="tx1"/>
                  </w14:solidFill>
                </w14:textFill>
              </w:rPr>
              <w:t>、</w:t>
            </w:r>
            <w:r>
              <w:rPr>
                <w:color w:val="000000" w:themeColor="text1"/>
                <w:kern w:val="0"/>
                <w:sz w:val="24"/>
                <w:lang w:bidi="ar"/>
                <w14:textFill>
                  <w14:solidFill>
                    <w14:schemeClr w14:val="tx1"/>
                  </w14:solidFill>
                </w14:textFill>
              </w:rPr>
              <w:t>《</w:t>
            </w:r>
            <w:r>
              <w:rPr>
                <w:rFonts w:hint="eastAsia"/>
                <w:color w:val="000000" w:themeColor="text1"/>
                <w:sz w:val="24"/>
                <w14:textFill>
                  <w14:solidFill>
                    <w14:schemeClr w14:val="tx1"/>
                  </w14:solidFill>
                </w14:textFill>
              </w:rPr>
              <w:t>青海省</w:t>
            </w:r>
            <w:r>
              <w:rPr>
                <w:color w:val="000000" w:themeColor="text1"/>
                <w:kern w:val="0"/>
                <w:sz w:val="24"/>
                <w:lang w:bidi="ar"/>
                <w14:textFill>
                  <w14:solidFill>
                    <w14:schemeClr w14:val="tx1"/>
                  </w14:solidFill>
                </w14:textFill>
              </w:rPr>
              <w:t>矿产资源总体规划（</w:t>
            </w:r>
            <w:r>
              <w:rPr>
                <w:rFonts w:eastAsia="TimesNewRomanPSMT"/>
                <w:color w:val="000000" w:themeColor="text1"/>
                <w:kern w:val="0"/>
                <w:sz w:val="24"/>
                <w:lang w:bidi="ar"/>
                <w14:textFill>
                  <w14:solidFill>
                    <w14:schemeClr w14:val="tx1"/>
                  </w14:solidFill>
                </w14:textFill>
              </w:rPr>
              <w:t>2016-2020</w:t>
            </w:r>
            <w:r>
              <w:rPr>
                <w:color w:val="000000" w:themeColor="text1"/>
                <w:kern w:val="0"/>
                <w:sz w:val="24"/>
                <w:lang w:bidi="ar"/>
                <w14:textFill>
                  <w14:solidFill>
                    <w14:schemeClr w14:val="tx1"/>
                  </w14:solidFill>
                </w14:textFill>
              </w:rPr>
              <w:t>）》</w:t>
            </w:r>
            <w:r>
              <w:rPr>
                <w:rFonts w:hint="eastAsia"/>
                <w:color w:val="000000" w:themeColor="text1"/>
                <w:kern w:val="0"/>
                <w:sz w:val="24"/>
                <w:lang w:val="en-US" w:eastAsia="zh-CN" w:bidi="ar"/>
                <w14:textFill>
                  <w14:solidFill>
                    <w14:schemeClr w14:val="tx1"/>
                  </w14:solidFill>
                </w14:textFill>
              </w:rPr>
              <w:t>和</w:t>
            </w:r>
            <w:r>
              <w:rPr>
                <w:rFonts w:hint="eastAsia"/>
                <w:color w:val="000000" w:themeColor="text1"/>
                <w:sz w:val="24"/>
                <w:lang w:val="en-US" w:eastAsia="zh-CN"/>
                <w14:textFill>
                  <w14:solidFill>
                    <w14:schemeClr w14:val="tx1"/>
                  </w14:solidFill>
                </w14:textFill>
              </w:rPr>
              <w:t>《青海省“三线一单”生态环境分区管控》</w:t>
            </w:r>
            <w:r>
              <w:rPr>
                <w:rFonts w:hint="eastAsia"/>
                <w:color w:val="000000" w:themeColor="text1"/>
                <w:kern w:val="0"/>
                <w:sz w:val="24"/>
                <w:lang w:bidi="ar"/>
                <w14:textFill>
                  <w14:solidFill>
                    <w14:schemeClr w14:val="tx1"/>
                  </w14:solidFill>
                </w14:textFill>
              </w:rPr>
              <w:t>的要求。</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（2）与甘肃省相关规划符合性分析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①与《甘肃省主体功能区</w:t>
            </w:r>
            <w:r>
              <w:rPr>
                <w:rFonts w:hint="eastAsia"/>
                <w:color w:val="000000" w:themeColor="text1"/>
                <w:sz w:val="24"/>
                <w:lang w:val="en-US" w:eastAsia="zh-CN"/>
                <w14:textFill>
                  <w14:solidFill>
                    <w14:schemeClr w14:val="tx1"/>
                  </w14:solidFill>
                </w14:textFill>
              </w:rPr>
              <w:t>规划</w:t>
            </w:r>
            <w:r>
              <w:rPr>
                <w:rFonts w:hint="eastAsia"/>
                <w:color w:val="000000" w:themeColor="text1"/>
                <w:sz w:val="24"/>
                <w14:textFill>
                  <w14:solidFill>
                    <w14:schemeClr w14:val="tx1"/>
                  </w14:solidFill>
                </w14:textFill>
              </w:rPr>
              <w:t>》符合性分析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根据《甘肃省主体功能区</w:t>
            </w:r>
            <w:r>
              <w:rPr>
                <w:rFonts w:hint="eastAsia"/>
                <w:color w:val="000000" w:themeColor="text1"/>
                <w:sz w:val="24"/>
                <w:lang w:val="en-US" w:eastAsia="zh-CN"/>
                <w14:textFill>
                  <w14:solidFill>
                    <w14:schemeClr w14:val="tx1"/>
                  </w14:solidFill>
                </w14:textFill>
              </w:rPr>
              <w:t>规划</w:t>
            </w:r>
            <w:r>
              <w:rPr>
                <w:rFonts w:hint="eastAsia"/>
                <w:color w:val="000000" w:themeColor="text1"/>
                <w:sz w:val="24"/>
                <w14:textFill>
                  <w14:solidFill>
                    <w14:schemeClr w14:val="tx1"/>
                  </w14:solidFill>
                </w14:textFill>
              </w:rPr>
              <w:t>》，将甘肃省划分为重点开发区域、限制开发区域和禁止开发区域三类。</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涉及甘肃省的阿克塞哈萨克族自治县，经与《</w:t>
            </w:r>
            <w:r>
              <w:rPr>
                <w:rFonts w:hint="eastAsia"/>
                <w:color w:val="000000" w:themeColor="text1"/>
                <w:sz w:val="24"/>
                <w:lang w:val="en-US" w:eastAsia="zh-CN"/>
                <w14:textFill>
                  <w14:solidFill>
                    <w14:schemeClr w14:val="tx1"/>
                  </w14:solidFill>
                </w14:textFill>
              </w:rPr>
              <w:t>甘肃</w:t>
            </w:r>
            <w:r>
              <w:rPr>
                <w:rFonts w:hint="eastAsia"/>
                <w:color w:val="000000" w:themeColor="text1"/>
                <w:sz w:val="24"/>
                <w14:textFill>
                  <w14:solidFill>
                    <w14:schemeClr w14:val="tx1"/>
                  </w14:solidFill>
                </w14:textFill>
              </w:rPr>
              <w:t>省主体功能区规划》对照，</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属于《规划》中</w:t>
            </w:r>
            <w:r>
              <w:rPr>
                <w:rFonts w:hint="eastAsia"/>
                <w:color w:val="000000" w:themeColor="text1"/>
                <w:sz w:val="24"/>
                <w:lang w:val="en-US" w:eastAsia="zh-CN"/>
                <w14:textFill>
                  <w14:solidFill>
                    <w14:schemeClr w14:val="tx1"/>
                  </w14:solidFill>
                </w14:textFill>
              </w:rPr>
              <w:t>的</w:t>
            </w:r>
            <w:r>
              <w:rPr>
                <w:rFonts w:hint="eastAsia"/>
                <w:color w:val="000000" w:themeColor="text1"/>
                <w:sz w:val="24"/>
                <w14:textFill>
                  <w14:solidFill>
                    <w14:schemeClr w14:val="tx1"/>
                  </w14:solidFill>
                </w14:textFill>
              </w:rPr>
              <w:t>“限制开发区域</w:t>
            </w:r>
            <w:r>
              <w:rPr>
                <w:rFonts w:hint="eastAsia"/>
                <w:color w:val="000000" w:themeColor="text1"/>
                <w:sz w:val="24"/>
                <w:lang w:val="en-US" w:eastAsia="zh-CN"/>
                <w14:textFill>
                  <w14:solidFill>
                    <w14:schemeClr w14:val="tx1"/>
                  </w14:solidFill>
                </w14:textFill>
              </w:rPr>
              <w:t>-国家重点生态功能区</w:t>
            </w:r>
            <w:r>
              <w:rPr>
                <w:rFonts w:hint="eastAsia"/>
                <w:color w:val="000000" w:themeColor="text1"/>
                <w:sz w:val="24"/>
                <w14:textFill>
                  <w14:solidFill>
                    <w14:schemeClr w14:val="tx1"/>
                  </w14:solidFill>
                </w14:textFill>
              </w:rPr>
              <w:t>（祁连山冰川与水源涵养生态功能区）”。</w:t>
            </w:r>
            <w:r>
              <w:rPr>
                <w:rFonts w:hint="eastAsia"/>
                <w:bCs/>
                <w:color w:val="000000" w:themeColor="text1"/>
                <w:sz w:val="24"/>
                <w:lang w:eastAsia="zh-CN"/>
                <w14:textFill>
                  <w14:solidFill>
                    <w14:schemeClr w14:val="tx1"/>
                  </w14:solidFill>
                </w14:textFill>
              </w:rPr>
              <w:t>勘查区</w:t>
            </w:r>
            <w:r>
              <w:rPr>
                <w:rFonts w:hint="eastAsia"/>
                <w:bCs/>
                <w:color w:val="000000" w:themeColor="text1"/>
                <w:sz w:val="24"/>
                <w14:textFill>
                  <w14:solidFill>
                    <w14:schemeClr w14:val="tx1"/>
                  </w14:solidFill>
                </w14:textFill>
              </w:rPr>
              <w:t>内分布有2个省级湿地公园（甘肃省大苏干湖省级自然保护区和甘肃省小苏干湖省级自然保护区），属于禁止开发区域。</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项目与《甘肃省主体功能区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14:textFill>
                  <w14:solidFill>
                    <w14:schemeClr w14:val="tx1"/>
                  </w14:solidFill>
                </w14:textFill>
              </w:rPr>
              <w:t>》相符性分析见下表1-</w:t>
            </w:r>
            <w:r>
              <w:rPr>
                <w:rFonts w:hint="eastAsia"/>
                <w:bCs/>
                <w:color w:val="000000" w:themeColor="text1"/>
                <w:sz w:val="24"/>
                <w:lang w:val="en-US" w:eastAsia="zh-CN"/>
                <w14:textFill>
                  <w14:solidFill>
                    <w14:schemeClr w14:val="tx1"/>
                  </w14:solidFill>
                </w14:textFill>
              </w:rPr>
              <w:t>5，勘查区与甘肃省主体功能区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关系见附图3</w:t>
            </w:r>
            <w:r>
              <w:rPr>
                <w:rFonts w:hint="eastAsia"/>
                <w:bCs/>
                <w:color w:val="000000" w:themeColor="text1"/>
                <w:sz w:val="24"/>
                <w14:textFill>
                  <w14:solidFill>
                    <w14:schemeClr w14:val="tx1"/>
                  </w14:solidFill>
                </w14:textFill>
              </w:rPr>
              <w:t>。</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表1-</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 xml:space="preserve">  </w:t>
            </w:r>
            <w:r>
              <w:rPr>
                <w:rFonts w:hint="eastAsia"/>
                <w:bCs/>
                <w:color w:val="000000" w:themeColor="text1"/>
                <w:sz w:val="24"/>
                <w14:textFill>
                  <w14:solidFill>
                    <w14:schemeClr w14:val="tx1"/>
                  </w14:solidFill>
                </w14:textFill>
              </w:rPr>
              <w:t>项目与《甘肃省主体功能区</w:t>
            </w:r>
            <w:r>
              <w:rPr>
                <w:rFonts w:hint="eastAsia"/>
                <w:bCs/>
                <w:color w:val="000000" w:themeColor="text1"/>
                <w:sz w:val="24"/>
                <w:lang w:val="en-US" w:eastAsia="zh-CN"/>
                <w14:textFill>
                  <w14:solidFill>
                    <w14:schemeClr w14:val="tx1"/>
                  </w14:solidFill>
                </w14:textFill>
              </w:rPr>
              <w:t>规划</w:t>
            </w:r>
            <w:r>
              <w:rPr>
                <w:rFonts w:hint="eastAsia"/>
                <w:bCs/>
                <w:color w:val="000000" w:themeColor="text1"/>
                <w:sz w:val="24"/>
                <w14:textFill>
                  <w14:solidFill>
                    <w14:schemeClr w14:val="tx1"/>
                  </w14:solidFill>
                </w14:textFill>
              </w:rPr>
              <w:t>》相符性分析表</w:t>
            </w:r>
          </w:p>
          <w:tbl>
            <w:tblPr>
              <w:tblStyle w:val="13"/>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78"/>
              <w:gridCol w:w="5608"/>
              <w:gridCol w:w="1626"/>
              <w:gridCol w:w="13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名称</w:t>
                  </w:r>
                </w:p>
              </w:tc>
              <w:tc>
                <w:tcPr>
                  <w:tcW w:w="2886"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相关内容</w:t>
                  </w:r>
                </w:p>
              </w:tc>
              <w:tc>
                <w:tcPr>
                  <w:tcW w:w="837"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669" w:type="pct"/>
                  <w:tcBorders>
                    <w:tl2br w:val="nil"/>
                    <w:tr2bl w:val="nil"/>
                  </w:tcBorders>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甘肃</w:t>
                  </w:r>
                  <w:r>
                    <w:rPr>
                      <w:color w:val="000000" w:themeColor="text1"/>
                      <w:szCs w:val="21"/>
                      <w14:textFill>
                        <w14:solidFill>
                          <w14:schemeClr w14:val="tx1"/>
                        </w14:solidFill>
                      </w14:textFill>
                    </w:rPr>
                    <w:t>省主体功能区</w:t>
                  </w:r>
                  <w:r>
                    <w:rPr>
                      <w:rFonts w:hint="eastAsia"/>
                      <w:color w:val="000000" w:themeColor="text1"/>
                      <w:szCs w:val="21"/>
                      <w:lang w:val="en-US" w:eastAsia="zh-CN"/>
                      <w14:textFill>
                        <w14:solidFill>
                          <w14:schemeClr w14:val="tx1"/>
                        </w14:solidFill>
                      </w14:textFill>
                    </w:rPr>
                    <w:t>规划</w:t>
                  </w:r>
                  <w:r>
                    <w:rPr>
                      <w:color w:val="000000" w:themeColor="text1"/>
                      <w:szCs w:val="21"/>
                      <w14:textFill>
                        <w14:solidFill>
                          <w14:schemeClr w14:val="tx1"/>
                        </w14:solidFill>
                      </w14:textFill>
                    </w:rPr>
                    <w:t>》</w:t>
                  </w:r>
                </w:p>
              </w:tc>
              <w:tc>
                <w:tcPr>
                  <w:tcW w:w="2886" w:type="pct"/>
                  <w:tcBorders>
                    <w:tl2br w:val="nil"/>
                    <w:tr2bl w:val="nil"/>
                  </w:tcBorders>
                </w:tcPr>
                <w:p>
                  <w:pPr>
                    <w:ind w:firstLine="420" w:firstLineChars="200"/>
                    <w:rPr>
                      <w:rFonts w:hint="eastAsia"/>
                      <w:color w:val="000000" w:themeColor="text1"/>
                      <w:szCs w:val="21"/>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重点开发区域：以基础设施为先导、特色优势产业为支撑、区域中心城市为依托，突出各自特色，加强优势互补，强化区域和区际联系，增强区域产业配套能力，形成若干产业高地，进一步壮大中心城市的经济规模，使之成为集聚经济和人口、参与国家产业分工和支撑全省经济持续增长的主体区域。</w:t>
                  </w:r>
                </w:p>
              </w:tc>
              <w:tc>
                <w:tcPr>
                  <w:tcW w:w="837"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669"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2886" w:type="pct"/>
                  <w:tcBorders>
                    <w:tl2br w:val="nil"/>
                    <w:tr2bl w:val="nil"/>
                  </w:tcBorders>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限制开发区域：</w:t>
                  </w:r>
                </w:p>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功能定位：国家重要的生态安全屏障，河西内陆河流域水源涵养保护区，绿洲节水高效农业示范区。</w:t>
                  </w:r>
                </w:p>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发展方向：以构建河西内陆河流域生态屏障为重点，实施对祁连山区冰川、湿地、森林、草原抢救性保护，防止人为生态破坏，实行严格的管制措施，增强水源涵养功能。创新保护机制，适度发展与生态环境相适应的特色产业，引导人口和产业有序转移，减轻系统压力。按照“南护水源、中兴绿洲、北防风沙”的战略方针，强化祁连山保护区水源涵养，采取流域综合治理措施，加快中部绿洲节水型社会建设，遏制下游荒漠化，实施石羊河、黑河、疏勒河三大内陆河流域综合治理工程。在加大生态保护力度的同时，积极支持永登、古浪、永昌、山丹、民乐等农业条件较好的县，发展特色农业和绿洲节水高效农业，协同建设沿黄农业产业带及河西农产品主产区，提升其在全省农业发展战略格局中的地位。</w:t>
                  </w:r>
                </w:p>
              </w:tc>
              <w:tc>
                <w:tcPr>
                  <w:tcW w:w="837" w:type="pct"/>
                  <w:tcBorders>
                    <w:tl2br w:val="nil"/>
                    <w:tr2bl w:val="nil"/>
                  </w:tcBorders>
                  <w:vAlign w:val="center"/>
                </w:tcPr>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本项目属铀矿地质勘查，污染物产生量小，开发活动均为临时占地，采取生态保护与恢复措施，不会损害生态系统的稳定性和完整性，基本不会影响区域水源涵养功能</w:t>
                  </w:r>
                </w:p>
              </w:tc>
              <w:tc>
                <w:tcPr>
                  <w:tcW w:w="66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tcPr>
                <w:p>
                  <w:pPr>
                    <w:spacing w:line="360" w:lineRule="auto"/>
                    <w:jc w:val="center"/>
                    <w:rPr>
                      <w:color w:val="000000" w:themeColor="text1"/>
                      <w:szCs w:val="21"/>
                      <w14:textFill>
                        <w14:solidFill>
                          <w14:schemeClr w14:val="tx1"/>
                        </w14:solidFill>
                      </w14:textFill>
                    </w:rPr>
                  </w:pPr>
                </w:p>
              </w:tc>
              <w:tc>
                <w:tcPr>
                  <w:tcW w:w="2886" w:type="pct"/>
                  <w:tcBorders>
                    <w:tl2br w:val="nil"/>
                    <w:tr2bl w:val="nil"/>
                  </w:tcBorders>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禁止开发区域：</w:t>
                  </w:r>
                </w:p>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功能定位：点状分布的生态功能区，文化自然遗产保护的重要</w:t>
                  </w:r>
                  <w:r>
                    <w:rPr>
                      <w:color w:val="000000" w:themeColor="text1"/>
                      <w:szCs w:val="21"/>
                      <w14:textFill>
                        <w14:solidFill>
                          <w14:schemeClr w14:val="tx1"/>
                        </w14:solidFill>
                      </w14:textFill>
                    </w:rPr>
                    <w:t>区域，珍稀动植物基因资源保护地。</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发展方向：完善相关法规、政策和加强管理，严格禁止人类活动对自然文化遗产的干扰与破坏，实施强制性保护，有限发展与禁止开发区域功能定位相容的相关产业，保护自然遗产和文化遗产。严格保护基本农田。</w:t>
                  </w:r>
                </w:p>
              </w:tc>
              <w:tc>
                <w:tcPr>
                  <w:tcW w:w="837" w:type="pct"/>
                  <w:tcBorders>
                    <w:tl2br w:val="nil"/>
                    <w:tr2bl w:val="nil"/>
                  </w:tcBorders>
                  <w:vAlign w:val="center"/>
                </w:tcPr>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lang w:val="en-US" w:eastAsia="zh-CN"/>
                      <w14:textFill>
                        <w14:solidFill>
                          <w14:schemeClr w14:val="tx1"/>
                        </w14:solidFill>
                      </w14:textFill>
                    </w:rPr>
                    <w:t>勘查工程</w:t>
                  </w:r>
                  <w:r>
                    <w:rPr>
                      <w:color w:val="000000" w:themeColor="text1"/>
                      <w:szCs w:val="21"/>
                      <w14:textFill>
                        <w14:solidFill>
                          <w14:schemeClr w14:val="tx1"/>
                        </w14:solidFill>
                      </w14:textFill>
                    </w:rPr>
                    <w:t>不在禁止开发区域内</w:t>
                  </w:r>
                  <w:r>
                    <w:rPr>
                      <w:rFonts w:hint="eastAsia"/>
                      <w:color w:val="000000" w:themeColor="text1"/>
                      <w:szCs w:val="21"/>
                      <w14:textFill>
                        <w14:solidFill>
                          <w14:schemeClr w14:val="tx1"/>
                        </w14:solidFill>
                      </w14:textFill>
                    </w:rPr>
                    <w:t>布置</w:t>
                  </w:r>
                </w:p>
              </w:tc>
              <w:tc>
                <w:tcPr>
                  <w:tcW w:w="669" w:type="pct"/>
                  <w:tcBorders>
                    <w:tl2br w:val="nil"/>
                    <w:tr2bl w:val="nil"/>
                  </w:tcBorders>
                  <w:vAlign w:val="center"/>
                </w:tcPr>
                <w:p>
                  <w:pPr>
                    <w:spacing w:line="360" w:lineRule="auto"/>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符合</w:t>
                  </w:r>
                </w:p>
              </w:tc>
            </w:tr>
          </w:tbl>
          <w:p>
            <w:pPr>
              <w:widowControl/>
              <w:spacing w:line="360" w:lineRule="auto"/>
              <w:ind w:firstLine="480" w:firstLineChars="200"/>
              <w:jc w:val="left"/>
              <w:rPr>
                <w:color w:val="000000" w:themeColor="text1"/>
                <w14:textFill>
                  <w14:solidFill>
                    <w14:schemeClr w14:val="tx1"/>
                  </w14:solidFill>
                </w14:textFill>
              </w:rPr>
            </w:pPr>
            <w:r>
              <w:rPr>
                <w:rFonts w:hint="eastAsia" w:ascii="宋体" w:hAnsi="宋体" w:cs="宋体"/>
                <w:color w:val="000000" w:themeColor="text1"/>
                <w:kern w:val="0"/>
                <w:sz w:val="24"/>
                <w:lang w:bidi="ar"/>
                <w14:textFill>
                  <w14:solidFill>
                    <w14:schemeClr w14:val="tx1"/>
                  </w14:solidFill>
                </w14:textFill>
              </w:rPr>
              <w:t>②与《甘肃省矿产资源总体规划（</w:t>
            </w:r>
            <w:r>
              <w:rPr>
                <w:rFonts w:ascii="TimesNewRomanPSMT" w:hAnsi="TimesNewRomanPSMT" w:eastAsia="TimesNewRomanPSMT" w:cs="TimesNewRomanPSMT"/>
                <w:color w:val="000000" w:themeColor="text1"/>
                <w:kern w:val="0"/>
                <w:sz w:val="24"/>
                <w:lang w:bidi="ar"/>
                <w14:textFill>
                  <w14:solidFill>
                    <w14:schemeClr w14:val="tx1"/>
                  </w14:solidFill>
                </w14:textFill>
              </w:rPr>
              <w:t>2016-2020</w:t>
            </w:r>
            <w:r>
              <w:rPr>
                <w:rFonts w:hint="eastAsia" w:ascii="宋体" w:hAnsi="宋体" w:cs="宋体"/>
                <w:color w:val="000000" w:themeColor="text1"/>
                <w:kern w:val="0"/>
                <w:sz w:val="24"/>
                <w:lang w:bidi="ar"/>
                <w14:textFill>
                  <w14:solidFill>
                    <w14:schemeClr w14:val="tx1"/>
                  </w14:solidFill>
                </w14:textFill>
              </w:rPr>
              <w:t>）》的符合性分析</w:t>
            </w:r>
          </w:p>
          <w:p>
            <w:pPr>
              <w:widowControl/>
              <w:spacing w:line="360" w:lineRule="auto"/>
              <w:ind w:firstLine="480" w:firstLineChars="200"/>
              <w:jc w:val="left"/>
              <w:rPr>
                <w:color w:val="000000" w:themeColor="text1"/>
                <w14:textFill>
                  <w14:solidFill>
                    <w14:schemeClr w14:val="tx1"/>
                  </w14:solidFill>
                </w14:textFill>
              </w:rPr>
            </w:pPr>
            <w:r>
              <w:rPr>
                <w:color w:val="000000" w:themeColor="text1"/>
                <w:kern w:val="0"/>
                <w:sz w:val="24"/>
                <w:lang w:bidi="ar"/>
                <w14:textFill>
                  <w14:solidFill>
                    <w14:schemeClr w14:val="tx1"/>
                  </w14:solidFill>
                </w14:textFill>
              </w:rPr>
              <w:t>项目与《甘肃省矿产资源总体规划（</w:t>
            </w:r>
            <w:r>
              <w:rPr>
                <w:rFonts w:eastAsia="TimesNewRomanPSMT"/>
                <w:color w:val="000000" w:themeColor="text1"/>
                <w:kern w:val="0"/>
                <w:sz w:val="24"/>
                <w:lang w:bidi="ar"/>
                <w14:textFill>
                  <w14:solidFill>
                    <w14:schemeClr w14:val="tx1"/>
                  </w14:solidFill>
                </w14:textFill>
              </w:rPr>
              <w:t>2016-2020</w:t>
            </w:r>
            <w:r>
              <w:rPr>
                <w:color w:val="000000" w:themeColor="text1"/>
                <w:kern w:val="0"/>
                <w:sz w:val="24"/>
                <w:lang w:bidi="ar"/>
                <w14:textFill>
                  <w14:solidFill>
                    <w14:schemeClr w14:val="tx1"/>
                  </w14:solidFill>
                </w14:textFill>
              </w:rPr>
              <w:t>）》相符性分析</w:t>
            </w:r>
            <w:r>
              <w:rPr>
                <w:rFonts w:hint="eastAsia"/>
                <w:color w:val="000000" w:themeColor="text1"/>
                <w:kern w:val="0"/>
                <w:sz w:val="24"/>
                <w:lang w:val="en-US" w:eastAsia="zh-CN" w:bidi="ar"/>
                <w14:textFill>
                  <w14:solidFill>
                    <w14:schemeClr w14:val="tx1"/>
                  </w14:solidFill>
                </w14:textFill>
              </w:rPr>
              <w:t>见</w:t>
            </w:r>
            <w:r>
              <w:rPr>
                <w:color w:val="000000" w:themeColor="text1"/>
                <w:kern w:val="0"/>
                <w:sz w:val="24"/>
                <w:lang w:bidi="ar"/>
                <w14:textFill>
                  <w14:solidFill>
                    <w14:schemeClr w14:val="tx1"/>
                  </w14:solidFill>
                </w14:textFill>
              </w:rPr>
              <w:t>表1-</w:t>
            </w:r>
            <w:r>
              <w:rPr>
                <w:rFonts w:hint="eastAsia"/>
                <w:color w:val="000000" w:themeColor="text1"/>
                <w:kern w:val="0"/>
                <w:sz w:val="24"/>
                <w:lang w:val="en-US" w:eastAsia="zh-CN" w:bidi="ar"/>
                <w14:textFill>
                  <w14:solidFill>
                    <w14:schemeClr w14:val="tx1"/>
                  </w14:solidFill>
                </w14:textFill>
              </w:rPr>
              <w:t>6</w:t>
            </w:r>
            <w:r>
              <w:rPr>
                <w:color w:val="000000" w:themeColor="text1"/>
                <w:kern w:val="0"/>
                <w:sz w:val="24"/>
                <w:lang w:bidi="ar"/>
                <w14:textFill>
                  <w14:solidFill>
                    <w14:schemeClr w14:val="tx1"/>
                  </w14:solidFill>
                </w14:textFill>
              </w:rPr>
              <w:t>。</w:t>
            </w:r>
          </w:p>
          <w:p>
            <w:pPr>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表1-</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 xml:space="preserve">  </w:t>
            </w:r>
            <w:r>
              <w:rPr>
                <w:color w:val="000000" w:themeColor="text1"/>
                <w:kern w:val="0"/>
                <w:sz w:val="24"/>
                <w:lang w:bidi="ar"/>
                <w14:textFill>
                  <w14:solidFill>
                    <w14:schemeClr w14:val="tx1"/>
                  </w14:solidFill>
                </w14:textFill>
              </w:rPr>
              <w:t>项目与《甘肃省矿产资源总体规划（</w:t>
            </w:r>
            <w:r>
              <w:rPr>
                <w:rFonts w:eastAsia="TimesNewRomanPSMT"/>
                <w:color w:val="000000" w:themeColor="text1"/>
                <w:kern w:val="0"/>
                <w:sz w:val="24"/>
                <w:lang w:bidi="ar"/>
                <w14:textFill>
                  <w14:solidFill>
                    <w14:schemeClr w14:val="tx1"/>
                  </w14:solidFill>
                </w14:textFill>
              </w:rPr>
              <w:t>2016-2020</w:t>
            </w:r>
            <w:r>
              <w:rPr>
                <w:color w:val="000000" w:themeColor="text1"/>
                <w:kern w:val="0"/>
                <w:sz w:val="24"/>
                <w:lang w:bidi="ar"/>
                <w14:textFill>
                  <w14:solidFill>
                    <w14:schemeClr w14:val="tx1"/>
                  </w14:solidFill>
                </w14:textFill>
              </w:rPr>
              <w:t>）》相符性分析</w:t>
            </w:r>
            <w:r>
              <w:rPr>
                <w:rFonts w:hint="eastAsia"/>
                <w:color w:val="000000" w:themeColor="text1"/>
                <w:kern w:val="0"/>
                <w:sz w:val="24"/>
                <w:lang w:bidi="ar"/>
                <w14:textFill>
                  <w14:solidFill>
                    <w14:schemeClr w14:val="tx1"/>
                  </w14:solidFill>
                </w14:textFill>
              </w:rPr>
              <w:t>表</w:t>
            </w:r>
          </w:p>
          <w:tbl>
            <w:tblPr>
              <w:tblStyle w:val="13"/>
              <w:tblW w:w="4994"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755"/>
              <w:gridCol w:w="4120"/>
              <w:gridCol w:w="2491"/>
              <w:gridCol w:w="13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04"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名称</w:t>
                  </w:r>
                </w:p>
              </w:tc>
              <w:tc>
                <w:tcPr>
                  <w:tcW w:w="2122" w:type="pct"/>
                  <w:tcBorders>
                    <w:tl2br w:val="nil"/>
                    <w:tr2bl w:val="nil"/>
                  </w:tcBorders>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相关内容</w:t>
                  </w:r>
                </w:p>
              </w:tc>
              <w:tc>
                <w:tcPr>
                  <w:tcW w:w="1283" w:type="pct"/>
                  <w:tcBorders>
                    <w:tl2br w:val="nil"/>
                    <w:tr2bl w:val="nil"/>
                  </w:tcBorders>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689" w:type="pct"/>
                  <w:tcBorders>
                    <w:tl2br w:val="nil"/>
                    <w:tr2bl w:val="nil"/>
                  </w:tcBorders>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相符性</w:t>
                  </w:r>
                  <w:r>
                    <w:rPr>
                      <w:rFonts w:hint="eastAsia"/>
                      <w:color w:val="000000" w:themeColor="text1"/>
                      <w:szCs w:val="21"/>
                      <w14:textFill>
                        <w14:solidFill>
                          <w14:schemeClr w14:val="tx1"/>
                        </w14:solidFill>
                      </w14:textFill>
                    </w:rPr>
                    <w:t>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04"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kern w:val="0"/>
                      <w:szCs w:val="21"/>
                      <w:lang w:bidi="ar"/>
                      <w14:textFill>
                        <w14:solidFill>
                          <w14:schemeClr w14:val="tx1"/>
                        </w14:solidFill>
                      </w14:textFill>
                    </w:rPr>
                    <w:t>《甘肃省矿产资源总体规划（</w:t>
                  </w:r>
                  <w:r>
                    <w:rPr>
                      <w:rFonts w:eastAsia="TimesNewRomanPSMT"/>
                      <w:color w:val="000000" w:themeColor="text1"/>
                      <w:kern w:val="0"/>
                      <w:szCs w:val="21"/>
                      <w:lang w:bidi="ar"/>
                      <w14:textFill>
                        <w14:solidFill>
                          <w14:schemeClr w14:val="tx1"/>
                        </w14:solidFill>
                      </w14:textFill>
                    </w:rPr>
                    <w:t>2016-2020</w:t>
                  </w:r>
                  <w:r>
                    <w:rPr>
                      <w:color w:val="000000" w:themeColor="text1"/>
                      <w:kern w:val="0"/>
                      <w:szCs w:val="21"/>
                      <w:lang w:bidi="ar"/>
                      <w14:textFill>
                        <w14:solidFill>
                          <w14:schemeClr w14:val="tx1"/>
                        </w14:solidFill>
                      </w14:textFill>
                    </w:rPr>
                    <w:t>）》</w:t>
                  </w:r>
                </w:p>
              </w:tc>
              <w:tc>
                <w:tcPr>
                  <w:tcW w:w="2122" w:type="pct"/>
                  <w:tcBorders>
                    <w:tl2br w:val="nil"/>
                    <w:tr2bl w:val="nil"/>
                  </w:tcBorders>
                </w:tcPr>
                <w:p>
                  <w:pPr>
                    <w:rPr>
                      <w:color w:val="000000" w:themeColor="text1"/>
                      <w:sz w:val="24"/>
                      <w14:textFill>
                        <w14:solidFill>
                          <w14:schemeClr w14:val="tx1"/>
                        </w14:solidFill>
                      </w14:textFill>
                    </w:rPr>
                  </w:pPr>
                  <w:r>
                    <w:rPr>
                      <w:color w:val="000000" w:themeColor="text1"/>
                      <w:szCs w:val="21"/>
                      <w14:textFill>
                        <w14:solidFill>
                          <w14:schemeClr w14:val="tx1"/>
                        </w14:solidFill>
                      </w14:textFill>
                    </w:rPr>
                    <w:t>以煤、铀、铜、铅、锌、镍、钴、铂族、金、钨、锑、凹凸棒石粘土、石膏、熔剂用灰岩、水泥用灰岩等优势和特色矿产资源为重点，加强镍、铜、铂族、金、凹凸棒石粘土等矿种的勘查开发。对于稀有和稀散金属、晶质石墨等资源基础好、市场潜力大、具有国际市场竞争力的战略性新兴产业矿产，加大勘查开发力度。</w:t>
                  </w:r>
                </w:p>
              </w:tc>
              <w:tc>
                <w:tcPr>
                  <w:tcW w:w="1283" w:type="pct"/>
                  <w:tcBorders>
                    <w:tl2br w:val="nil"/>
                    <w:tr2bl w:val="nil"/>
                  </w:tcBorders>
                  <w:vAlign w:val="center"/>
                </w:tcPr>
                <w:p>
                  <w:pPr>
                    <w:rPr>
                      <w:color w:val="000000" w:themeColor="text1"/>
                      <w:sz w:val="24"/>
                      <w14:textFill>
                        <w14:solidFill>
                          <w14:schemeClr w14:val="tx1"/>
                        </w14:solidFill>
                      </w14:textFill>
                    </w:rPr>
                  </w:pPr>
                  <w:r>
                    <w:rPr>
                      <w:rFonts w:hint="eastAsia"/>
                      <w:color w:val="000000" w:themeColor="text1"/>
                      <w:szCs w:val="21"/>
                      <w14:textFill>
                        <w14:solidFill>
                          <w14:schemeClr w14:val="tx1"/>
                        </w14:solidFill>
                      </w14:textFill>
                    </w:rPr>
                    <w:t>本项目属铀矿资源勘查，铀属战略性矿产资源</w:t>
                  </w:r>
                </w:p>
              </w:tc>
              <w:tc>
                <w:tcPr>
                  <w:tcW w:w="689" w:type="pct"/>
                  <w:tcBorders>
                    <w:tl2br w:val="nil"/>
                    <w:tr2bl w:val="nil"/>
                  </w:tcBorders>
                  <w:vAlign w:val="center"/>
                </w:tcPr>
                <w:p>
                  <w:pPr>
                    <w:jc w:val="center"/>
                    <w:rPr>
                      <w:color w:val="000000" w:themeColor="text1"/>
                      <w:sz w:val="24"/>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1" w:hRule="atLeast"/>
              </w:trPr>
              <w:tc>
                <w:tcPr>
                  <w:tcW w:w="904" w:type="pct"/>
                  <w:vMerge w:val="continue"/>
                  <w:tcBorders>
                    <w:tl2br w:val="nil"/>
                    <w:tr2bl w:val="nil"/>
                  </w:tcBorders>
                </w:tcPr>
                <w:p>
                  <w:pPr>
                    <w:spacing w:line="360" w:lineRule="auto"/>
                    <w:rPr>
                      <w:color w:val="000000" w:themeColor="text1"/>
                      <w:sz w:val="24"/>
                      <w14:textFill>
                        <w14:solidFill>
                          <w14:schemeClr w14:val="tx1"/>
                        </w14:solidFill>
                      </w14:textFill>
                    </w:rPr>
                  </w:pPr>
                </w:p>
              </w:tc>
              <w:tc>
                <w:tcPr>
                  <w:tcW w:w="2122" w:type="pct"/>
                  <w:tcBorders>
                    <w:tl2br w:val="nil"/>
                    <w:tr2bl w:val="nil"/>
                  </w:tcBorders>
                  <w:vAlign w:val="center"/>
                </w:tcPr>
                <w:p>
                  <w:pPr>
                    <w:widowControl/>
                    <w:jc w:val="left"/>
                    <w:rPr>
                      <w:color w:val="000000" w:themeColor="text1"/>
                      <w:sz w:val="24"/>
                      <w14:textFill>
                        <w14:solidFill>
                          <w14:schemeClr w14:val="tx1"/>
                        </w14:solidFill>
                      </w14:textFill>
                    </w:rPr>
                  </w:pPr>
                  <w:r>
                    <w:rPr>
                      <w:rFonts w:hint="eastAsia"/>
                      <w:color w:val="000000" w:themeColor="text1"/>
                      <w:szCs w:val="21"/>
                      <w14:textFill>
                        <w14:solidFill>
                          <w14:schemeClr w14:val="tx1"/>
                        </w14:solidFill>
                      </w14:textFill>
                    </w:rPr>
                    <w:t>限制勘查甘南州及武威市的泥炭。</w:t>
                  </w:r>
                </w:p>
              </w:tc>
              <w:tc>
                <w:tcPr>
                  <w:tcW w:w="1283" w:type="pct"/>
                  <w:tcBorders>
                    <w:tl2br w:val="nil"/>
                    <w:tr2bl w:val="nil"/>
                  </w:tcBorders>
                  <w:vAlign w:val="center"/>
                </w:tcPr>
                <w:p>
                  <w:pPr>
                    <w:rPr>
                      <w:color w:val="000000" w:themeColor="text1"/>
                      <w:sz w:val="24"/>
                      <w14:textFill>
                        <w14:solidFill>
                          <w14:schemeClr w14:val="tx1"/>
                        </w14:solidFill>
                      </w14:textFill>
                    </w:rPr>
                  </w:pPr>
                  <w:r>
                    <w:rPr>
                      <w:rFonts w:hint="eastAsia"/>
                      <w:color w:val="000000" w:themeColor="text1"/>
                      <w:szCs w:val="21"/>
                      <w14:textFill>
                        <w14:solidFill>
                          <w14:schemeClr w14:val="tx1"/>
                        </w14:solidFill>
                      </w14:textFill>
                    </w:rPr>
                    <w:t>本项目</w:t>
                  </w: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涉及酒泉市的阿克塞哈萨克族自治县，属铀矿资源勘查</w:t>
                  </w:r>
                </w:p>
              </w:tc>
              <w:tc>
                <w:tcPr>
                  <w:tcW w:w="689" w:type="pct"/>
                  <w:tcBorders>
                    <w:tl2br w:val="nil"/>
                    <w:tr2bl w:val="nil"/>
                  </w:tcBorders>
                  <w:vAlign w:val="center"/>
                </w:tcPr>
                <w:p>
                  <w:pPr>
                    <w:spacing w:line="360" w:lineRule="auto"/>
                    <w:jc w:val="center"/>
                    <w:rPr>
                      <w:color w:val="000000" w:themeColor="text1"/>
                      <w:sz w:val="24"/>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904" w:type="pct"/>
                  <w:vMerge w:val="continue"/>
                  <w:tcBorders>
                    <w:tl2br w:val="nil"/>
                    <w:tr2bl w:val="nil"/>
                  </w:tcBorders>
                </w:tcPr>
                <w:p>
                  <w:pPr>
                    <w:spacing w:line="360" w:lineRule="auto"/>
                    <w:rPr>
                      <w:color w:val="000000" w:themeColor="text1"/>
                      <w:sz w:val="24"/>
                      <w14:textFill>
                        <w14:solidFill>
                          <w14:schemeClr w14:val="tx1"/>
                        </w14:solidFill>
                      </w14:textFill>
                    </w:rPr>
                  </w:pPr>
                </w:p>
              </w:tc>
              <w:tc>
                <w:tcPr>
                  <w:tcW w:w="2122" w:type="pct"/>
                  <w:tcBorders>
                    <w:tl2br w:val="nil"/>
                    <w:tr2bl w:val="nil"/>
                  </w:tcBorders>
                  <w:vAlign w:val="center"/>
                </w:tcPr>
                <w:p>
                  <w:pPr>
                    <w:widowControl/>
                    <w:jc w:val="left"/>
                    <w:rPr>
                      <w:color w:val="000000" w:themeColor="text1"/>
                      <w:sz w:val="24"/>
                      <w14:textFill>
                        <w14:solidFill>
                          <w14:schemeClr w14:val="tx1"/>
                        </w14:solidFill>
                      </w14:textFill>
                    </w:rPr>
                  </w:pPr>
                  <w:r>
                    <w:rPr>
                      <w:rFonts w:hint="eastAsia" w:ascii="宋体" w:hAnsi="宋体" w:cs="宋体"/>
                      <w:b/>
                      <w:color w:val="000000" w:themeColor="text1"/>
                      <w:kern w:val="0"/>
                      <w:szCs w:val="21"/>
                      <w:lang w:bidi="ar"/>
                      <w14:textFill>
                        <w14:solidFill>
                          <w14:schemeClr w14:val="tx1"/>
                        </w14:solidFill>
                      </w14:textFill>
                    </w:rPr>
                    <w:t>河西地区：</w:t>
                  </w:r>
                  <w:r>
                    <w:rPr>
                      <w:rFonts w:hint="eastAsia" w:ascii="宋体" w:hAnsi="宋体" w:cs="宋体"/>
                      <w:color w:val="000000" w:themeColor="text1"/>
                      <w:kern w:val="0"/>
                      <w:szCs w:val="21"/>
                      <w:lang w:bidi="ar"/>
                      <w14:textFill>
                        <w14:solidFill>
                          <w14:schemeClr w14:val="tx1"/>
                        </w14:solidFill>
                      </w14:textFill>
                    </w:rPr>
                    <w:t>包括酒泉市、嘉峪关市、张掖市、金昌市和武威市。该区是建设“丝绸之路经济带甘肃黄金段”的重要组成部分，是我国青藏高原生态屏障和北方防沙带的关键区域，也是我省矿产资源最为丰富的地区之一。该区位于北山、北祁连山西段、潮水盆地等重要成矿区带，要充分发挥有色金属、贵金属、稀有金属的资源优势，加大铀、铜、镍、铅、锌、钨、钼、金、银、稀土、铌钽等矿产资源勘查力度。坚持生态保护优先，加强矿产绿色勘查开发，调整产品结构，提高采选冶加工技术，加强矿产资源综合利用，加快矿业转型升级和绿色发展。</w:t>
                  </w:r>
                </w:p>
              </w:tc>
              <w:tc>
                <w:tcPr>
                  <w:tcW w:w="1283" w:type="pct"/>
                  <w:tcBorders>
                    <w:tl2br w:val="nil"/>
                    <w:tr2bl w:val="nil"/>
                  </w:tcBorders>
                  <w:vAlign w:val="center"/>
                </w:tcPr>
                <w:p>
                  <w:pPr>
                    <w:widowControl/>
                    <w:jc w:val="center"/>
                    <w:rPr>
                      <w:color w:val="000000" w:themeColor="text1"/>
                      <w:sz w:val="24"/>
                      <w14:textFill>
                        <w14:solidFill>
                          <w14:schemeClr w14:val="tx1"/>
                        </w14:solidFill>
                      </w14:textFill>
                    </w:rPr>
                  </w:pPr>
                  <w:r>
                    <w:rPr>
                      <w:rFonts w:hint="eastAsia" w:ascii="宋体" w:hAnsi="宋体" w:cs="宋体"/>
                      <w:color w:val="000000" w:themeColor="text1"/>
                      <w:kern w:val="0"/>
                      <w:szCs w:val="21"/>
                      <w:lang w:bidi="ar"/>
                      <w14:textFill>
                        <w14:solidFill>
                          <w14:schemeClr w14:val="tx1"/>
                        </w14:solidFill>
                      </w14:textFill>
                    </w:rPr>
                    <w:t>以生态保护优先：钻探施工作业前，剥离表土集中堆放拍实、采取必要的遮盖，作为钻探施工结束后复垦土源；钻探施工结束后，拆除钻井井架、平整钻井平台等迹地清理，覆土（利用施工前剥离土壤），再播撒当地常见适生草籽、恢复植被；泥浆池覆土掩埋，再播撒当地常见适生草籽、恢复植被</w:t>
                  </w:r>
                </w:p>
              </w:tc>
              <w:tc>
                <w:tcPr>
                  <w:tcW w:w="689" w:type="pct"/>
                  <w:tcBorders>
                    <w:tl2br w:val="nil"/>
                    <w:tr2bl w:val="nil"/>
                  </w:tcBorders>
                  <w:vAlign w:val="center"/>
                </w:tcPr>
                <w:p>
                  <w:pPr>
                    <w:spacing w:line="360" w:lineRule="auto"/>
                    <w:jc w:val="center"/>
                    <w:rPr>
                      <w:color w:val="000000" w:themeColor="text1"/>
                      <w:sz w:val="24"/>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904" w:type="pct"/>
                  <w:vMerge w:val="continue"/>
                  <w:tcBorders>
                    <w:tl2br w:val="nil"/>
                    <w:tr2bl w:val="nil"/>
                  </w:tcBorders>
                </w:tcPr>
                <w:p>
                  <w:pPr>
                    <w:spacing w:line="360" w:lineRule="auto"/>
                    <w:rPr>
                      <w:color w:val="000000" w:themeColor="text1"/>
                      <w:sz w:val="24"/>
                      <w14:textFill>
                        <w14:solidFill>
                          <w14:schemeClr w14:val="tx1"/>
                        </w14:solidFill>
                      </w14:textFill>
                    </w:rPr>
                  </w:pPr>
                </w:p>
              </w:tc>
              <w:tc>
                <w:tcPr>
                  <w:tcW w:w="2122" w:type="pct"/>
                  <w:tcBorders>
                    <w:tl2br w:val="nil"/>
                    <w:tr2bl w:val="nil"/>
                  </w:tcBorders>
                </w:tcPr>
                <w:p>
                  <w:pPr>
                    <w:widowControl/>
                    <w:jc w:val="left"/>
                    <w:rPr>
                      <w:color w:val="000000" w:themeColor="text1"/>
                      <w:sz w:val="24"/>
                      <w14:textFill>
                        <w14:solidFill>
                          <w14:schemeClr w14:val="tx1"/>
                        </w14:solidFill>
                      </w14:textFill>
                    </w:rPr>
                  </w:pPr>
                  <w:r>
                    <w:rPr>
                      <w:rFonts w:hint="eastAsia" w:ascii="宋体" w:hAnsi="宋体" w:cs="宋体"/>
                      <w:b/>
                      <w:color w:val="000000" w:themeColor="text1"/>
                      <w:kern w:val="0"/>
                      <w:szCs w:val="21"/>
                      <w:lang w:bidi="ar"/>
                      <w14:textFill>
                        <w14:solidFill>
                          <w14:schemeClr w14:val="tx1"/>
                        </w14:solidFill>
                      </w14:textFill>
                    </w:rPr>
                    <w:t>禁止勘查区：</w:t>
                  </w:r>
                  <w:r>
                    <w:rPr>
                      <w:rFonts w:hint="eastAsia" w:ascii="宋体" w:hAnsi="宋体" w:cs="宋体"/>
                      <w:color w:val="000000" w:themeColor="text1"/>
                      <w:kern w:val="0"/>
                      <w:szCs w:val="21"/>
                      <w:lang w:bidi="ar"/>
                      <w14:textFill>
                        <w14:solidFill>
                          <w14:schemeClr w14:val="tx1"/>
                        </w14:solidFill>
                      </w14:textFill>
                    </w:rPr>
                    <w:t>禁止在自然保护区的核心区、缓冲区和实验区内从事矿产资源勘查活动，自然保护区外围保护地带矿产资源勘查活动要严格环境保护准入。</w:t>
                  </w:r>
                </w:p>
              </w:tc>
              <w:tc>
                <w:tcPr>
                  <w:tcW w:w="1283" w:type="pct"/>
                  <w:tcBorders>
                    <w:tl2br w:val="nil"/>
                    <w:tr2bl w:val="nil"/>
                  </w:tcBorders>
                  <w:vAlign w:val="center"/>
                </w:tcPr>
                <w:p>
                  <w:pPr>
                    <w:widowControl/>
                    <w:rPr>
                      <w:color w:val="000000" w:themeColor="text1"/>
                      <w:sz w:val="24"/>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lang w:val="en-US" w:eastAsia="zh-CN"/>
                      <w14:textFill>
                        <w14:solidFill>
                          <w14:schemeClr w14:val="tx1"/>
                        </w14:solidFill>
                      </w14:textFill>
                    </w:rPr>
                    <w:t>勘查工程</w:t>
                  </w:r>
                  <w:r>
                    <w:rPr>
                      <w:color w:val="000000" w:themeColor="text1"/>
                      <w:szCs w:val="21"/>
                      <w14:textFill>
                        <w14:solidFill>
                          <w14:schemeClr w14:val="tx1"/>
                        </w14:solidFill>
                      </w14:textFill>
                    </w:rPr>
                    <w:t>不在禁止开发区域内</w:t>
                  </w:r>
                  <w:r>
                    <w:rPr>
                      <w:rFonts w:hint="eastAsia"/>
                      <w:color w:val="000000" w:themeColor="text1"/>
                      <w:szCs w:val="21"/>
                      <w14:textFill>
                        <w14:solidFill>
                          <w14:schemeClr w14:val="tx1"/>
                        </w14:solidFill>
                      </w14:textFill>
                    </w:rPr>
                    <w:t>布置</w:t>
                  </w:r>
                </w:p>
              </w:tc>
              <w:tc>
                <w:tcPr>
                  <w:tcW w:w="689" w:type="pct"/>
                  <w:tcBorders>
                    <w:tl2br w:val="nil"/>
                    <w:tr2bl w:val="nil"/>
                  </w:tcBorders>
                  <w:vAlign w:val="center"/>
                </w:tcPr>
                <w:p>
                  <w:pPr>
                    <w:spacing w:line="360" w:lineRule="auto"/>
                    <w:jc w:val="center"/>
                    <w:rPr>
                      <w:color w:val="000000" w:themeColor="text1"/>
                      <w:sz w:val="24"/>
                      <w14:textFill>
                        <w14:solidFill>
                          <w14:schemeClr w14:val="tx1"/>
                        </w14:solidFill>
                      </w14:textFill>
                    </w:rPr>
                  </w:pPr>
                  <w:r>
                    <w:rPr>
                      <w:rFonts w:hint="eastAsia"/>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04" w:type="pct"/>
                  <w:vMerge w:val="continue"/>
                  <w:tcBorders>
                    <w:tl2br w:val="nil"/>
                    <w:tr2bl w:val="nil"/>
                  </w:tcBorders>
                </w:tcPr>
                <w:p>
                  <w:pPr>
                    <w:spacing w:line="360" w:lineRule="auto"/>
                    <w:rPr>
                      <w:color w:val="000000" w:themeColor="text1"/>
                      <w:sz w:val="24"/>
                      <w14:textFill>
                        <w14:solidFill>
                          <w14:schemeClr w14:val="tx1"/>
                        </w14:solidFill>
                      </w14:textFill>
                    </w:rPr>
                  </w:pPr>
                </w:p>
              </w:tc>
              <w:tc>
                <w:tcPr>
                  <w:tcW w:w="2122" w:type="pct"/>
                  <w:tcBorders>
                    <w:tl2br w:val="nil"/>
                    <w:tr2bl w:val="nil"/>
                  </w:tcBorders>
                </w:tcPr>
                <w:p>
                  <w:pPr>
                    <w:widowControl/>
                    <w:jc w:val="left"/>
                    <w:rPr>
                      <w:color w:val="000000" w:themeColor="text1"/>
                      <w:sz w:val="24"/>
                      <w14:textFill>
                        <w14:solidFill>
                          <w14:schemeClr w14:val="tx1"/>
                        </w14:solidFill>
                      </w14:textFill>
                    </w:rPr>
                  </w:pPr>
                  <w:r>
                    <w:rPr>
                      <w:rFonts w:hint="eastAsia" w:ascii="宋体" w:hAnsi="宋体" w:cs="宋体"/>
                      <w:b/>
                      <w:color w:val="000000" w:themeColor="text1"/>
                      <w:kern w:val="0"/>
                      <w:szCs w:val="21"/>
                      <w:lang w:bidi="ar"/>
                      <w14:textFill>
                        <w14:solidFill>
                          <w14:schemeClr w14:val="tx1"/>
                        </w14:solidFill>
                      </w14:textFill>
                    </w:rPr>
                    <w:t>限制勘查区：</w:t>
                  </w:r>
                  <w:r>
                    <w:rPr>
                      <w:rFonts w:hint="eastAsia" w:ascii="宋体" w:hAnsi="宋体" w:cs="宋体"/>
                      <w:color w:val="000000" w:themeColor="text1"/>
                      <w:kern w:val="0"/>
                      <w:szCs w:val="21"/>
                      <w:lang w:bidi="ar"/>
                      <w14:textFill>
                        <w14:solidFill>
                          <w14:schemeClr w14:val="tx1"/>
                        </w14:solidFill>
                      </w14:textFill>
                    </w:rPr>
                    <w:t>划定限制勘查区</w:t>
                  </w:r>
                  <w:r>
                    <w:rPr>
                      <w:rFonts w:ascii="TimesNewRomanPSMT" w:hAnsi="TimesNewRomanPSMT" w:eastAsia="TimesNewRomanPSMT" w:cs="TimesNewRomanPSMT"/>
                      <w:color w:val="000000" w:themeColor="text1"/>
                      <w:kern w:val="0"/>
                      <w:szCs w:val="21"/>
                      <w:lang w:bidi="ar"/>
                      <w14:textFill>
                        <w14:solidFill>
                          <w14:schemeClr w14:val="tx1"/>
                        </w14:solidFill>
                      </w14:textFill>
                    </w:rPr>
                    <w:t>1</w:t>
                  </w:r>
                  <w:r>
                    <w:rPr>
                      <w:rFonts w:hint="eastAsia" w:ascii="宋体" w:hAnsi="宋体" w:cs="宋体"/>
                      <w:color w:val="000000" w:themeColor="text1"/>
                      <w:kern w:val="0"/>
                      <w:szCs w:val="21"/>
                      <w:lang w:bidi="ar"/>
                      <w14:textFill>
                        <w14:solidFill>
                          <w14:schemeClr w14:val="tx1"/>
                        </w14:solidFill>
                      </w14:textFill>
                    </w:rPr>
                    <w:t>个，为祁连山自然保护区外围保护地带，面积</w:t>
                  </w:r>
                  <w:r>
                    <w:rPr>
                      <w:rFonts w:ascii="TimesNewRomanPSMT" w:hAnsi="TimesNewRomanPSMT" w:eastAsia="TimesNewRomanPSMT" w:cs="TimesNewRomanPSMT"/>
                      <w:color w:val="000000" w:themeColor="text1"/>
                      <w:kern w:val="0"/>
                      <w:szCs w:val="21"/>
                      <w:lang w:bidi="ar"/>
                      <w14:textFill>
                        <w14:solidFill>
                          <w14:schemeClr w14:val="tx1"/>
                        </w14:solidFill>
                      </w14:textFill>
                    </w:rPr>
                    <w:t>0.66</w:t>
                  </w:r>
                  <w:r>
                    <w:rPr>
                      <w:rFonts w:hint="eastAsia" w:ascii="宋体" w:hAnsi="宋体" w:cs="宋体"/>
                      <w:color w:val="000000" w:themeColor="text1"/>
                      <w:kern w:val="0"/>
                      <w:szCs w:val="21"/>
                      <w:lang w:bidi="ar"/>
                      <w14:textFill>
                        <w14:solidFill>
                          <w14:schemeClr w14:val="tx1"/>
                        </w14:solidFill>
                      </w14:textFill>
                    </w:rPr>
                    <w:t>万平方公里。区内勘查项目必须经保护区管理部门审查同意，推进绿色勘查。</w:t>
                  </w:r>
                </w:p>
              </w:tc>
              <w:tc>
                <w:tcPr>
                  <w:tcW w:w="1283" w:type="pct"/>
                  <w:tcBorders>
                    <w:tl2br w:val="nil"/>
                    <w:tr2bl w:val="nil"/>
                  </w:tcBorders>
                  <w:vAlign w:val="center"/>
                </w:tcPr>
                <w:p>
                  <w:pPr>
                    <w:rPr>
                      <w:color w:val="000000" w:themeColor="text1"/>
                      <w:sz w:val="24"/>
                      <w14:textFill>
                        <w14:solidFill>
                          <w14:schemeClr w14:val="tx1"/>
                        </w14:solidFill>
                      </w14:textFill>
                    </w:rPr>
                  </w:pPr>
                  <w:r>
                    <w:rPr>
                      <w:rFonts w:hint="eastAsia"/>
                      <w:color w:val="000000" w:themeColor="text1"/>
                      <w:szCs w:val="21"/>
                      <w14:textFill>
                        <w14:solidFill>
                          <w14:schemeClr w14:val="tx1"/>
                        </w14:solidFill>
                      </w14:textFill>
                    </w:rPr>
                    <w:t>本项目</w:t>
                  </w:r>
                  <w:r>
                    <w:rPr>
                      <w:rFonts w:hint="eastAsia"/>
                      <w:color w:val="000000" w:themeColor="text1"/>
                      <w:szCs w:val="21"/>
                      <w:lang w:eastAsia="zh-CN"/>
                      <w14:textFill>
                        <w14:solidFill>
                          <w14:schemeClr w14:val="tx1"/>
                        </w14:solidFill>
                      </w14:textFill>
                    </w:rPr>
                    <w:t>勘查</w:t>
                  </w:r>
                  <w:r>
                    <w:rPr>
                      <w:rFonts w:hint="eastAsia"/>
                      <w:color w:val="000000" w:themeColor="text1"/>
                      <w:szCs w:val="21"/>
                      <w14:textFill>
                        <w14:solidFill>
                          <w14:schemeClr w14:val="tx1"/>
                        </w14:solidFill>
                      </w14:textFill>
                    </w:rPr>
                    <w:t>工程尽量避让限制勘查区，确需勘察的，批准后进行</w:t>
                  </w:r>
                </w:p>
              </w:tc>
              <w:tc>
                <w:tcPr>
                  <w:tcW w:w="689" w:type="pct"/>
                  <w:tcBorders>
                    <w:tl2br w:val="nil"/>
                    <w:tr2bl w:val="nil"/>
                  </w:tcBorders>
                  <w:vAlign w:val="center"/>
                </w:tcPr>
                <w:p>
                  <w:pPr>
                    <w:spacing w:line="360" w:lineRule="auto"/>
                    <w:jc w:val="center"/>
                    <w:rPr>
                      <w:color w:val="000000" w:themeColor="text1"/>
                      <w:sz w:val="24"/>
                      <w14:textFill>
                        <w14:solidFill>
                          <w14:schemeClr w14:val="tx1"/>
                        </w14:solidFill>
                      </w14:textFill>
                    </w:rPr>
                  </w:pPr>
                  <w:r>
                    <w:rPr>
                      <w:rFonts w:hint="eastAsia"/>
                      <w:color w:val="000000" w:themeColor="text1"/>
                      <w:szCs w:val="21"/>
                      <w14:textFill>
                        <w14:solidFill>
                          <w14:schemeClr w14:val="tx1"/>
                        </w14:solidFill>
                      </w14:textFill>
                    </w:rPr>
                    <w:t>符合</w:t>
                  </w:r>
                </w:p>
              </w:tc>
            </w:tr>
          </w:tbl>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③与《甘肃省“三线一单”生态环境分区管控》符合性分析</w:t>
            </w:r>
          </w:p>
          <w:p>
            <w:pPr>
              <w:numPr>
                <w:ilvl w:val="0"/>
                <w:numId w:val="0"/>
              </w:num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1）相关内容</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根据《甘肃省人民政府关于实施“三线一单”生态环境分区管控的意见》（甘政发[2020]68号），将甘肃省划定为优先保护单元、重点管控单元和一般管控单元三类。</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优先保护单元共491个，主要包括生态保护红线、自然保护地、集中式饮用水水源保护区等生态功能重要区和生态环境敏感区。</w:t>
            </w:r>
            <w:r>
              <w:rPr>
                <w:rFonts w:hint="default"/>
                <w:color w:val="000000" w:themeColor="text1"/>
                <w:sz w:val="24"/>
                <w:lang w:val="en-US" w:eastAsia="zh-CN"/>
                <w14:textFill>
                  <w14:solidFill>
                    <w14:schemeClr w14:val="tx1"/>
                  </w14:solidFill>
                </w14:textFill>
              </w:rPr>
              <w:t>重点管控单元</w:t>
            </w:r>
            <w:r>
              <w:rPr>
                <w:rFonts w:hint="eastAsia"/>
                <w:color w:val="000000" w:themeColor="text1"/>
                <w:sz w:val="24"/>
                <w:lang w:val="en-US" w:eastAsia="zh-CN"/>
                <w14:textFill>
                  <w14:solidFill>
                    <w14:schemeClr w14:val="tx1"/>
                  </w14:solidFill>
                </w14:textFill>
              </w:rPr>
              <w:t>共263个，</w:t>
            </w:r>
            <w:r>
              <w:rPr>
                <w:rFonts w:hint="default"/>
                <w:color w:val="000000" w:themeColor="text1"/>
                <w:sz w:val="24"/>
                <w:lang w:val="en-US" w:eastAsia="zh-CN"/>
                <w14:textFill>
                  <w14:solidFill>
                    <w14:schemeClr w14:val="tx1"/>
                  </w14:solidFill>
                </w14:textFill>
              </w:rPr>
              <w:t>主要包括中心城区和城镇规划区、各级各类工业园区及工业集聚区等开发强度高、环境问题相对集中的区域。</w:t>
            </w:r>
            <w:r>
              <w:rPr>
                <w:rFonts w:hint="eastAsia"/>
                <w:color w:val="000000" w:themeColor="text1"/>
                <w:sz w:val="24"/>
                <w:lang w:val="en-US" w:eastAsia="zh-CN"/>
                <w14:textFill>
                  <w14:solidFill>
                    <w14:schemeClr w14:val="tx1"/>
                  </w14:solidFill>
                </w14:textFill>
              </w:rPr>
              <w:t>一般管控单元共88个，主要包括优先保护单元、重点管控单元以外的区域。</w:t>
            </w:r>
          </w:p>
          <w:p>
            <w:pPr>
              <w:numPr>
                <w:ilvl w:val="0"/>
                <w:numId w:val="0"/>
              </w:num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2）本项目所属单元分析</w:t>
            </w:r>
          </w:p>
          <w:p>
            <w:pPr>
              <w:numPr>
                <w:ilvl w:val="0"/>
                <w:numId w:val="0"/>
              </w:num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项目</w:t>
            </w:r>
            <w:r>
              <w:rPr>
                <w:rFonts w:hint="eastAsia" w:cs="Times New Roman"/>
                <w:color w:val="000000" w:themeColor="text1"/>
                <w:sz w:val="24"/>
                <w:lang w:val="en-US" w:eastAsia="zh-CN"/>
                <w14:textFill>
                  <w14:solidFill>
                    <w14:schemeClr w14:val="tx1"/>
                  </w14:solidFill>
                </w14:textFill>
              </w:rPr>
              <w:t>与</w:t>
            </w:r>
            <w:r>
              <w:rPr>
                <w:rFonts w:hint="default" w:ascii="Times New Roman" w:hAnsi="Times New Roman" w:cs="Times New Roman"/>
                <w:color w:val="000000" w:themeColor="text1"/>
                <w:sz w:val="24"/>
                <w:lang w:val="en-US" w:eastAsia="zh-CN"/>
                <w14:textFill>
                  <w14:solidFill>
                    <w14:schemeClr w14:val="tx1"/>
                  </w14:solidFill>
                </w14:textFill>
              </w:rPr>
              <w:t>甘肃省“三线一单”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sz w:val="24"/>
                <w:lang w:val="en-US" w:eastAsia="zh-CN"/>
                <w14:textFill>
                  <w14:solidFill>
                    <w14:schemeClr w14:val="tx1"/>
                  </w14:solidFill>
                </w14:textFill>
              </w:rPr>
              <w:t>见附图</w:t>
            </w:r>
            <w:r>
              <w:rPr>
                <w:rFonts w:hint="eastAsia" w:cs="Times New Roman"/>
                <w:color w:val="000000" w:themeColor="text1"/>
                <w:sz w:val="24"/>
                <w:lang w:val="en-US" w:eastAsia="zh-CN"/>
                <w14:textFill>
                  <w14:solidFill>
                    <w14:schemeClr w14:val="tx1"/>
                  </w14:solidFill>
                </w14:textFill>
              </w:rPr>
              <w:t>4</w:t>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default" w:ascii="Times New Roman" w:hAnsi="Times New Roman" w:cs="Times New Roman"/>
                <w:color w:val="000000" w:themeColor="text1"/>
                <w:kern w:val="0"/>
                <w:sz w:val="24"/>
                <w:lang w:val="en-US" w:eastAsia="zh-CN"/>
                <w14:textFill>
                  <w14:solidFill>
                    <w14:schemeClr w14:val="tx1"/>
                  </w14:solidFill>
                </w14:textFill>
              </w:rPr>
              <w:t>甘肃省划定的</w:t>
            </w:r>
            <w:r>
              <w:rPr>
                <w:rFonts w:hint="eastAsia" w:ascii="Times New Roman" w:hAnsi="Times New Roman" w:cs="Times New Roman"/>
                <w:color w:val="000000" w:themeColor="text1"/>
                <w:kern w:val="0"/>
                <w:sz w:val="24"/>
                <w:lang w:val="en-US" w:eastAsia="zh-CN"/>
                <w14:textFill>
                  <w14:solidFill>
                    <w14:schemeClr w14:val="tx1"/>
                  </w14:solidFill>
                </w14:textFill>
              </w:rPr>
              <w:t>优先保护单元</w:t>
            </w:r>
            <w:r>
              <w:rPr>
                <w:rFonts w:hint="default" w:ascii="Times New Roman" w:hAnsi="Times New Roman" w:cs="Times New Roman"/>
                <w:color w:val="000000" w:themeColor="text1"/>
                <w:kern w:val="0"/>
                <w:sz w:val="24"/>
                <w:lang w:val="en-US" w:eastAsia="zh-CN"/>
                <w14:textFill>
                  <w14:solidFill>
                    <w14:schemeClr w14:val="tx1"/>
                  </w14:solidFill>
                </w14:textFill>
              </w:rPr>
              <w:t>和一般管控单元</w:t>
            </w:r>
            <w:r>
              <w:rPr>
                <w:rFonts w:hint="eastAsia" w:ascii="Times New Roman" w:hAnsi="Times New Roman" w:cs="Times New Roman"/>
                <w:color w:val="000000" w:themeColor="text1"/>
                <w:kern w:val="0"/>
                <w:sz w:val="24"/>
                <w:lang w:val="en-US" w:eastAsia="zh-CN"/>
                <w14:textFill>
                  <w14:solidFill>
                    <w14:schemeClr w14:val="tx1"/>
                  </w14:solidFill>
                </w14:textFill>
              </w:rPr>
              <w:t>，2022年钻孔</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default" w:ascii="Times New Roman" w:hAnsi="Times New Roman" w:cs="Times New Roman"/>
                <w:color w:val="000000" w:themeColor="text1"/>
                <w:kern w:val="0"/>
                <w:sz w:val="24"/>
                <w:lang w:val="en-US" w:eastAsia="zh-CN"/>
                <w14:textFill>
                  <w14:solidFill>
                    <w14:schemeClr w14:val="tx1"/>
                  </w14:solidFill>
                </w14:textFill>
              </w:rPr>
              <w:t>甘肃省划定的一般管控单元</w:t>
            </w:r>
            <w:r>
              <w:rPr>
                <w:rFonts w:hint="eastAsia" w:ascii="Times New Roman" w:hAnsi="Times New Roman" w:cs="Times New Roman"/>
                <w:color w:val="000000" w:themeColor="text1"/>
                <w:kern w:val="0"/>
                <w:sz w:val="24"/>
                <w:lang w:val="en-US" w:eastAsia="zh-CN"/>
                <w14:textFill>
                  <w14:solidFill>
                    <w14:schemeClr w14:val="tx1"/>
                  </w14:solidFill>
                </w14:textFill>
              </w:rPr>
              <w:t>；因此，2022年钻孔不涉及优先保护单元，</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年的拟布设的钻孔也不得占用上述保护目标。</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项目与《甘肃省“三线一单”生态环境分区管控》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1-7</w:t>
            </w:r>
            <w:r>
              <w:rPr>
                <w:rFonts w:hint="eastAsia"/>
                <w:color w:val="000000" w:themeColor="text1"/>
                <w:sz w:val="24"/>
                <w:lang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表1-7  项目与《甘肃省“三线一单”生态环境分区管控》</w:t>
            </w:r>
            <w:r>
              <w:rPr>
                <w:rFonts w:hint="eastAsia"/>
                <w:color w:val="000000" w:themeColor="text1"/>
                <w:sz w:val="24"/>
                <w:lang w:eastAsia="zh-CN"/>
                <w14:textFill>
                  <w14:solidFill>
                    <w14:schemeClr w14:val="tx1"/>
                  </w14:solidFill>
                </w14:textFill>
              </w:rPr>
              <w:t>相符性分析</w:t>
            </w:r>
            <w:r>
              <w:rPr>
                <w:rFonts w:hint="eastAsia"/>
                <w:color w:val="000000" w:themeColor="text1"/>
                <w:sz w:val="24"/>
                <w:lang w:val="en-US" w:eastAsia="zh-CN"/>
                <w14:textFill>
                  <w14:solidFill>
                    <w14:schemeClr w14:val="tx1"/>
                  </w14:solidFill>
                </w14:textFill>
              </w:rPr>
              <w:t>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1942"/>
              <w:gridCol w:w="4374"/>
              <w:gridCol w:w="1975"/>
              <w:gridCol w:w="14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01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73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99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color w:val="000000" w:themeColor="text1"/>
                      <w:sz w:val="21"/>
                      <w:szCs w:val="21"/>
                      <w:lang w:val="en-US" w:eastAsia="zh-CN"/>
                      <w14:textFill>
                        <w14:solidFill>
                          <w14:schemeClr w14:val="tx1"/>
                        </w14:solidFill>
                      </w14:textFill>
                    </w:rPr>
                    <w:t>甘肃省“三线一单”生态环境分区管控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优先保护单元：</w:t>
                  </w:r>
                  <w:r>
                    <w:rPr>
                      <w:rFonts w:hint="eastAsia" w:ascii="宋体" w:hAnsi="宋体" w:eastAsia="宋体" w:cs="宋体"/>
                      <w:color w:val="000000" w:themeColor="text1"/>
                      <w:sz w:val="21"/>
                      <w:szCs w:val="21"/>
                      <w:lang w:val="en-US" w:eastAsia="zh-CN" w:bidi="ar-SA"/>
                      <w14:textFill>
                        <w14:solidFill>
                          <w14:schemeClr w14:val="tx1"/>
                        </w14:solidFill>
                      </w14:textFill>
                    </w:rPr>
                    <w:t>该区域严格按照国家生态保护红线和省级生态空间管控区域管理规定进行管控。依法禁止或限制大规模、高强度的工业开发和城镇建设，严禁不符合国家有关规定的各类开发活动，确保生态环境功能不降低。</w:t>
                  </w:r>
                </w:p>
              </w:tc>
              <w:tc>
                <w:tcPr>
                  <w:tcW w:w="1016" w:type="pct"/>
                  <w:vMerge w:val="restart"/>
                  <w:tcBorders>
                    <w:tl2br w:val="nil"/>
                    <w:tr2bl w:val="nil"/>
                  </w:tcBorders>
                  <w:noWrap w:val="0"/>
                  <w:tcMar>
                    <w:top w:w="15" w:type="dxa"/>
                    <w:left w:w="15" w:type="dxa"/>
                    <w:bottom w:w="0" w:type="dxa"/>
                    <w:right w:w="15" w:type="dxa"/>
                  </w:tcMar>
                  <w:vAlign w:val="center"/>
                </w:tcPr>
                <w:p>
                  <w:pPr>
                    <w:pStyle w:val="17"/>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本项目2022年的钻孔不</w:t>
                  </w:r>
                  <w:r>
                    <w:rPr>
                      <w:rFonts w:hint="eastAsia" w:ascii="Times New Roman" w:hAnsi="Times New Roman" w:cs="Times New Roman"/>
                      <w:color w:val="000000" w:themeColor="text1"/>
                      <w:sz w:val="21"/>
                      <w:szCs w:val="21"/>
                      <w:lang w:val="en-US" w:eastAsia="zh-CN" w:bidi="ar-SA"/>
                      <w14:textFill>
                        <w14:solidFill>
                          <w14:schemeClr w14:val="tx1"/>
                        </w14:solidFill>
                      </w14:textFill>
                    </w:rPr>
                    <w:t>占用</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优先保护单元，</w:t>
                  </w:r>
                  <w:r>
                    <w:rPr>
                      <w:rFonts w:hint="eastAsia" w:ascii="Times New Roman" w:hAnsi="Times New Roman" w:cs="Times New Roman"/>
                      <w:color w:val="000000" w:themeColor="text1"/>
                      <w:sz w:val="21"/>
                      <w:szCs w:val="21"/>
                      <w:lang w:val="en-US" w:eastAsia="zh-CN" w:bidi="ar-SA"/>
                      <w14:textFill>
                        <w14:solidFill>
                          <w14:schemeClr w14:val="tx1"/>
                        </w14:solidFill>
                      </w14:textFill>
                    </w:rPr>
                    <w:t>不涉及生态红线，</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也不占用国家和自治区级自然保护区、风景名胜区、水源保护地、国家级森林公园、地质公园等环境敏感区。评价要求2023-2026年拟布设的钻孔也不得占用上述保护目标。</w:t>
                  </w:r>
                </w:p>
              </w:tc>
              <w:tc>
                <w:tcPr>
                  <w:tcW w:w="733"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重点管控单元：该区域是经济社会高质量发展的主要承载区，主要推进产业结构和能源结构调整，优化交通结构和用地结构，不断提高资源能源利用效率，加强污染物排放控制和环境风险防控，解决突出生态环境问题。</w:t>
                  </w:r>
                </w:p>
              </w:tc>
              <w:tc>
                <w:tcPr>
                  <w:tcW w:w="1016" w:type="pct"/>
                  <w:vMerge w:val="continue"/>
                  <w:tcBorders>
                    <w:tl2br w:val="nil"/>
                    <w:tr2bl w:val="nil"/>
                  </w:tcBorders>
                  <w:noWrap w:val="0"/>
                  <w:tcMar>
                    <w:top w:w="15" w:type="dxa"/>
                    <w:left w:w="15" w:type="dxa"/>
                    <w:bottom w:w="0" w:type="dxa"/>
                    <w:right w:w="15" w:type="dxa"/>
                  </w:tcMar>
                  <w:vAlign w:val="center"/>
                </w:tcPr>
                <w:p>
                  <w:pPr>
                    <w:pStyle w:val="17"/>
                    <w:rPr>
                      <w:rFonts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一般管控单元：</w:t>
                  </w:r>
                  <w:r>
                    <w:rPr>
                      <w:rFonts w:hint="eastAsia" w:ascii="宋体" w:hAnsi="宋体" w:eastAsia="宋体" w:cs="宋体"/>
                      <w:color w:val="000000" w:themeColor="text1"/>
                      <w:sz w:val="21"/>
                      <w:szCs w:val="21"/>
                      <w:lang w:val="en-US" w:eastAsia="zh-CN" w:bidi="ar-SA"/>
                      <w14:textFill>
                        <w14:solidFill>
                          <w14:schemeClr w14:val="tx1"/>
                        </w14:solidFill>
                      </w14:textFill>
                    </w:rPr>
                    <w:t>该区域以促进生活、生态、生产功能的协调融合为主要目标，主要落实生态环境保护基本要求，加强生活污染和农业面源污染治理，推动区域生态环境质量持续改善和区域经济社会可持续发展。</w:t>
                  </w:r>
                </w:p>
              </w:tc>
              <w:tc>
                <w:tcPr>
                  <w:tcW w:w="1016" w:type="pct"/>
                  <w:vMerge w:val="continue"/>
                  <w:tcBorders>
                    <w:tl2br w:val="nil"/>
                    <w:tr2bl w:val="nil"/>
                  </w:tcBorders>
                  <w:noWrap w:val="0"/>
                  <w:tcMar>
                    <w:top w:w="15" w:type="dxa"/>
                    <w:left w:w="15" w:type="dxa"/>
                    <w:bottom w:w="0" w:type="dxa"/>
                    <w:right w:w="15" w:type="dxa"/>
                  </w:tcMar>
                  <w:vAlign w:val="center"/>
                </w:tcPr>
                <w:p>
                  <w:pPr>
                    <w:pStyle w:val="17"/>
                    <w:rPr>
                      <w:rFonts w:hint="eastAsia"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综上所述，本项目符合</w:t>
            </w:r>
            <w:r>
              <w:rPr>
                <w:rFonts w:hint="eastAsia"/>
                <w:bCs/>
                <w:color w:val="000000" w:themeColor="text1"/>
                <w:sz w:val="24"/>
                <w:lang w:val="en-US" w:eastAsia="zh-CN"/>
                <w14:textFill>
                  <w14:solidFill>
                    <w14:schemeClr w14:val="tx1"/>
                  </w14:solidFill>
                </w14:textFill>
              </w:rPr>
              <w:t>《甘肃省主体功能区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eastAsia"/>
                <w:bCs/>
                <w:color w:val="000000" w:themeColor="text1"/>
                <w:sz w:val="24"/>
                <w:lang w:val="en-US" w:eastAsia="zh-CN"/>
                <w14:textFill>
                  <w14:solidFill>
                    <w14:schemeClr w14:val="tx1"/>
                  </w14:solidFill>
                </w14:textFill>
              </w:rPr>
              <w:t>甘肃省</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eastAsia" w:cs="Times New Roman"/>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《甘肃省“三线一单”生态环境分区管控》</w:t>
            </w:r>
            <w:r>
              <w:rPr>
                <w:rFonts w:hint="eastAsia" w:cs="Times New Roman"/>
                <w:color w:val="000000" w:themeColor="text1"/>
                <w:kern w:val="0"/>
                <w:sz w:val="24"/>
                <w:szCs w:val="24"/>
                <w:lang w:val="en-US" w:eastAsia="zh-CN" w:bidi="ar"/>
                <w14:textFill>
                  <w14:solidFill>
                    <w14:schemeClr w14:val="tx1"/>
                  </w14:solidFill>
                </w14:textFill>
              </w:rPr>
              <w:t>的相关要求。</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（3）与新疆维吾尔自治区相关规划符合性分析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①与《新疆维吾尔自治区主体功能区</w:t>
            </w:r>
            <w:r>
              <w:rPr>
                <w:rFonts w:hint="eastAsia"/>
                <w:color w:val="000000" w:themeColor="text1"/>
                <w:sz w:val="24"/>
                <w:lang w:val="en-US" w:eastAsia="zh-CN"/>
                <w14:textFill>
                  <w14:solidFill>
                    <w14:schemeClr w14:val="tx1"/>
                  </w14:solidFill>
                </w14:textFill>
              </w:rPr>
              <w:t>规划</w:t>
            </w:r>
            <w:r>
              <w:rPr>
                <w:rFonts w:hint="eastAsia"/>
                <w:color w:val="000000" w:themeColor="text1"/>
                <w:sz w:val="24"/>
                <w14:textFill>
                  <w14:solidFill>
                    <w14:schemeClr w14:val="tx1"/>
                  </w14:solidFill>
                </w14:textFill>
              </w:rPr>
              <w:t>》符合性分析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根据《新疆维吾尔自治区主体功能区规划》，将新疆维吾尔自治区划分为重点开发、限制开发和禁止开发主体功能区三类。</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涉及新疆维吾尔自治区的若羌县，经与《新疆维吾尔自治区主体功能区规划》对照，</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属于《规划》中限制开发区</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新疆重点生态功能区</w:t>
            </w:r>
            <w:r>
              <w:rPr>
                <w:rFonts w:hint="eastAsia"/>
                <w:color w:val="000000" w:themeColor="text1"/>
                <w:sz w:val="24"/>
                <w:lang w:val="en-US" w:eastAsia="zh-CN"/>
                <w14:textFill>
                  <w14:solidFill>
                    <w14:schemeClr w14:val="tx1"/>
                  </w14:solidFill>
                </w14:textFill>
              </w:rPr>
              <w:t>（阿尔金草原荒漠化防治生态功能区）</w:t>
            </w:r>
            <w:r>
              <w:rPr>
                <w:rFonts w:hint="eastAsia"/>
                <w:color w:val="000000" w:themeColor="text1"/>
                <w:sz w:val="24"/>
                <w14:textFill>
                  <w14:solidFill>
                    <w14:schemeClr w14:val="tx1"/>
                  </w14:solidFill>
                </w14:textFill>
              </w:rPr>
              <w:t>。</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项目与《</w:t>
            </w:r>
            <w:r>
              <w:rPr>
                <w:rFonts w:hint="eastAsia"/>
                <w:color w:val="000000" w:themeColor="text1"/>
                <w:sz w:val="24"/>
                <w14:textFill>
                  <w14:solidFill>
                    <w14:schemeClr w14:val="tx1"/>
                  </w14:solidFill>
                </w14:textFill>
              </w:rPr>
              <w:t>新疆维吾尔自治区主体功能区规划</w:t>
            </w:r>
            <w:r>
              <w:rPr>
                <w:rFonts w:hint="eastAsia"/>
                <w:bCs/>
                <w:color w:val="000000" w:themeColor="text1"/>
                <w:sz w:val="24"/>
                <w14:textFill>
                  <w14:solidFill>
                    <w14:schemeClr w14:val="tx1"/>
                  </w14:solidFill>
                </w14:textFill>
              </w:rPr>
              <w:t>》相符性分析见下表1-</w:t>
            </w:r>
            <w:r>
              <w:rPr>
                <w:rFonts w:hint="eastAsia"/>
                <w:bCs/>
                <w:color w:val="000000" w:themeColor="text1"/>
                <w:sz w:val="24"/>
                <w:lang w:val="en-US" w:eastAsia="zh-CN"/>
                <w14:textFill>
                  <w14:solidFill>
                    <w14:schemeClr w14:val="tx1"/>
                  </w14:solidFill>
                </w14:textFill>
              </w:rPr>
              <w:t>8</w:t>
            </w:r>
            <w:r>
              <w:rPr>
                <w:rFonts w:hint="eastAsia"/>
                <w:bCs/>
                <w:color w:val="000000" w:themeColor="text1"/>
                <w:sz w:val="24"/>
                <w14:textFill>
                  <w14:solidFill>
                    <w14:schemeClr w14:val="tx1"/>
                  </w14:solidFill>
                </w14:textFill>
              </w:rPr>
              <w:t>。</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表1-</w:t>
            </w:r>
            <w:r>
              <w:rPr>
                <w:rFonts w:hint="eastAsia"/>
                <w:color w:val="000000" w:themeColor="text1"/>
                <w:sz w:val="24"/>
                <w:lang w:val="en-US" w:eastAsia="zh-CN"/>
                <w14:textFill>
                  <w14:solidFill>
                    <w14:schemeClr w14:val="tx1"/>
                  </w14:solidFill>
                </w14:textFill>
              </w:rPr>
              <w:t>8</w:t>
            </w:r>
            <w:r>
              <w:rPr>
                <w:rFonts w:hint="eastAsia"/>
                <w:color w:val="000000" w:themeColor="text1"/>
                <w:sz w:val="24"/>
                <w14:textFill>
                  <w14:solidFill>
                    <w14:schemeClr w14:val="tx1"/>
                  </w14:solidFill>
                </w14:textFill>
              </w:rPr>
              <w:t xml:space="preserve">  </w:t>
            </w:r>
            <w:r>
              <w:rPr>
                <w:rFonts w:hint="eastAsia"/>
                <w:bCs/>
                <w:color w:val="000000" w:themeColor="text1"/>
                <w:sz w:val="24"/>
                <w14:textFill>
                  <w14:solidFill>
                    <w14:schemeClr w14:val="tx1"/>
                  </w14:solidFill>
                </w14:textFill>
              </w:rPr>
              <w:t>项目与《</w:t>
            </w:r>
            <w:r>
              <w:rPr>
                <w:rFonts w:hint="eastAsia"/>
                <w:color w:val="000000" w:themeColor="text1"/>
                <w:sz w:val="24"/>
                <w14:textFill>
                  <w14:solidFill>
                    <w14:schemeClr w14:val="tx1"/>
                  </w14:solidFill>
                </w14:textFill>
              </w:rPr>
              <w:t>新疆维吾尔自治区主体功能区规划</w:t>
            </w:r>
            <w:r>
              <w:rPr>
                <w:rFonts w:hint="eastAsia"/>
                <w:bCs/>
                <w:color w:val="000000" w:themeColor="text1"/>
                <w:sz w:val="24"/>
                <w14:textFill>
                  <w14:solidFill>
                    <w14:schemeClr w14:val="tx1"/>
                  </w14:solidFill>
                </w14:textFill>
              </w:rPr>
              <w:t>》相符性分析表</w:t>
            </w:r>
          </w:p>
          <w:tbl>
            <w:tblPr>
              <w:tblStyle w:val="13"/>
              <w:tblW w:w="4999"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91"/>
              <w:gridCol w:w="4890"/>
              <w:gridCol w:w="1977"/>
              <w:gridCol w:w="145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16"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名称</w:t>
                  </w:r>
                </w:p>
              </w:tc>
              <w:tc>
                <w:tcPr>
                  <w:tcW w:w="2516"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相关内容</w:t>
                  </w:r>
                </w:p>
              </w:tc>
              <w:tc>
                <w:tcPr>
                  <w:tcW w:w="1017"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项目情况</w:t>
                  </w:r>
                </w:p>
              </w:tc>
              <w:tc>
                <w:tcPr>
                  <w:tcW w:w="749"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符合性分析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16" w:type="pct"/>
                  <w:tcBorders>
                    <w:tl2br w:val="nil"/>
                    <w:tr2bl w:val="nil"/>
                  </w:tcBorders>
                  <w:vAlign w:val="center"/>
                </w:tcPr>
                <w:p>
                  <w:pPr>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新疆维吾尔自治区主体功能区规划</w:t>
                  </w:r>
                  <w:r>
                    <w:rPr>
                      <w:rFonts w:hint="eastAsia"/>
                      <w:bCs/>
                      <w:color w:val="000000" w:themeColor="text1"/>
                      <w:szCs w:val="21"/>
                      <w14:textFill>
                        <w14:solidFill>
                          <w14:schemeClr w14:val="tx1"/>
                        </w14:solidFill>
                      </w14:textFill>
                    </w:rPr>
                    <w:t>》</w:t>
                  </w:r>
                </w:p>
              </w:tc>
              <w:tc>
                <w:tcPr>
                  <w:tcW w:w="2516" w:type="pct"/>
                  <w:tcBorders>
                    <w:tl2br w:val="nil"/>
                    <w:tr2bl w:val="nil"/>
                  </w:tcBorders>
                  <w:vAlign w:val="center"/>
                </w:tcPr>
                <w:p>
                  <w:pPr>
                    <w:jc w:val="left"/>
                    <w:rPr>
                      <w:color w:val="000000" w:themeColor="text1"/>
                      <w14:textFill>
                        <w14:solidFill>
                          <w14:schemeClr w14:val="tx1"/>
                        </w14:solidFill>
                      </w14:textFill>
                    </w:rPr>
                  </w:pPr>
                  <w:r>
                    <w:rPr>
                      <w:color w:val="000000" w:themeColor="text1"/>
                      <w14:textFill>
                        <w14:solidFill>
                          <w14:schemeClr w14:val="tx1"/>
                        </w14:solidFill>
                      </w14:textFill>
                    </w:rPr>
                    <w:t>限制开发区域</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重点生态功能区</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中开发管制原则“开发矿产资源、发展适宜产业和建设基础设施，都要控制在尽可能小的空间范围之内。做到天然草地、林地、水库水域、河流水面、湖泊水面等绿色生态空间面积不减少，控制新增道路、铁路建设规模，必须新建的，应事先规划好野生动物迁徙通道。”</w:t>
                  </w:r>
                </w:p>
                <w:p>
                  <w:pPr>
                    <w:pStyle w:val="3"/>
                    <w:keepNext/>
                    <w:keepLines/>
                    <w:pageBreakBefore w:val="0"/>
                    <w:widowControl w:val="0"/>
                    <w:kinsoku/>
                    <w:wordWrap/>
                    <w:overflowPunct/>
                    <w:topLinePunct w:val="0"/>
                    <w:autoSpaceDE/>
                    <w:autoSpaceDN/>
                    <w:bidi w:val="0"/>
                    <w:adjustRightInd/>
                    <w:snapToGrid/>
                    <w:spacing w:before="0" w:after="0" w:line="240" w:lineRule="auto"/>
                    <w:textAlignment w:val="auto"/>
                    <w:rPr>
                      <w:color w:val="000000" w:themeColor="text1"/>
                      <w14:textFill>
                        <w14:solidFill>
                          <w14:schemeClr w14:val="tx1"/>
                        </w14:solidFill>
                      </w14:textFill>
                    </w:rPr>
                  </w:pPr>
                  <w:r>
                    <w:rPr>
                      <w:rFonts w:hint="eastAsia" w:ascii="Times New Roman" w:hAnsi="Times New Roman" w:eastAsia="宋体" w:cs="Times New Roman"/>
                      <w:b w:val="0"/>
                      <w:bCs w:val="0"/>
                      <w:color w:val="000000" w:themeColor="text1"/>
                      <w:kern w:val="2"/>
                      <w:sz w:val="21"/>
                      <w:szCs w:val="24"/>
                      <w:lang w:val="en-US" w:eastAsia="zh-CN" w:bidi="ar-SA"/>
                      <w14:textFill>
                        <w14:solidFill>
                          <w14:schemeClr w14:val="tx1"/>
                        </w14:solidFill>
                      </w14:textFill>
                    </w:rPr>
                    <w:t>阿尔金草原荒漠化防治生态功能区发展方向：控制放牧和旅游区范围，防范盗猎，减少人类活动干扰。</w:t>
                  </w:r>
                </w:p>
              </w:tc>
              <w:tc>
                <w:tcPr>
                  <w:tcW w:w="1017" w:type="pct"/>
                  <w:tcBorders>
                    <w:tl2br w:val="nil"/>
                    <w:tr2bl w:val="nil"/>
                  </w:tcBorders>
                  <w:vAlign w:val="center"/>
                </w:tcPr>
                <w:p>
                  <w:pPr>
                    <w:jc w:val="left"/>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本项目属铀矿地质勘查，污染物产生量小，开发活动均为临时占地，采取生态保护与恢复措施，对生态环境影响小</w:t>
                  </w:r>
                </w:p>
              </w:tc>
              <w:tc>
                <w:tcPr>
                  <w:tcW w:w="749"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符合</w:t>
                  </w:r>
                </w:p>
              </w:tc>
            </w:tr>
          </w:tbl>
          <w:p>
            <w:pPr>
              <w:widowControl/>
              <w:spacing w:line="360" w:lineRule="auto"/>
              <w:ind w:firstLine="480" w:firstLineChars="200"/>
              <w:jc w:val="left"/>
              <w:rPr>
                <w:color w:val="000000" w:themeColor="text1"/>
                <w14:textFill>
                  <w14:solidFill>
                    <w14:schemeClr w14:val="tx1"/>
                  </w14:solidFill>
                </w14:textFill>
              </w:rPr>
            </w:pPr>
            <w:r>
              <w:rPr>
                <w:rFonts w:hint="eastAsia" w:ascii="宋体" w:hAnsi="宋体" w:cs="宋体"/>
                <w:color w:val="000000" w:themeColor="text1"/>
                <w:kern w:val="0"/>
                <w:sz w:val="24"/>
                <w:lang w:bidi="ar"/>
                <w14:textFill>
                  <w14:solidFill>
                    <w14:schemeClr w14:val="tx1"/>
                  </w14:solidFill>
                </w14:textFill>
              </w:rPr>
              <w:t>②与《</w:t>
            </w:r>
            <w:r>
              <w:rPr>
                <w:rFonts w:hint="eastAsia"/>
                <w:color w:val="000000" w:themeColor="text1"/>
                <w:sz w:val="24"/>
                <w14:textFill>
                  <w14:solidFill>
                    <w14:schemeClr w14:val="tx1"/>
                  </w14:solidFill>
                </w14:textFill>
              </w:rPr>
              <w:t>新疆维吾尔自治区</w:t>
            </w:r>
            <w:r>
              <w:rPr>
                <w:rFonts w:hint="eastAsia" w:ascii="宋体" w:hAnsi="宋体" w:cs="宋体"/>
                <w:color w:val="000000" w:themeColor="text1"/>
                <w:kern w:val="0"/>
                <w:sz w:val="24"/>
                <w:lang w:bidi="ar"/>
                <w14:textFill>
                  <w14:solidFill>
                    <w14:schemeClr w14:val="tx1"/>
                  </w14:solidFill>
                </w14:textFill>
              </w:rPr>
              <w:t>矿产资源总体规划（</w:t>
            </w:r>
            <w:r>
              <w:rPr>
                <w:rFonts w:ascii="TimesNewRomanPSMT" w:hAnsi="TimesNewRomanPSMT" w:eastAsia="TimesNewRomanPSMT" w:cs="TimesNewRomanPSMT"/>
                <w:color w:val="000000" w:themeColor="text1"/>
                <w:kern w:val="0"/>
                <w:sz w:val="24"/>
                <w:lang w:bidi="ar"/>
                <w14:textFill>
                  <w14:solidFill>
                    <w14:schemeClr w14:val="tx1"/>
                  </w14:solidFill>
                </w14:textFill>
              </w:rPr>
              <w:t>2016-2020</w:t>
            </w:r>
            <w:r>
              <w:rPr>
                <w:rFonts w:hint="eastAsia" w:ascii="宋体" w:hAnsi="宋体" w:cs="宋体"/>
                <w:color w:val="000000" w:themeColor="text1"/>
                <w:kern w:val="0"/>
                <w:sz w:val="24"/>
                <w:lang w:bidi="ar"/>
                <w14:textFill>
                  <w14:solidFill>
                    <w14:schemeClr w14:val="tx1"/>
                  </w14:solidFill>
                </w14:textFill>
              </w:rPr>
              <w:t>）》符合性分析</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项目与《新疆维吾尔自治区矿产资源总体规划（2016-2020）》相符性分析见下表1-</w:t>
            </w:r>
            <w:r>
              <w:rPr>
                <w:rFonts w:hint="eastAsia"/>
                <w:bCs/>
                <w:color w:val="000000" w:themeColor="text1"/>
                <w:sz w:val="24"/>
                <w:lang w:val="en-US" w:eastAsia="zh-CN"/>
                <w14:textFill>
                  <w14:solidFill>
                    <w14:schemeClr w14:val="tx1"/>
                  </w14:solidFill>
                </w14:textFill>
              </w:rPr>
              <w:t>9</w:t>
            </w:r>
            <w:r>
              <w:rPr>
                <w:rFonts w:hint="eastAsia"/>
                <w:bCs/>
                <w:color w:val="000000" w:themeColor="text1"/>
                <w:sz w:val="24"/>
                <w14:textFill>
                  <w14:solidFill>
                    <w14:schemeClr w14:val="tx1"/>
                  </w14:solidFill>
                </w14:textFill>
              </w:rPr>
              <w:t>。</w:t>
            </w:r>
          </w:p>
          <w:p>
            <w:pPr>
              <w:jc w:val="center"/>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表1-</w:t>
            </w:r>
            <w:r>
              <w:rPr>
                <w:rFonts w:hint="eastAsia"/>
                <w:bCs/>
                <w:color w:val="000000" w:themeColor="text1"/>
                <w:sz w:val="24"/>
                <w:lang w:val="en-US" w:eastAsia="zh-CN"/>
                <w14:textFill>
                  <w14:solidFill>
                    <w14:schemeClr w14:val="tx1"/>
                  </w14:solidFill>
                </w14:textFill>
              </w:rPr>
              <w:t>9</w:t>
            </w:r>
            <w:r>
              <w:rPr>
                <w:rFonts w:hint="eastAsia"/>
                <w:bCs/>
                <w:color w:val="000000" w:themeColor="text1"/>
                <w:sz w:val="24"/>
                <w14:textFill>
                  <w14:solidFill>
                    <w14:schemeClr w14:val="tx1"/>
                  </w14:solidFill>
                </w14:textFill>
              </w:rPr>
              <w:t xml:space="preserve">  项目与《新疆维吾尔自治区矿产资源总体规划（2016-2020）》相符性分析表</w:t>
            </w:r>
          </w:p>
          <w:tbl>
            <w:tblPr>
              <w:tblStyle w:val="13"/>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91"/>
              <w:gridCol w:w="4785"/>
              <w:gridCol w:w="2082"/>
              <w:gridCol w:w="145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16"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名称</w:t>
                  </w:r>
                </w:p>
              </w:tc>
              <w:tc>
                <w:tcPr>
                  <w:tcW w:w="2462"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相关内容</w:t>
                  </w:r>
                </w:p>
              </w:tc>
              <w:tc>
                <w:tcPr>
                  <w:tcW w:w="1071"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项目情况</w:t>
                  </w:r>
                </w:p>
              </w:tc>
              <w:tc>
                <w:tcPr>
                  <w:tcW w:w="748" w:type="pct"/>
                  <w:tcBorders>
                    <w:tl2br w:val="nil"/>
                    <w:tr2bl w:val="nil"/>
                  </w:tcBorders>
                  <w:vAlign w:val="center"/>
                </w:tcPr>
                <w:p>
                  <w:pPr>
                    <w:spacing w:line="360" w:lineRule="auto"/>
                    <w:jc w:val="center"/>
                    <w:rPr>
                      <w:rFonts w:hint="default"/>
                      <w:bCs/>
                      <w:color w:val="000000" w:themeColor="text1"/>
                      <w:szCs w:val="21"/>
                      <w:lang w:val="en-US"/>
                      <w14:textFill>
                        <w14:solidFill>
                          <w14:schemeClr w14:val="tx1"/>
                        </w14:solidFill>
                      </w14:textFill>
                    </w:rPr>
                  </w:pPr>
                  <w:r>
                    <w:rPr>
                      <w:rFonts w:hint="eastAsia"/>
                      <w:bCs/>
                      <w:color w:val="000000" w:themeColor="text1"/>
                      <w:szCs w:val="21"/>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716" w:type="pct"/>
                  <w:vMerge w:val="restart"/>
                  <w:tcBorders>
                    <w:tl2br w:val="nil"/>
                    <w:tr2bl w:val="nil"/>
                  </w:tcBorders>
                  <w:vAlign w:val="center"/>
                </w:tcPr>
                <w:p>
                  <w:pPr>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《新疆维吾尔自治区矿产资源总体规划（2016-2020）》</w:t>
                  </w:r>
                </w:p>
              </w:tc>
              <w:tc>
                <w:tcPr>
                  <w:tcW w:w="2462" w:type="pct"/>
                  <w:tcBorders>
                    <w:tl2br w:val="nil"/>
                    <w:tr2bl w:val="nil"/>
                  </w:tcBorders>
                  <w:vAlign w:val="center"/>
                </w:tcPr>
                <w:p>
                  <w:pPr>
                    <w:jc w:val="left"/>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重点勘查的矿种为石油、天然气、煤（南疆缺煤地区）、煤层气、页岩气、油砂、油页岩、富铁、锰、钒、钛、铜、铅、锌、镍、稀有金属、金、银、铂、钯、铀、钾盐、钠硝石、特色石材、膨润土、红柱石、蛭石、磷、菱镁矿、石墨等</w:t>
                  </w:r>
                </w:p>
              </w:tc>
              <w:tc>
                <w:tcPr>
                  <w:tcW w:w="1071" w:type="pct"/>
                  <w:tcBorders>
                    <w:tl2br w:val="nil"/>
                    <w:tr2bl w:val="nil"/>
                  </w:tcBorders>
                  <w:vAlign w:val="center"/>
                </w:tcPr>
                <w:p>
                  <w:pPr>
                    <w:jc w:val="left"/>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本项目属铀矿地质勘查</w:t>
                  </w:r>
                  <w:r>
                    <w:rPr>
                      <w:rFonts w:hint="eastAsia"/>
                      <w:bCs/>
                      <w:color w:val="000000" w:themeColor="text1"/>
                      <w:szCs w:val="21"/>
                      <w14:textFill>
                        <w14:solidFill>
                          <w14:schemeClr w14:val="tx1"/>
                        </w14:solidFill>
                      </w14:textFill>
                    </w:rPr>
                    <w:t>，属于鼓励类勘查矿种</w:t>
                  </w:r>
                </w:p>
              </w:tc>
              <w:tc>
                <w:tcPr>
                  <w:tcW w:w="748"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16" w:type="pct"/>
                  <w:vMerge w:val="continue"/>
                  <w:tcBorders>
                    <w:tl2br w:val="nil"/>
                    <w:tr2bl w:val="nil"/>
                  </w:tcBorders>
                  <w:vAlign w:val="center"/>
                </w:tcPr>
                <w:p>
                  <w:pPr>
                    <w:jc w:val="center"/>
                    <w:rPr>
                      <w:bCs/>
                      <w:color w:val="000000" w:themeColor="text1"/>
                      <w:szCs w:val="21"/>
                      <w14:textFill>
                        <w14:solidFill>
                          <w14:schemeClr w14:val="tx1"/>
                        </w14:solidFill>
                      </w14:textFill>
                    </w:rPr>
                  </w:pPr>
                </w:p>
              </w:tc>
              <w:tc>
                <w:tcPr>
                  <w:tcW w:w="2462" w:type="pct"/>
                  <w:tcBorders>
                    <w:tl2br w:val="nil"/>
                    <w:tr2bl w:val="nil"/>
                  </w:tcBorders>
                  <w:vAlign w:val="center"/>
                </w:tcPr>
                <w:p>
                  <w:pPr>
                    <w:jc w:val="left"/>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规划》将军事管理区，国家和自治区级自然保护区、风景名胜区、历史遗迹保护区，重要饮用水水源保护区、重要湿地保护区、国家级森林公园、地质公园，铁路、高速公路、国道、省道、油气管线等线型工程两侧一定距离内，重要工业区、大型水利工程设施、城镇市政工程设施等一定范围内，机场、国防工程设施圈定的地区划为限制勘查区</w:t>
                  </w:r>
                </w:p>
              </w:tc>
              <w:tc>
                <w:tcPr>
                  <w:tcW w:w="1071" w:type="pct"/>
                  <w:tcBorders>
                    <w:tl2br w:val="nil"/>
                    <w:tr2bl w:val="nil"/>
                  </w:tcBorders>
                  <w:vAlign w:val="center"/>
                </w:tcPr>
                <w:p>
                  <w:pPr>
                    <w:jc w:val="left"/>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本项目勘查工程不在限制勘查区内进行布置</w:t>
                  </w:r>
                </w:p>
              </w:tc>
              <w:tc>
                <w:tcPr>
                  <w:tcW w:w="748" w:type="pct"/>
                  <w:tcBorders>
                    <w:tl2br w:val="nil"/>
                    <w:tr2bl w:val="nil"/>
                  </w:tcBorders>
                  <w:vAlign w:val="center"/>
                </w:tcPr>
                <w:p>
                  <w:pPr>
                    <w:spacing w:line="360" w:lineRule="auto"/>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符合</w:t>
                  </w:r>
                </w:p>
              </w:tc>
            </w:tr>
          </w:tbl>
          <w:p>
            <w:pPr>
              <w:numPr>
                <w:ilvl w:val="0"/>
                <w:numId w:val="0"/>
              </w:numPr>
              <w:spacing w:line="360" w:lineRule="auto"/>
              <w:ind w:firstLine="480" w:firstLineChars="200"/>
              <w:rPr>
                <w:rFonts w:ascii="Times New Roman" w:hAnsi="Times New Roman" w:cs="Times New Roman"/>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③</w:t>
            </w:r>
            <w:r>
              <w:rPr>
                <w:rFonts w:ascii="Times New Roman" w:hAnsi="Times New Roman" w:cs="Times New Roman"/>
                <w:color w:val="000000" w:themeColor="text1"/>
                <w:sz w:val="24"/>
                <w:lang w:eastAsia="zh-CN"/>
                <w14:textFill>
                  <w14:solidFill>
                    <w14:schemeClr w14:val="tx1"/>
                  </w14:solidFill>
                </w14:textFill>
              </w:rPr>
              <w:t>与</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新疆维吾尔自治区</w:t>
            </w:r>
            <w:r>
              <w:rPr>
                <w:rFonts w:hint="eastAsia" w:ascii="Times New Roman" w:hAnsi="Times New Roman" w:eastAsia="宋体" w:cs="Times New Roman"/>
                <w:color w:val="000000" w:themeColor="text1"/>
                <w:sz w:val="24"/>
                <w:lang w:eastAsia="zh-CN"/>
                <w14:textFill>
                  <w14:solidFill>
                    <w14:schemeClr w14:val="tx1"/>
                  </w14:solidFill>
                </w14:textFill>
              </w:rPr>
              <w:t>“三线一单”生态环境分区管控》</w:t>
            </w:r>
            <w:r>
              <w:rPr>
                <w:rFonts w:ascii="Times New Roman" w:hAnsi="Times New Roman" w:cs="Times New Roman"/>
                <w:color w:val="000000" w:themeColor="text1"/>
                <w:sz w:val="24"/>
                <w:lang w:eastAsia="zh-CN"/>
                <w14:textFill>
                  <w14:solidFill>
                    <w14:schemeClr w14:val="tx1"/>
                  </w14:solidFill>
                </w14:textFill>
              </w:rPr>
              <w:t>符合性分析</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eastAsia" w:cs="Times New Roman"/>
                <w:color w:val="000000" w:themeColor="text1"/>
                <w:kern w:val="0"/>
                <w:sz w:val="24"/>
                <w:lang w:val="en-US" w:eastAsia="zh-CN"/>
                <w14:textFill>
                  <w14:solidFill>
                    <w14:schemeClr w14:val="tx1"/>
                  </w14:solidFill>
                </w14:textFill>
              </w:rPr>
              <w:t>1）相关内容</w:t>
            </w:r>
          </w:p>
          <w:p>
            <w:pPr>
              <w:spacing w:line="360" w:lineRule="auto"/>
              <w:ind w:firstLine="480" w:firstLineChars="200"/>
              <w:rPr>
                <w:rFonts w:hint="eastAsia" w:ascii="宋体" w:hAnsi="宋体" w:eastAsia="宋体" w:cs="宋体"/>
                <w:color w:val="000000" w:themeColor="text1"/>
                <w:kern w:val="0"/>
                <w:sz w:val="24"/>
                <w:lang w:val="en-US" w:eastAsia="zh-CN"/>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2021年2月21日，新疆维吾尔自治区人民政府发布了《关于印发新疆维吾尔自治区“三线一单”生态环境分区管控的通知》（新政发[2021]18号）。</w:t>
            </w:r>
            <w:r>
              <w:rPr>
                <w:rFonts w:hint="eastAsia" w:ascii="宋体" w:hAnsi="宋体" w:eastAsia="宋体" w:cs="宋体"/>
                <w:color w:val="000000" w:themeColor="text1"/>
                <w:kern w:val="0"/>
                <w:sz w:val="24"/>
                <w:lang w:val="en-US" w:eastAsia="zh-CN"/>
                <w14:textFill>
                  <w14:solidFill>
                    <w14:schemeClr w14:val="tx1"/>
                  </w14:solidFill>
                </w14:textFill>
              </w:rPr>
              <w:t>自治区共划定1323个环境管控单元，分为优先保护单元、重点管控单元和一般管控单元三类。</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优先保护单元465个</w:t>
            </w:r>
            <w:r>
              <w:rPr>
                <w:rFonts w:hint="eastAsia" w:cs="Times New Roman"/>
                <w:color w:val="000000" w:themeColor="text1"/>
                <w:kern w:val="0"/>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主要包括生态保护红线区和生态保护红线区以外的饮用水水源保护区、水源涵养区、防风固沙区、土地沙化防控区、水土流失防控区等一般生态空间管控区。重点管控单元699个</w:t>
            </w:r>
            <w:r>
              <w:rPr>
                <w:rFonts w:hint="eastAsia" w:eastAsia="宋体" w:cs="Times New Roman"/>
                <w:color w:val="000000" w:themeColor="text1"/>
                <w:kern w:val="0"/>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主要包括城镇建成区、工业园区和开发强度大、污染物排放强度高的工业聚集区等。一般管控单元159个</w:t>
            </w:r>
            <w:r>
              <w:rPr>
                <w:rFonts w:hint="eastAsia" w:eastAsia="宋体" w:cs="Times New Roman"/>
                <w:color w:val="000000" w:themeColor="text1"/>
                <w:kern w:val="0"/>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主要包括优先保护单元和重点管控单元之外的其它区域。</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eastAsia" w:cs="Times New Roman"/>
                <w:color w:val="000000" w:themeColor="text1"/>
                <w:kern w:val="0"/>
                <w:sz w:val="24"/>
                <w:lang w:val="en-US" w:eastAsia="zh-CN"/>
                <w14:textFill>
                  <w14:solidFill>
                    <w14:schemeClr w14:val="tx1"/>
                  </w14:solidFill>
                </w14:textFill>
              </w:rPr>
              <w:t>2）本项目所属单元分析</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新疆维吾尔自治区</w:t>
            </w:r>
            <w:r>
              <w:rPr>
                <w:rFonts w:hint="default" w:ascii="Times New Roman" w:hAnsi="Times New Roman" w:eastAsia="宋体" w:cs="Times New Roman"/>
                <w:color w:val="000000" w:themeColor="text1"/>
                <w:sz w:val="24"/>
                <w:lang w:eastAsia="zh-CN"/>
                <w14:textFill>
                  <w14:solidFill>
                    <w14:schemeClr w14:val="tx1"/>
                  </w14:solidFill>
                </w14:textFill>
              </w:rPr>
              <w:t>“三线一单”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生态环境管控单元关系</w:t>
            </w:r>
            <w:r>
              <w:rPr>
                <w:rFonts w:hint="default" w:ascii="Times New Roman" w:hAnsi="Times New Roman" w:cs="Times New Roman"/>
                <w:color w:val="000000" w:themeColor="text1"/>
                <w:kern w:val="0"/>
                <w:sz w:val="24"/>
                <w14:textFill>
                  <w14:solidFill>
                    <w14:schemeClr w14:val="tx1"/>
                  </w14:solidFill>
                </w14:textFill>
              </w:rPr>
              <w:t>见</w:t>
            </w:r>
            <w:r>
              <w:rPr>
                <w:rFonts w:hint="default" w:ascii="Times New Roman" w:hAnsi="Times New Roman" w:cs="Times New Roman"/>
                <w:color w:val="000000" w:themeColor="text1"/>
                <w:kern w:val="0"/>
                <w:sz w:val="24"/>
                <w:lang w:val="en-US" w:eastAsia="zh-CN"/>
                <w14:textFill>
                  <w14:solidFill>
                    <w14:schemeClr w14:val="tx1"/>
                  </w14:solidFill>
                </w14:textFill>
              </w:rPr>
              <w:t>附</w:t>
            </w:r>
            <w:r>
              <w:rPr>
                <w:rFonts w:hint="default" w:ascii="Times New Roman" w:hAnsi="Times New Roman" w:eastAsia="宋体" w:cs="Times New Roman"/>
                <w:color w:val="000000" w:themeColor="text1"/>
                <w:kern w:val="0"/>
                <w:sz w:val="24"/>
                <w14:textFill>
                  <w14:solidFill>
                    <w14:schemeClr w14:val="tx1"/>
                  </w14:solidFill>
                </w14:textFill>
              </w:rPr>
              <w:t>图</w:t>
            </w:r>
            <w:r>
              <w:rPr>
                <w:rFonts w:hint="eastAsia" w:cs="Times New Roman"/>
                <w:color w:val="000000" w:themeColor="text1"/>
                <w:kern w:val="0"/>
                <w:sz w:val="24"/>
                <w:lang w:val="en-US" w:eastAsia="zh-CN"/>
                <w14:textFill>
                  <w14:solidFill>
                    <w14:schemeClr w14:val="tx1"/>
                  </w14:solidFill>
                </w14:textFill>
              </w:rPr>
              <w:t>5</w:t>
            </w:r>
            <w:r>
              <w:rPr>
                <w:rFonts w:hint="default" w:ascii="Times New Roman" w:hAnsi="Times New Roman" w:cs="Times New Roman"/>
                <w:color w:val="000000" w:themeColor="text1"/>
                <w:kern w:val="0"/>
                <w:sz w:val="24"/>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勘查区和</w:t>
            </w:r>
            <w:r>
              <w:rPr>
                <w:rFonts w:hint="eastAsia" w:ascii="Times New Roman" w:hAnsi="Times New Roman" w:cs="Times New Roman"/>
                <w:color w:val="000000" w:themeColor="text1"/>
                <w:kern w:val="0"/>
                <w:sz w:val="24"/>
                <w:lang w:val="en-US" w:eastAsia="zh-CN"/>
                <w14:textFill>
                  <w14:solidFill>
                    <w14:schemeClr w14:val="tx1"/>
                  </w14:solidFill>
                </w14:textFill>
              </w:rPr>
              <w:t>2022年钻孔</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default" w:ascii="Times New Roman" w:hAnsi="Times New Roman" w:eastAsia="宋体" w:cs="Times New Roman"/>
                <w:color w:val="000000" w:themeColor="text1"/>
                <w:sz w:val="24"/>
                <w:lang w:val="en-US" w:eastAsia="zh-CN"/>
                <w14:textFill>
                  <w14:solidFill>
                    <w14:schemeClr w14:val="tx1"/>
                  </w14:solidFill>
                </w14:textFill>
              </w:rPr>
              <w:t>新疆维吾尔自治区划定的</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w:t>
            </w:r>
            <w:r>
              <w:rPr>
                <w:rFonts w:hint="eastAsia" w:eastAsia="宋体" w:cs="Times New Roman"/>
                <w:color w:val="000000" w:themeColor="text1"/>
                <w:kern w:val="0"/>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新疆维吾尔自治区生态红线尚未正式发布，经评价单位及建设单位去国土相关部门查阅生态红线划定初步成果（正在调整中），本项目2022年的钻孔不占用优先保护单元内的生态红线，也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年的拟布设的钻孔也不得占用上述保护目标。</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项目与《</w:t>
            </w:r>
            <w:r>
              <w:rPr>
                <w:rFonts w:hint="eastAsia" w:ascii="Times New Roman" w:hAnsi="Times New Roman" w:eastAsia="宋体" w:cs="Times New Roman"/>
                <w:color w:val="000000" w:themeColor="text1"/>
                <w:sz w:val="24"/>
                <w:lang w:val="en-US" w:eastAsia="zh-CN"/>
                <w14:textFill>
                  <w14:solidFill>
                    <w14:schemeClr w14:val="tx1"/>
                  </w14:solidFill>
                </w14:textFill>
              </w:rPr>
              <w:t>新疆维吾尔自治区</w:t>
            </w:r>
            <w:r>
              <w:rPr>
                <w:rFonts w:hint="eastAsia" w:ascii="Times New Roman" w:hAnsi="Times New Roman" w:eastAsia="宋体" w:cs="Times New Roman"/>
                <w:color w:val="000000" w:themeColor="text1"/>
                <w:sz w:val="24"/>
                <w:lang w:eastAsia="zh-CN"/>
                <w14:textFill>
                  <w14:solidFill>
                    <w14:schemeClr w14:val="tx1"/>
                  </w14:solidFill>
                </w14:textFill>
              </w:rPr>
              <w:t>“三线一单”生态环境分区管控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1-10</w:t>
            </w:r>
            <w:r>
              <w:rPr>
                <w:rFonts w:hint="eastAsia"/>
                <w:color w:val="000000" w:themeColor="text1"/>
                <w:sz w:val="24"/>
                <w:lang w:eastAsia="zh-CN"/>
                <w14:textFill>
                  <w14:solidFill>
                    <w14:schemeClr w14:val="tx1"/>
                  </w14:solidFill>
                </w14:textFill>
              </w:rPr>
              <w:t>。</w:t>
            </w:r>
          </w:p>
          <w:p>
            <w:pPr>
              <w:spacing w:line="240" w:lineRule="auto"/>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表1-10  项目与《新疆维吾尔自治区“三线一单”生态环境分区管控》相符性分析表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1942"/>
              <w:gridCol w:w="4374"/>
              <w:gridCol w:w="2138"/>
              <w:gridCol w:w="126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10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64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999" w:type="pct"/>
                  <w:vMerge w:val="restart"/>
                  <w:tcBorders>
                    <w:tl2br w:val="nil"/>
                    <w:tr2bl w:val="nil"/>
                  </w:tcBorders>
                  <w:noWrap w:val="0"/>
                  <w:tcMar>
                    <w:top w:w="15" w:type="dxa"/>
                    <w:left w:w="15" w:type="dxa"/>
                    <w:bottom w:w="0" w:type="dxa"/>
                    <w:right w:w="15" w:type="dxa"/>
                  </w:tcMar>
                  <w:vAlign w:val="center"/>
                </w:tcPr>
                <w:p>
                  <w:pPr>
                    <w:jc w:val="center"/>
                    <w:rPr>
                      <w:rFonts w:hint="default" w:ascii="Times New Roman" w:hAnsi="Times New Roman" w:cs="Times New Roman"/>
                      <w:color w:val="000000" w:themeColor="text1"/>
                      <w:szCs w:val="21"/>
                      <w:lang w:eastAsia="zh-CN"/>
                      <w14:textFill>
                        <w14:solidFill>
                          <w14:schemeClr w14:val="tx1"/>
                        </w14:solidFill>
                      </w14:textFill>
                    </w:rPr>
                  </w:pP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新疆维吾尔自治区</w:t>
                  </w:r>
                  <w:r>
                    <w:rPr>
                      <w:rFonts w:hint="default" w:ascii="Times New Roman" w:hAnsi="Times New Roman" w:eastAsia="宋体" w:cs="Times New Roman"/>
                      <w:color w:val="000000" w:themeColor="text1"/>
                      <w:sz w:val="21"/>
                      <w:szCs w:val="21"/>
                      <w:lang w:eastAsia="zh-CN"/>
                      <w14:textFill>
                        <w14:solidFill>
                          <w14:schemeClr w14:val="tx1"/>
                        </w14:solidFill>
                      </w14:textFill>
                    </w:rPr>
                    <w:t>“三线一单”生态环境分区管控》</w:t>
                  </w: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生态保护红线区执行生态保护红线管理办法的有关要求</w:t>
                  </w:r>
                </w:p>
              </w:tc>
              <w:tc>
                <w:tcPr>
                  <w:tcW w:w="1100" w:type="pct"/>
                  <w:vMerge w:val="restart"/>
                  <w:tcBorders>
                    <w:tl2br w:val="nil"/>
                    <w:tr2bl w:val="nil"/>
                  </w:tcBorders>
                  <w:noWrap w:val="0"/>
                  <w:tcMar>
                    <w:top w:w="15" w:type="dxa"/>
                    <w:left w:w="15" w:type="dxa"/>
                    <w:bottom w:w="0" w:type="dxa"/>
                    <w:right w:w="15" w:type="dxa"/>
                  </w:tcMar>
                  <w:vAlign w:val="center"/>
                </w:tcPr>
                <w:p>
                  <w:pPr>
                    <w:pStyle w:val="17"/>
                    <w:jc w:val="both"/>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钻孔不占用优先保护单元内的生态红线，也不占用国家和自治区级自然保护区、风景名胜区、水源保护地、国家级森林公园、地质公园等环境敏感区。评价要求2023-2026年的拟布设的钻孔也不得占用上述保护目标。</w:t>
                  </w:r>
                </w:p>
              </w:tc>
              <w:tc>
                <w:tcPr>
                  <w:tcW w:w="64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一般生态空间管控区应以生态环境保护优先为原则</w:t>
                  </w:r>
                  <w:r>
                    <w:rPr>
                      <w:rFonts w:hint="eastAsia" w:cs="Times New Roman"/>
                      <w:color w:val="000000" w:themeColor="text1"/>
                      <w:sz w:val="21"/>
                      <w:szCs w:val="21"/>
                      <w:lang w:val="en-US" w:eastAsia="zh-CN" w:bidi="ar-SA"/>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开发建设活动应严格执行相关法律、法规要求</w:t>
                  </w:r>
                  <w:r>
                    <w:rPr>
                      <w:rFonts w:hint="eastAsia" w:cs="Times New Roman"/>
                      <w:color w:val="000000" w:themeColor="text1"/>
                      <w:sz w:val="21"/>
                      <w:szCs w:val="21"/>
                      <w:lang w:val="en-US" w:eastAsia="zh-CN" w:bidi="ar-SA"/>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严守生态环境质量底线</w:t>
                  </w:r>
                  <w:r>
                    <w:rPr>
                      <w:rFonts w:hint="eastAsia" w:cs="Times New Roman"/>
                      <w:color w:val="000000" w:themeColor="text1"/>
                      <w:sz w:val="21"/>
                      <w:szCs w:val="21"/>
                      <w:lang w:val="en-US" w:eastAsia="zh-CN" w:bidi="ar-SA"/>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确保生态功能不降低。</w:t>
                  </w:r>
                </w:p>
              </w:tc>
              <w:tc>
                <w:tcPr>
                  <w:tcW w:w="1100" w:type="pct"/>
                  <w:vMerge w:val="continue"/>
                  <w:tcBorders>
                    <w:tl2br w:val="nil"/>
                    <w:tr2bl w:val="nil"/>
                  </w:tcBorders>
                  <w:noWrap w:val="0"/>
                  <w:tcMar>
                    <w:top w:w="15" w:type="dxa"/>
                    <w:left w:w="15" w:type="dxa"/>
                    <w:bottom w:w="0" w:type="dxa"/>
                    <w:right w:w="15" w:type="dxa"/>
                  </w:tcMar>
                  <w:vAlign w:val="center"/>
                </w:tcPr>
                <w:p>
                  <w:pPr>
                    <w:pStyle w:val="17"/>
                    <w:rPr>
                      <w:rFonts w:hAnsi="宋体"/>
                      <w:color w:val="000000" w:themeColor="text1"/>
                      <w:sz w:val="21"/>
                      <w:szCs w:val="21"/>
                      <w14:textFill>
                        <w14:solidFill>
                          <w14:schemeClr w14:val="tx1"/>
                        </w14:solidFill>
                      </w14:textFill>
                    </w:rPr>
                  </w:pPr>
                </w:p>
              </w:tc>
              <w:tc>
                <w:tcPr>
                  <w:tcW w:w="6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重点管控单元要着力优化空间布局</w:t>
                  </w:r>
                  <w:r>
                    <w:rPr>
                      <w:rFonts w:hint="eastAsia" w:cs="Times New Roman"/>
                      <w:color w:val="000000" w:themeColor="text1"/>
                      <w:sz w:val="21"/>
                      <w:szCs w:val="21"/>
                      <w:lang w:val="en-US" w:eastAsia="zh-CN" w:bidi="ar-SA"/>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不断提升资源利用效率</w:t>
                  </w:r>
                  <w:r>
                    <w:rPr>
                      <w:rFonts w:hint="eastAsia" w:cs="Times New Roman"/>
                      <w:color w:val="000000" w:themeColor="text1"/>
                      <w:sz w:val="21"/>
                      <w:szCs w:val="21"/>
                      <w:lang w:val="en-US" w:eastAsia="zh-CN" w:bidi="ar-SA"/>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有针对性地加强污染物排放管控和环境风险防控</w:t>
                  </w:r>
                  <w:r>
                    <w:rPr>
                      <w:rFonts w:hint="eastAsia" w:cs="Times New Roman"/>
                      <w:color w:val="000000" w:themeColor="text1"/>
                      <w:sz w:val="21"/>
                      <w:szCs w:val="21"/>
                      <w:lang w:val="en-US" w:eastAsia="zh-CN" w:bidi="ar-SA"/>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解决生态环境质量不达标、生态环境风险高等问题。</w:t>
                  </w:r>
                </w:p>
              </w:tc>
              <w:tc>
                <w:tcPr>
                  <w:tcW w:w="1100" w:type="pct"/>
                  <w:vMerge w:val="continue"/>
                  <w:tcBorders>
                    <w:tl2br w:val="nil"/>
                    <w:tr2bl w:val="nil"/>
                  </w:tcBorders>
                  <w:noWrap w:val="0"/>
                  <w:tcMar>
                    <w:top w:w="15" w:type="dxa"/>
                    <w:left w:w="15" w:type="dxa"/>
                    <w:bottom w:w="0" w:type="dxa"/>
                    <w:right w:w="15" w:type="dxa"/>
                  </w:tcMar>
                  <w:vAlign w:val="center"/>
                </w:tcPr>
                <w:p>
                  <w:pPr>
                    <w:pStyle w:val="17"/>
                    <w:rPr>
                      <w:rFonts w:hint="eastAsia" w:hAnsi="宋体"/>
                      <w:color w:val="000000" w:themeColor="text1"/>
                      <w:sz w:val="21"/>
                      <w:szCs w:val="21"/>
                      <w14:textFill>
                        <w14:solidFill>
                          <w14:schemeClr w14:val="tx1"/>
                        </w14:solidFill>
                      </w14:textFill>
                    </w:rPr>
                  </w:pPr>
                </w:p>
              </w:tc>
              <w:tc>
                <w:tcPr>
                  <w:tcW w:w="6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综上所述，本项目符合</w:t>
            </w:r>
            <w:r>
              <w:rPr>
                <w:rFonts w:hint="eastAsia"/>
                <w:bCs/>
                <w:color w:val="000000" w:themeColor="text1"/>
                <w:sz w:val="24"/>
                <w14:textFill>
                  <w14:solidFill>
                    <w14:schemeClr w14:val="tx1"/>
                  </w14:solidFill>
                </w14:textFill>
              </w:rPr>
              <w:t>《新疆维吾尔自治区主体功能区</w:t>
            </w:r>
            <w:r>
              <w:rPr>
                <w:rFonts w:hint="eastAsia"/>
                <w:bCs/>
                <w:color w:val="000000" w:themeColor="text1"/>
                <w:sz w:val="24"/>
                <w:lang w:val="en-US" w:eastAsia="zh-CN"/>
                <w14:textFill>
                  <w14:solidFill>
                    <w14:schemeClr w14:val="tx1"/>
                  </w14:solidFill>
                </w14:textFill>
              </w:rPr>
              <w:t>规划</w:t>
            </w:r>
            <w:r>
              <w:rPr>
                <w:rFonts w:hint="eastAsia"/>
                <w:bCs/>
                <w:color w:val="000000" w:themeColor="text1"/>
                <w:sz w:val="24"/>
                <w14:textFill>
                  <w14:solidFill>
                    <w14:schemeClr w14:val="tx1"/>
                  </w14:solidFill>
                </w14:textFill>
              </w:rPr>
              <w:t>》</w:t>
            </w:r>
            <w:r>
              <w:rPr>
                <w:rFonts w:hint="eastAsia"/>
                <w:bCs/>
                <w:color w:val="000000" w:themeColor="text1"/>
                <w:sz w:val="24"/>
                <w:lang w:eastAsia="zh-CN"/>
                <w14:textFill>
                  <w14:solidFill>
                    <w14:schemeClr w14:val="tx1"/>
                  </w14:solidFill>
                </w14:textFill>
              </w:rPr>
              <w:t>、</w:t>
            </w:r>
            <w:r>
              <w:rPr>
                <w:color w:val="000000" w:themeColor="text1"/>
                <w:kern w:val="0"/>
                <w:sz w:val="24"/>
                <w:lang w:bidi="ar"/>
                <w14:textFill>
                  <w14:solidFill>
                    <w14:schemeClr w14:val="tx1"/>
                  </w14:solidFill>
                </w14:textFill>
              </w:rPr>
              <w:t>《</w:t>
            </w:r>
            <w:r>
              <w:rPr>
                <w:rFonts w:hint="eastAsia"/>
                <w:bCs/>
                <w:color w:val="000000" w:themeColor="text1"/>
                <w:sz w:val="24"/>
                <w14:textFill>
                  <w14:solidFill>
                    <w14:schemeClr w14:val="tx1"/>
                  </w14:solidFill>
                </w14:textFill>
              </w:rPr>
              <w:t>新疆维吾尔自治区</w:t>
            </w:r>
            <w:r>
              <w:rPr>
                <w:color w:val="000000" w:themeColor="text1"/>
                <w:kern w:val="0"/>
                <w:sz w:val="24"/>
                <w:lang w:bidi="ar"/>
                <w14:textFill>
                  <w14:solidFill>
                    <w14:schemeClr w14:val="tx1"/>
                  </w14:solidFill>
                </w14:textFill>
              </w:rPr>
              <w:t>矿产资源总体规划（</w:t>
            </w:r>
            <w:r>
              <w:rPr>
                <w:rFonts w:eastAsia="TimesNewRomanPSMT"/>
                <w:color w:val="000000" w:themeColor="text1"/>
                <w:kern w:val="0"/>
                <w:sz w:val="24"/>
                <w:lang w:bidi="ar"/>
                <w14:textFill>
                  <w14:solidFill>
                    <w14:schemeClr w14:val="tx1"/>
                  </w14:solidFill>
                </w14:textFill>
              </w:rPr>
              <w:t>2016-2020</w:t>
            </w:r>
            <w:r>
              <w:rPr>
                <w:color w:val="000000" w:themeColor="text1"/>
                <w:kern w:val="0"/>
                <w:sz w:val="24"/>
                <w:lang w:bidi="ar"/>
                <w14:textFill>
                  <w14:solidFill>
                    <w14:schemeClr w14:val="tx1"/>
                  </w14:solidFill>
                </w14:textFill>
              </w:rPr>
              <w:t>）》</w:t>
            </w:r>
            <w:r>
              <w:rPr>
                <w:rFonts w:hint="eastAsia"/>
                <w:color w:val="000000" w:themeColor="text1"/>
                <w:kern w:val="0"/>
                <w:sz w:val="24"/>
                <w:lang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《新疆维吾尔自治区“三线一单”生态环境分区管控》</w:t>
            </w:r>
            <w:r>
              <w:rPr>
                <w:rFonts w:hint="eastAsia"/>
                <w:color w:val="000000" w:themeColor="text1"/>
                <w:kern w:val="0"/>
                <w:sz w:val="24"/>
                <w:lang w:bidi="ar"/>
                <w14:textFill>
                  <w14:solidFill>
                    <w14:schemeClr w14:val="tx1"/>
                  </w14:solidFill>
                </w14:textFill>
              </w:rPr>
              <w:t>的要求。</w:t>
            </w:r>
          </w:p>
          <w:p>
            <w:pPr>
              <w:spacing w:line="360" w:lineRule="auto"/>
              <w:rPr>
                <w:b/>
                <w:bCs/>
                <w:color w:val="000000" w:themeColor="text1"/>
                <w:sz w:val="24"/>
                <w:lang w:val="en-GB"/>
                <w14:textFill>
                  <w14:solidFill>
                    <w14:schemeClr w14:val="tx1"/>
                  </w14:solidFill>
                </w14:textFill>
              </w:rPr>
            </w:pPr>
            <w:r>
              <w:rPr>
                <w:rFonts w:hint="eastAsia"/>
                <w:b/>
                <w:bCs/>
                <w:color w:val="000000" w:themeColor="text1"/>
                <w:sz w:val="24"/>
                <w14:textFill>
                  <w14:solidFill>
                    <w14:schemeClr w14:val="tx1"/>
                  </w14:solidFill>
                </w14:textFill>
              </w:rPr>
              <w:t>2.4</w:t>
            </w:r>
            <w:r>
              <w:rPr>
                <w:rFonts w:hint="eastAsia"/>
                <w:b/>
                <w:bCs/>
                <w:color w:val="000000" w:themeColor="text1"/>
                <w:sz w:val="24"/>
                <w:lang w:val="en-GB"/>
                <w14:textFill>
                  <w14:solidFill>
                    <w14:schemeClr w14:val="tx1"/>
                  </w14:solidFill>
                </w14:textFill>
              </w:rPr>
              <w:t>选址可行性分析</w:t>
            </w:r>
          </w:p>
          <w:p>
            <w:pPr>
              <w:spacing w:line="360" w:lineRule="auto"/>
              <w:ind w:firstLine="480" w:firstLineChars="200"/>
              <w:rPr>
                <w:rFonts w:hint="default" w:ascii="Times New Roman" w:hAnsi="Times New Roman" w:cs="Times New Roman"/>
                <w:color w:val="000000" w:themeColor="text1"/>
                <w:kern w:val="2"/>
                <w:sz w:val="24"/>
                <w:szCs w:val="24"/>
                <w:lang w:eastAsia="zh-CN" w:bidi="ar-SA"/>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w:t>
            </w:r>
            <w:r>
              <w:rPr>
                <w:rFonts w:hint="eastAsia" w:cs="Times New Roman"/>
                <w:color w:val="000000" w:themeColor="text1"/>
                <w:kern w:val="0"/>
                <w:sz w:val="24"/>
                <w:lang w:val="en-US" w:eastAsia="zh-CN"/>
                <w14:textFill>
                  <w14:solidFill>
                    <w14:schemeClr w14:val="tx1"/>
                  </w14:solidFill>
                </w14:textFill>
              </w:rPr>
              <w:t>涉及青海省、甘肃省、</w:t>
            </w:r>
            <w:r>
              <w:rPr>
                <w:rFonts w:hint="eastAsia"/>
                <w:color w:val="000000" w:themeColor="text1"/>
                <w:sz w:val="24"/>
                <w:lang w:val="en-US" w:eastAsia="zh-CN"/>
                <w14:textFill>
                  <w14:solidFill>
                    <w14:schemeClr w14:val="tx1"/>
                  </w14:solidFill>
                </w14:textFill>
              </w:rPr>
              <w:t>新疆维吾尔自治区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国家级森林公园、地质公园等环境敏感区，202</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2</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年初步拟布设的钻探施工对周边环境敏感保护目标造成影响较小，从环保角度分析，本项目选址可行。</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因铀矿地质勘查过程中，钻孔位置在勘查区内</w:t>
            </w:r>
            <w:r>
              <w:rPr>
                <w:rFonts w:hint="eastAsia"/>
                <w:color w:val="000000" w:themeColor="text1"/>
                <w:sz w:val="24"/>
                <w14:textFill>
                  <w14:solidFill>
                    <w14:schemeClr w14:val="tx1"/>
                  </w14:solidFill>
                </w14:textFill>
              </w:rPr>
              <w:t>一般按照“边施工、边研究、边调整”的原则布置，具有不确定性，因此，</w:t>
            </w:r>
            <w:r>
              <w:rPr>
                <w:rFonts w:hint="eastAsia"/>
                <w:color w:val="000000" w:themeColor="text1"/>
                <w:sz w:val="24"/>
                <w:lang w:val="en-US" w:eastAsia="zh-CN"/>
                <w14:textFill>
                  <w14:solidFill>
                    <w14:schemeClr w14:val="tx1"/>
                  </w14:solidFill>
                </w14:textFill>
              </w:rPr>
              <w:t>评价针对拟设钻孔等工程选址提出以下原则性要求：</w:t>
            </w:r>
          </w:p>
          <w:p>
            <w:pPr>
              <w:spacing w:line="360" w:lineRule="auto"/>
              <w:ind w:firstLine="480" w:firstLineChars="200"/>
              <w:rPr>
                <w:rFonts w:hint="eastAsia" w:ascii="宋体" w:hAnsi="宋体" w:cs="宋体"/>
                <w:color w:val="000000" w:themeColor="text1"/>
                <w:sz w:val="24"/>
                <w:szCs w:val="24"/>
                <w:lang w:val="en-US" w:eastAsia="zh-CN"/>
                <w14:textFill>
                  <w14:solidFill>
                    <w14:schemeClr w14:val="tx1"/>
                  </w14:solidFill>
                </w14:textFill>
              </w:rPr>
            </w:pPr>
            <w:r>
              <w:rPr>
                <w:rFonts w:hint="eastAsia"/>
                <w:color w:val="000000" w:themeColor="text1"/>
                <w:sz w:val="24"/>
                <w14:textFill>
                  <w14:solidFill>
                    <w14:schemeClr w14:val="tx1"/>
                  </w14:solidFill>
                </w14:textFill>
              </w:rPr>
              <w:t>①</w:t>
            </w:r>
            <w:r>
              <w:rPr>
                <w:rFonts w:hint="eastAsia"/>
                <w:color w:val="000000" w:themeColor="text1"/>
                <w:sz w:val="24"/>
                <w:lang w:val="en-US" w:eastAsia="zh-CN"/>
                <w14:textFill>
                  <w14:solidFill>
                    <w14:schemeClr w14:val="tx1"/>
                  </w14:solidFill>
                </w14:textFill>
              </w:rPr>
              <w:t>经调查，勘查区内（青海省、甘肃省和新疆维吾尔自治区）分布的</w:t>
            </w:r>
            <w:r>
              <w:rPr>
                <w:rFonts w:hint="eastAsia"/>
                <w:color w:val="000000" w:themeColor="text1"/>
                <w:sz w:val="24"/>
                <w:szCs w:val="24"/>
                <w:lang w:val="en-US" w:eastAsia="zh-CN"/>
                <w14:textFill>
                  <w14:solidFill>
                    <w14:schemeClr w14:val="tx1"/>
                  </w14:solidFill>
                </w14:textFill>
              </w:rPr>
              <w:t>自然保护区、风景名胜区、森林公园、地质公园、重要湿地、水源保护地、文化遗产等</w:t>
            </w:r>
            <w:r>
              <w:rPr>
                <w:rFonts w:hint="eastAsia" w:ascii="宋体" w:hAnsi="宋体" w:eastAsia="宋体" w:cs="宋体"/>
                <w:b w:val="0"/>
                <w:bCs w:val="0"/>
                <w:color w:val="000000" w:themeColor="text1"/>
                <w:sz w:val="24"/>
                <w:lang w:val="en-US" w:eastAsia="zh-CN"/>
                <w14:textFill>
                  <w14:solidFill>
                    <w14:schemeClr w14:val="tx1"/>
                  </w14:solidFill>
                </w14:textFill>
              </w:rPr>
              <w:t>环境敏感区</w:t>
            </w:r>
            <w:r>
              <w:rPr>
                <w:rFonts w:hint="eastAsia"/>
                <w:color w:val="000000" w:themeColor="text1"/>
                <w:sz w:val="24"/>
                <w:lang w:val="en-US" w:eastAsia="zh-CN"/>
                <w14:textFill>
                  <w14:solidFill>
                    <w14:schemeClr w14:val="tx1"/>
                  </w14:solidFill>
                </w14:textFill>
              </w:rPr>
              <w:t>，</w:t>
            </w:r>
            <w:r>
              <w:rPr>
                <w:rFonts w:hint="eastAsia" w:ascii="宋体" w:hAnsi="宋体" w:cs="宋体"/>
                <w:color w:val="000000" w:themeColor="text1"/>
                <w:sz w:val="24"/>
                <w:szCs w:val="24"/>
                <w:lang w:val="en-US" w:eastAsia="zh-CN"/>
                <w14:textFill>
                  <w14:solidFill>
                    <w14:schemeClr w14:val="tx1"/>
                  </w14:solidFill>
                </w14:textFill>
              </w:rPr>
              <w:t>建议调整的钻孔、临时道路修建等工程对上述环境敏感区进行避让；</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因本项目2023-2026年钻孔位置尚未确定，为贯彻落实国家、地方生态保护的各项规定，最大限度减小项目生态环境的影响，2023-2026年拟设钻孔选址应对上述敏感区及生态红线进行避让，钻孔位置明确后在施工前及时向审批部门及属地监管部门进行报备。</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w:t>
            </w:r>
            <w:r>
              <w:rPr>
                <w:rFonts w:hint="eastAsia"/>
                <w:color w:val="000000" w:themeColor="text1"/>
                <w:kern w:val="2"/>
                <w:sz w:val="24"/>
                <w:szCs w:val="24"/>
                <w:lang w:eastAsia="zh-CN" w:bidi="ar-SA"/>
                <w14:textFill>
                  <w14:solidFill>
                    <w14:schemeClr w14:val="tx1"/>
                  </w14:solidFill>
                </w14:textFill>
              </w:rPr>
              <w:t>拟设钻孔、临时道路修建等还应对勘查区内基本农田保护区、城乡规划区等保护目标进行避让，建议钻孔与周边村庄集中居住区距离不小于250m；</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③对</w:t>
            </w:r>
            <w:r>
              <w:rPr>
                <w:rFonts w:hint="eastAsia"/>
                <w:color w:val="000000" w:themeColor="text1"/>
                <w:sz w:val="24"/>
                <w:lang w:val="en-US" w:eastAsia="zh-CN"/>
                <w14:textFill>
                  <w14:solidFill>
                    <w14:schemeClr w14:val="tx1"/>
                  </w14:solidFill>
                </w14:textFill>
              </w:rPr>
              <w:t>青海省、甘肃省及</w:t>
            </w:r>
            <w:r>
              <w:rPr>
                <w:rFonts w:hint="eastAsia"/>
                <w:bCs/>
                <w:color w:val="000000" w:themeColor="text1"/>
                <w:sz w:val="24"/>
                <w14:textFill>
                  <w14:solidFill>
                    <w14:schemeClr w14:val="tx1"/>
                  </w14:solidFill>
                </w14:textFill>
              </w:rPr>
              <w:t>新疆维吾尔自治区</w:t>
            </w:r>
            <w:r>
              <w:rPr>
                <w:rFonts w:hint="eastAsia"/>
                <w:color w:val="000000" w:themeColor="text1"/>
                <w:sz w:val="24"/>
                <w14:textFill>
                  <w14:solidFill>
                    <w14:schemeClr w14:val="tx1"/>
                  </w14:solidFill>
                </w14:textFill>
              </w:rPr>
              <w:t>矿产资源总体规划中限制勘查区尽量避让</w:t>
            </w:r>
            <w:r>
              <w:rPr>
                <w:rFonts w:hint="eastAsia"/>
                <w:color w:val="000000" w:themeColor="text1"/>
                <w:sz w:val="24"/>
                <w:lang w:eastAsia="zh-CN"/>
                <w14:textFill>
                  <w14:solidFill>
                    <w14:schemeClr w14:val="tx1"/>
                  </w14:solidFill>
                </w14:textFill>
              </w:rPr>
              <w:t>。</w:t>
            </w:r>
          </w:p>
          <w:p>
            <w:p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3、本项目情况</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3</w:t>
            </w:r>
            <w:r>
              <w:rPr>
                <w:rFonts w:hint="eastAsia"/>
                <w:b/>
                <w:bCs/>
                <w:color w:val="000000" w:themeColor="text1"/>
                <w:sz w:val="24"/>
                <w14:textFill>
                  <w14:solidFill>
                    <w14:schemeClr w14:val="tx1"/>
                  </w14:solidFill>
                </w14:textFill>
              </w:rPr>
              <w:t>.1项目基本情况</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项目名称：</w:t>
            </w:r>
            <w:r>
              <w:rPr>
                <w:rFonts w:hint="eastAsia"/>
                <w:color w:val="000000" w:themeColor="text1"/>
                <w:sz w:val="24"/>
                <w:lang w:val="en-GB"/>
                <w14:textFill>
                  <w14:solidFill>
                    <w14:schemeClr w14:val="tx1"/>
                  </w14:solidFill>
                </w14:textFill>
              </w:rPr>
              <w:t>柴达木盆地阿拉尔—苏干湖地区铀矿资源调查评价与勘查</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工作性质：区域评价</w:t>
            </w:r>
            <w:r>
              <w:rPr>
                <w:rFonts w:hint="eastAsia"/>
                <w:color w:val="000000" w:themeColor="text1"/>
                <w:sz w:val="24"/>
                <w:lang w:val="en-US" w:eastAsia="zh-CN"/>
                <w14:textFill>
                  <w14:solidFill>
                    <w14:schemeClr w14:val="tx1"/>
                  </w14:solidFill>
                </w14:textFill>
              </w:rPr>
              <w:t>—普查</w:t>
            </w:r>
          </w:p>
          <w:p>
            <w:pPr>
              <w:spacing w:line="360" w:lineRule="auto"/>
              <w:ind w:firstLine="480" w:firstLineChars="200"/>
              <w:rPr>
                <w:rFonts w:hint="eastAsia"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工作年限：2</w:t>
            </w:r>
            <w:r>
              <w:rPr>
                <w:color w:val="000000" w:themeColor="text1"/>
                <w:sz w:val="24"/>
                <w14:textFill>
                  <w14:solidFill>
                    <w14:schemeClr w14:val="tx1"/>
                  </w14:solidFill>
                </w14:textFill>
              </w:rPr>
              <w:t>02</w:t>
            </w:r>
            <w:r>
              <w:rPr>
                <w:rFonts w:hint="eastAsia"/>
                <w:color w:val="000000" w:themeColor="text1"/>
                <w:sz w:val="24"/>
                <w14:textFill>
                  <w14:solidFill>
                    <w14:schemeClr w14:val="tx1"/>
                  </w14:solidFill>
                </w14:textFill>
              </w:rPr>
              <w:t>2</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2026</w:t>
            </w:r>
            <w:r>
              <w:rPr>
                <w:rFonts w:hint="eastAsia"/>
                <w:color w:val="000000" w:themeColor="text1"/>
                <w:sz w:val="24"/>
                <w:lang w:val="en-US" w:eastAsia="zh-CN"/>
                <w14:textFill>
                  <w14:solidFill>
                    <w14:schemeClr w14:val="tx1"/>
                  </w14:solidFill>
                </w14:textFill>
              </w:rPr>
              <w:t>年</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3</w:t>
            </w:r>
            <w:r>
              <w:rPr>
                <w:rFonts w:hint="eastAsia"/>
                <w:b/>
                <w:bCs/>
                <w:color w:val="000000" w:themeColor="text1"/>
                <w:sz w:val="24"/>
                <w14:textFill>
                  <w14:solidFill>
                    <w14:schemeClr w14:val="tx1"/>
                  </w14:solidFill>
                </w14:textFill>
              </w:rPr>
              <w:t>.2</w:t>
            </w:r>
            <w:r>
              <w:rPr>
                <w:rFonts w:hint="eastAsia"/>
                <w:b/>
                <w:bCs/>
                <w:color w:val="000000" w:themeColor="text1"/>
                <w:sz w:val="24"/>
                <w:lang w:val="en-US" w:eastAsia="zh-CN"/>
                <w14:textFill>
                  <w14:solidFill>
                    <w14:schemeClr w14:val="tx1"/>
                  </w14:solidFill>
                </w14:textFill>
              </w:rPr>
              <w:t>勘查</w:t>
            </w:r>
            <w:r>
              <w:rPr>
                <w:rFonts w:hint="eastAsia"/>
                <w:b/>
                <w:bCs/>
                <w:color w:val="000000" w:themeColor="text1"/>
                <w:sz w:val="24"/>
                <w14:textFill>
                  <w14:solidFill>
                    <w14:schemeClr w14:val="tx1"/>
                  </w14:solidFill>
                </w14:textFill>
              </w:rPr>
              <w:t>区范围</w:t>
            </w:r>
          </w:p>
          <w:p>
            <w:pPr>
              <w:adjustRightInd w:val="0"/>
              <w:spacing w:line="360" w:lineRule="auto"/>
              <w:ind w:firstLine="480" w:firstLineChars="200"/>
              <w:rPr>
                <w:bCs/>
                <w:color w:val="000000" w:themeColor="text1"/>
                <w:sz w:val="24"/>
                <w:szCs w:val="20"/>
                <w14:textFill>
                  <w14:solidFill>
                    <w14:schemeClr w14:val="tx1"/>
                  </w14:solidFill>
                </w14:textFill>
              </w:rPr>
            </w:pPr>
            <w:bookmarkStart w:id="2" w:name="_Hlk96353093"/>
            <w:r>
              <w:rPr>
                <w:rFonts w:hint="eastAsia"/>
                <w:bCs/>
                <w:color w:val="000000" w:themeColor="text1"/>
                <w:sz w:val="24"/>
                <w:szCs w:val="20"/>
                <w:lang w:val="en-US" w:eastAsia="zh-CN"/>
                <w14:textFill>
                  <w14:solidFill>
                    <w14:schemeClr w14:val="tx1"/>
                  </w14:solidFill>
                </w14:textFill>
              </w:rPr>
              <w:t>勘查</w:t>
            </w:r>
            <w:r>
              <w:rPr>
                <w:rFonts w:hint="eastAsia"/>
                <w:bCs/>
                <w:color w:val="000000" w:themeColor="text1"/>
                <w:sz w:val="24"/>
                <w:szCs w:val="20"/>
                <w14:textFill>
                  <w14:solidFill>
                    <w14:schemeClr w14:val="tx1"/>
                  </w14:solidFill>
                </w14:textFill>
              </w:rPr>
              <w:t>区位于柴达木盆地，其行政区划隶属于</w:t>
            </w:r>
            <w:r>
              <w:rPr>
                <w:rFonts w:hint="eastAsia"/>
                <w:bCs/>
                <w:color w:val="000000" w:themeColor="text1"/>
                <w:sz w:val="24"/>
                <w:szCs w:val="20"/>
                <w:lang w:val="en-US" w:eastAsia="zh-CN"/>
                <w14:textFill>
                  <w14:solidFill>
                    <w14:schemeClr w14:val="tx1"/>
                  </w14:solidFill>
                </w14:textFill>
              </w:rPr>
              <w:t>青海省</w:t>
            </w:r>
            <w:r>
              <w:rPr>
                <w:rFonts w:hint="eastAsia"/>
                <w:bCs/>
                <w:color w:val="000000" w:themeColor="text1"/>
                <w:sz w:val="24"/>
                <w:szCs w:val="20"/>
                <w14:textFill>
                  <w14:solidFill>
                    <w14:schemeClr w14:val="tx1"/>
                  </w14:solidFill>
                </w14:textFill>
              </w:rPr>
              <w:t>海西蒙古族藏族自治州（包括：德令哈市、格尔木市、茫崖市、乌兰县、都兰县、</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"https://baike.baidu.com/item/%E5%A4%A7%E6%9F%B4%E6%97%A6%E8%A1%8C%E6%94%BF%E5%8C%BA/7878519" \t "https://baike.baidu.com/item/_blank" </w:instrText>
            </w:r>
            <w:r>
              <w:rPr>
                <w:color w:val="000000" w:themeColor="text1"/>
                <w14:textFill>
                  <w14:solidFill>
                    <w14:schemeClr w14:val="tx1"/>
                  </w14:solidFill>
                </w14:textFill>
              </w:rPr>
              <w:fldChar w:fldCharType="separate"/>
            </w:r>
            <w:r>
              <w:rPr>
                <w:rFonts w:hint="eastAsia"/>
                <w:bCs/>
                <w:color w:val="000000" w:themeColor="text1"/>
                <w:sz w:val="24"/>
                <w:szCs w:val="20"/>
                <w14:textFill>
                  <w14:solidFill>
                    <w14:schemeClr w14:val="tx1"/>
                  </w14:solidFill>
                </w14:textFill>
              </w:rPr>
              <w:t>大柴旦行政区</w:t>
            </w:r>
            <w:r>
              <w:rPr>
                <w:rFonts w:hint="eastAsia"/>
                <w:bCs/>
                <w:color w:val="000000" w:themeColor="text1"/>
                <w:sz w:val="24"/>
                <w:szCs w:val="20"/>
                <w14:textFill>
                  <w14:solidFill>
                    <w14:schemeClr w14:val="tx1"/>
                  </w14:solidFill>
                </w14:textFill>
              </w:rPr>
              <w:fldChar w:fldCharType="end"/>
            </w:r>
            <w:r>
              <w:rPr>
                <w:rFonts w:hint="eastAsia"/>
                <w:bCs/>
                <w:color w:val="000000" w:themeColor="text1"/>
                <w:sz w:val="24"/>
                <w:szCs w:val="20"/>
                <w14:textFill>
                  <w14:solidFill>
                    <w14:schemeClr w14:val="tx1"/>
                  </w14:solidFill>
                </w14:textFill>
              </w:rPr>
              <w:t>）、新疆维吾尔自治区若羌县管辖和</w:t>
            </w:r>
            <w:r>
              <w:rPr>
                <w:rFonts w:hint="eastAsia"/>
                <w:bCs/>
                <w:color w:val="000000" w:themeColor="text1"/>
                <w:sz w:val="24"/>
                <w:szCs w:val="20"/>
                <w:lang w:eastAsia="zh-CN"/>
                <w14:textFill>
                  <w14:solidFill>
                    <w14:schemeClr w14:val="tx1"/>
                  </w14:solidFill>
                </w14:textFill>
              </w:rPr>
              <w:t>甘肃省酒泉市阿克塞哈萨克族自治县</w:t>
            </w:r>
            <w:r>
              <w:rPr>
                <w:rFonts w:hint="eastAsia"/>
                <w:bCs/>
                <w:color w:val="000000" w:themeColor="text1"/>
                <w:sz w:val="24"/>
                <w:szCs w:val="20"/>
                <w14:textFill>
                  <w14:solidFill>
                    <w14:schemeClr w14:val="tx1"/>
                  </w14:solidFill>
                </w14:textFill>
              </w:rPr>
              <w:t>管辖。</w:t>
            </w:r>
            <w:r>
              <w:rPr>
                <w:rFonts w:hint="eastAsia"/>
                <w:bCs/>
                <w:color w:val="000000" w:themeColor="text1"/>
                <w:sz w:val="24"/>
                <w:szCs w:val="20"/>
                <w:lang w:val="en-US" w:eastAsia="zh-CN"/>
                <w14:textFill>
                  <w14:solidFill>
                    <w14:schemeClr w14:val="tx1"/>
                  </w14:solidFill>
                </w14:textFill>
              </w:rPr>
              <w:t>勘查区</w:t>
            </w:r>
            <w:r>
              <w:rPr>
                <w:rFonts w:hint="eastAsia"/>
                <w:bCs/>
                <w:color w:val="000000" w:themeColor="text1"/>
                <w:sz w:val="24"/>
                <w:szCs w:val="20"/>
                <w14:textFill>
                  <w14:solidFill>
                    <w14:schemeClr w14:val="tx1"/>
                  </w14:solidFill>
                </w14:textFill>
              </w:rPr>
              <w:t>拐点坐标见表1-</w:t>
            </w:r>
            <w:r>
              <w:rPr>
                <w:rFonts w:hint="eastAsia"/>
                <w:bCs/>
                <w:color w:val="000000" w:themeColor="text1"/>
                <w:sz w:val="24"/>
                <w:szCs w:val="20"/>
                <w:lang w:val="en-US" w:eastAsia="zh-CN"/>
                <w14:textFill>
                  <w14:solidFill>
                    <w14:schemeClr w14:val="tx1"/>
                  </w14:solidFill>
                </w14:textFill>
              </w:rPr>
              <w:t>11，</w:t>
            </w:r>
            <w:r>
              <w:rPr>
                <w:rFonts w:hint="eastAsia" w:cs="Times New Roman"/>
                <w:bCs/>
                <w:color w:val="000000" w:themeColor="text1"/>
                <w:sz w:val="24"/>
                <w:szCs w:val="20"/>
                <w:lang w:val="en-US" w:eastAsia="zh-CN"/>
                <w14:textFill>
                  <w14:solidFill>
                    <w14:schemeClr w14:val="tx1"/>
                  </w14:solidFill>
                </w14:textFill>
              </w:rPr>
              <w:t>勘查区地理位置图见附图6</w:t>
            </w:r>
            <w:r>
              <w:rPr>
                <w:rFonts w:hint="eastAsia"/>
                <w:bCs/>
                <w:color w:val="000000" w:themeColor="text1"/>
                <w:sz w:val="24"/>
                <w:szCs w:val="20"/>
                <w14:textFill>
                  <w14:solidFill>
                    <w14:schemeClr w14:val="tx1"/>
                  </w14:solidFill>
                </w14:textFill>
              </w:rPr>
              <w:t>。</w:t>
            </w:r>
          </w:p>
          <w:p>
            <w:pPr>
              <w:adjustRightInd w:val="0"/>
              <w:jc w:val="center"/>
              <w:rPr>
                <w:bCs/>
                <w:color w:val="000000" w:themeColor="text1"/>
                <w:sz w:val="24"/>
                <w:szCs w:val="20"/>
                <w14:textFill>
                  <w14:solidFill>
                    <w14:schemeClr w14:val="tx1"/>
                  </w14:solidFill>
                </w14:textFill>
              </w:rPr>
            </w:pPr>
            <w:r>
              <w:rPr>
                <w:rFonts w:hint="eastAsia"/>
                <w:bCs/>
                <w:color w:val="000000" w:themeColor="text1"/>
                <w:sz w:val="24"/>
                <w:szCs w:val="20"/>
                <w14:textFill>
                  <w14:solidFill>
                    <w14:schemeClr w14:val="tx1"/>
                  </w14:solidFill>
                </w14:textFill>
              </w:rPr>
              <w:t>表1-</w:t>
            </w:r>
            <w:r>
              <w:rPr>
                <w:rFonts w:hint="eastAsia"/>
                <w:bCs/>
                <w:color w:val="000000" w:themeColor="text1"/>
                <w:sz w:val="24"/>
                <w:szCs w:val="20"/>
                <w:lang w:val="en-US" w:eastAsia="zh-CN"/>
                <w14:textFill>
                  <w14:solidFill>
                    <w14:schemeClr w14:val="tx1"/>
                  </w14:solidFill>
                </w14:textFill>
              </w:rPr>
              <w:t>11</w:t>
            </w:r>
            <w:r>
              <w:rPr>
                <w:rFonts w:hint="eastAsia"/>
                <w:bCs/>
                <w:color w:val="000000" w:themeColor="text1"/>
                <w:sz w:val="24"/>
                <w:szCs w:val="20"/>
                <w14:textFill>
                  <w14:solidFill>
                    <w14:schemeClr w14:val="tx1"/>
                  </w14:solidFill>
                </w14:textFill>
              </w:rPr>
              <w:t xml:space="preserve">  </w:t>
            </w:r>
            <w:r>
              <w:rPr>
                <w:rFonts w:hint="eastAsia"/>
                <w:bCs/>
                <w:color w:val="000000" w:themeColor="text1"/>
                <w:sz w:val="24"/>
                <w:szCs w:val="20"/>
                <w:lang w:eastAsia="zh-CN"/>
                <w14:textFill>
                  <w14:solidFill>
                    <w14:schemeClr w14:val="tx1"/>
                  </w14:solidFill>
                </w14:textFill>
              </w:rPr>
              <w:t>勘查区</w:t>
            </w:r>
            <w:r>
              <w:rPr>
                <w:rFonts w:hint="eastAsia"/>
                <w:bCs/>
                <w:color w:val="000000" w:themeColor="text1"/>
                <w:sz w:val="24"/>
                <w:szCs w:val="20"/>
                <w14:textFill>
                  <w14:solidFill>
                    <w14:schemeClr w14:val="tx1"/>
                  </w14:solidFill>
                </w14:textFill>
              </w:rPr>
              <w:t>范围拐点坐标一览表</w:t>
            </w:r>
          </w:p>
          <w:tbl>
            <w:tblPr>
              <w:tblStyle w:val="12"/>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2681"/>
              <w:gridCol w:w="2681"/>
              <w:gridCol w:w="268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序号</w:t>
                  </w:r>
                </w:p>
              </w:tc>
              <w:tc>
                <w:tcPr>
                  <w:tcW w:w="1380" w:type="pct"/>
                  <w:tcBorders>
                    <w:tl2br w:val="nil"/>
                    <w:tr2bl w:val="nil"/>
                  </w:tcBorders>
                  <w:vAlign w:val="center"/>
                </w:tcPr>
                <w:p>
                  <w:pPr>
                    <w:pStyle w:val="18"/>
                    <w:kinsoku w:val="0"/>
                    <w:overflowPunct w:val="0"/>
                    <w:snapToGrid w:val="0"/>
                    <w:spacing w:line="240" w:lineRule="atLeast"/>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东经</w:t>
                  </w:r>
                </w:p>
              </w:tc>
              <w:tc>
                <w:tcPr>
                  <w:tcW w:w="1380" w:type="pct"/>
                  <w:tcBorders>
                    <w:tl2br w:val="nil"/>
                    <w:tr2bl w:val="nil"/>
                  </w:tcBorders>
                  <w:vAlign w:val="center"/>
                </w:tcPr>
                <w:p>
                  <w:pPr>
                    <w:pStyle w:val="18"/>
                    <w:kinsoku w:val="0"/>
                    <w:overflowPunct w:val="0"/>
                    <w:snapToGrid w:val="0"/>
                    <w:spacing w:line="240" w:lineRule="atLeast"/>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北纬</w:t>
                  </w:r>
                </w:p>
              </w:tc>
              <w:tc>
                <w:tcPr>
                  <w:tcW w:w="1381" w:type="pct"/>
                  <w:tcBorders>
                    <w:tl2br w:val="nil"/>
                    <w:tr2bl w:val="nil"/>
                  </w:tcBorders>
                  <w:vAlign w:val="center"/>
                </w:tcPr>
                <w:p>
                  <w:pPr>
                    <w:pStyle w:val="18"/>
                    <w:kinsoku w:val="0"/>
                    <w:overflowPunct w:val="0"/>
                    <w:snapToGrid w:val="0"/>
                    <w:spacing w:line="240" w:lineRule="atLeast"/>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主要行政区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38°23</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10.186</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90°04</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47.540</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1" w:type="pct"/>
                  <w:vMerge w:val="restart"/>
                  <w:tcBorders>
                    <w:tl2br w:val="nil"/>
                    <w:tr2bl w:val="nil"/>
                  </w:tcBorders>
                  <w:vAlign w:val="center"/>
                </w:tcPr>
                <w:p>
                  <w:pPr>
                    <w:widowControl/>
                    <w:jc w:val="center"/>
                    <w:textAlignment w:val="center"/>
                    <w:rPr>
                      <w:rStyle w:val="28"/>
                      <w:rFonts w:hint="eastAsia" w:eastAsia="宋体"/>
                      <w:color w:val="000000" w:themeColor="text1"/>
                      <w:sz w:val="21"/>
                      <w:szCs w:val="21"/>
                      <w:lang w:eastAsia="zh-CN" w:bidi="ar"/>
                      <w14:textFill>
                        <w14:solidFill>
                          <w14:schemeClr w14:val="tx1"/>
                        </w14:solidFill>
                      </w14:textFill>
                    </w:rPr>
                  </w:pPr>
                  <w:r>
                    <w:rPr>
                      <w:rStyle w:val="28"/>
                      <w:rFonts w:hint="eastAsia"/>
                      <w:color w:val="000000" w:themeColor="text1"/>
                      <w:sz w:val="21"/>
                      <w:szCs w:val="21"/>
                      <w:lang w:val="en-US" w:eastAsia="zh-CN" w:bidi="ar"/>
                      <w14:textFill>
                        <w14:solidFill>
                          <w14:schemeClr w14:val="tx1"/>
                        </w14:solidFill>
                      </w14:textFill>
                    </w:rPr>
                    <w:t>青海省</w:t>
                  </w:r>
                  <w:r>
                    <w:rPr>
                      <w:rStyle w:val="28"/>
                      <w:color w:val="000000" w:themeColor="text1"/>
                      <w:sz w:val="21"/>
                      <w:szCs w:val="21"/>
                      <w:lang w:bidi="ar"/>
                      <w14:textFill>
                        <w14:solidFill>
                          <w14:schemeClr w14:val="tx1"/>
                        </w14:solidFill>
                      </w14:textFill>
                    </w:rPr>
                    <w:t>海西蒙古族藏族自治州、新疆维吾尔自治区若羌县管辖和</w:t>
                  </w:r>
                  <w:r>
                    <w:rPr>
                      <w:rStyle w:val="28"/>
                      <w:rFonts w:hint="eastAsia"/>
                      <w:color w:val="000000" w:themeColor="text1"/>
                      <w:sz w:val="21"/>
                      <w:szCs w:val="21"/>
                      <w:lang w:eastAsia="zh-CN" w:bidi="ar"/>
                      <w14:textFill>
                        <w14:solidFill>
                          <w14:schemeClr w14:val="tx1"/>
                        </w14:solidFill>
                      </w14:textFill>
                    </w:rPr>
                    <w:t>甘肃省酒泉市阿克塞哈萨克族自治县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39°19</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04.138</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94°10</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24.333</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1" w:type="pct"/>
                  <w:vMerge w:val="continue"/>
                  <w:tcBorders>
                    <w:tl2br w:val="nil"/>
                    <w:tr2bl w:val="nil"/>
                  </w:tcBorders>
                  <w:vAlign w:val="center"/>
                </w:tcPr>
                <w:p>
                  <w:pPr>
                    <w:widowControl/>
                    <w:jc w:val="center"/>
                    <w:textAlignment w:val="center"/>
                    <w:rPr>
                      <w:rStyle w:val="28"/>
                      <w:color w:val="000000" w:themeColor="text1"/>
                      <w:sz w:val="21"/>
                      <w:szCs w:val="21"/>
                      <w:lang w:bidi="ar"/>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38°55</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22.450</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95°29</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17.318</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1" w:type="pct"/>
                  <w:vMerge w:val="continue"/>
                  <w:tcBorders>
                    <w:tl2br w:val="nil"/>
                    <w:tr2bl w:val="nil"/>
                  </w:tcBorders>
                  <w:vAlign w:val="center"/>
                </w:tcPr>
                <w:p>
                  <w:pPr>
                    <w:widowControl/>
                    <w:jc w:val="center"/>
                    <w:textAlignment w:val="center"/>
                    <w:rPr>
                      <w:rStyle w:val="28"/>
                      <w:color w:val="000000" w:themeColor="text1"/>
                      <w:sz w:val="21"/>
                      <w:szCs w:val="21"/>
                      <w:lang w:bidi="ar"/>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37°57</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08.951</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95°27</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55.378</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1" w:type="pct"/>
                  <w:vMerge w:val="continue"/>
                  <w:tcBorders>
                    <w:tl2br w:val="nil"/>
                    <w:tr2bl w:val="nil"/>
                  </w:tcBorders>
                  <w:vAlign w:val="center"/>
                </w:tcPr>
                <w:p>
                  <w:pPr>
                    <w:widowControl/>
                    <w:jc w:val="center"/>
                    <w:textAlignment w:val="center"/>
                    <w:rPr>
                      <w:rStyle w:val="28"/>
                      <w:color w:val="000000" w:themeColor="text1"/>
                      <w:sz w:val="21"/>
                      <w:szCs w:val="21"/>
                      <w:lang w:bidi="ar"/>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37°26</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58.340</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97°57</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34.423</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1" w:type="pct"/>
                  <w:vMerge w:val="continue"/>
                  <w:tcBorders>
                    <w:tl2br w:val="nil"/>
                    <w:tr2bl w:val="nil"/>
                  </w:tcBorders>
                  <w:vAlign w:val="center"/>
                </w:tcPr>
                <w:p>
                  <w:pPr>
                    <w:widowControl/>
                    <w:jc w:val="center"/>
                    <w:textAlignment w:val="center"/>
                    <w:rPr>
                      <w:rStyle w:val="28"/>
                      <w:color w:val="000000" w:themeColor="text1"/>
                      <w:sz w:val="21"/>
                      <w:szCs w:val="21"/>
                      <w:lang w:bidi="ar"/>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36°11</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31.734</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97°53</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37.397</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1" w:type="pct"/>
                  <w:vMerge w:val="continue"/>
                  <w:tcBorders>
                    <w:tl2br w:val="nil"/>
                    <w:tr2bl w:val="nil"/>
                  </w:tcBorders>
                  <w:vAlign w:val="center"/>
                </w:tcPr>
                <w:p>
                  <w:pPr>
                    <w:widowControl/>
                    <w:jc w:val="center"/>
                    <w:textAlignment w:val="center"/>
                    <w:rPr>
                      <w:rStyle w:val="28"/>
                      <w:color w:val="000000" w:themeColor="text1"/>
                      <w:sz w:val="21"/>
                      <w:szCs w:val="21"/>
                      <w:lang w:bidi="ar"/>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7</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36°19</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36.167</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94°11</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13.481</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1" w:type="pct"/>
                  <w:vMerge w:val="continue"/>
                  <w:tcBorders>
                    <w:tl2br w:val="nil"/>
                    <w:tr2bl w:val="nil"/>
                  </w:tcBorders>
                  <w:vAlign w:val="center"/>
                </w:tcPr>
                <w:p>
                  <w:pPr>
                    <w:widowControl/>
                    <w:jc w:val="center"/>
                    <w:textAlignment w:val="center"/>
                    <w:rPr>
                      <w:rStyle w:val="28"/>
                      <w:color w:val="000000" w:themeColor="text1"/>
                      <w:sz w:val="21"/>
                      <w:szCs w:val="21"/>
                      <w:lang w:bidi="ar"/>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37°26</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51.093</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91°53</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39.568</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1" w:type="pct"/>
                  <w:vMerge w:val="continue"/>
                  <w:tcBorders>
                    <w:tl2br w:val="nil"/>
                    <w:tr2bl w:val="nil"/>
                  </w:tcBorders>
                  <w:vAlign w:val="center"/>
                </w:tcPr>
                <w:p>
                  <w:pPr>
                    <w:widowControl/>
                    <w:jc w:val="center"/>
                    <w:textAlignment w:val="center"/>
                    <w:rPr>
                      <w:rStyle w:val="28"/>
                      <w:color w:val="000000" w:themeColor="text1"/>
                      <w:sz w:val="21"/>
                      <w:szCs w:val="21"/>
                      <w:lang w:bidi="ar"/>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57" w:type="pct"/>
                  <w:tcBorders>
                    <w:tl2br w:val="nil"/>
                    <w:tr2bl w:val="nil"/>
                  </w:tcBorders>
                  <w:vAlign w:val="center"/>
                </w:tcPr>
                <w:p>
                  <w:pPr>
                    <w:pStyle w:val="18"/>
                    <w:kinsoku w:val="0"/>
                    <w:overflowPunct w:val="0"/>
                    <w:snapToGrid w:val="0"/>
                    <w:spacing w:line="240" w:lineRule="atLeas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38°00</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49.366</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0" w:type="pct"/>
                  <w:tcBorders>
                    <w:tl2br w:val="nil"/>
                    <w:tr2bl w:val="nil"/>
                  </w:tcBorders>
                  <w:vAlign w:val="center"/>
                </w:tcPr>
                <w:p>
                  <w:pPr>
                    <w:widowControl/>
                    <w:jc w:val="center"/>
                    <w:textAlignment w:val="center"/>
                    <w:rPr>
                      <w:color w:val="000000" w:themeColor="text1"/>
                      <w:sz w:val="21"/>
                      <w:szCs w:val="21"/>
                      <w14:textFill>
                        <w14:solidFill>
                          <w14:schemeClr w14:val="tx1"/>
                        </w14:solidFill>
                      </w14:textFill>
                    </w:rPr>
                  </w:pPr>
                  <w:r>
                    <w:rPr>
                      <w:rStyle w:val="28"/>
                      <w:color w:val="000000" w:themeColor="text1"/>
                      <w:sz w:val="21"/>
                      <w:szCs w:val="21"/>
                      <w:lang w:bidi="ar"/>
                      <w14:textFill>
                        <w14:solidFill>
                          <w14:schemeClr w14:val="tx1"/>
                        </w14:solidFill>
                      </w14:textFill>
                    </w:rPr>
                    <w:t>90°05</w:t>
                  </w:r>
                  <w:r>
                    <w:rPr>
                      <w:rStyle w:val="29"/>
                      <w:rFonts w:ascii="Times New Roman" w:eastAsia="宋体" w:cs="Times New Roman"/>
                      <w:color w:val="000000" w:themeColor="text1"/>
                      <w:sz w:val="21"/>
                      <w:szCs w:val="21"/>
                      <w:lang w:bidi="ar"/>
                      <w14:textFill>
                        <w14:solidFill>
                          <w14:schemeClr w14:val="tx1"/>
                        </w14:solidFill>
                      </w14:textFill>
                    </w:rPr>
                    <w:t>′</w:t>
                  </w:r>
                  <w:r>
                    <w:rPr>
                      <w:rStyle w:val="28"/>
                      <w:color w:val="000000" w:themeColor="text1"/>
                      <w:sz w:val="21"/>
                      <w:szCs w:val="21"/>
                      <w:lang w:bidi="ar"/>
                      <w14:textFill>
                        <w14:solidFill>
                          <w14:schemeClr w14:val="tx1"/>
                        </w14:solidFill>
                      </w14:textFill>
                    </w:rPr>
                    <w:t>57.750</w:t>
                  </w:r>
                  <w:r>
                    <w:rPr>
                      <w:rStyle w:val="29"/>
                      <w:rFonts w:ascii="Times New Roman" w:eastAsia="宋体" w:cs="Times New Roman"/>
                      <w:color w:val="000000" w:themeColor="text1"/>
                      <w:sz w:val="21"/>
                      <w:szCs w:val="21"/>
                      <w:lang w:bidi="ar"/>
                      <w14:textFill>
                        <w14:solidFill>
                          <w14:schemeClr w14:val="tx1"/>
                        </w14:solidFill>
                      </w14:textFill>
                    </w:rPr>
                    <w:t>″</w:t>
                  </w:r>
                </w:p>
              </w:tc>
              <w:tc>
                <w:tcPr>
                  <w:tcW w:w="1381" w:type="pct"/>
                  <w:vMerge w:val="continue"/>
                  <w:tcBorders>
                    <w:tl2br w:val="nil"/>
                    <w:tr2bl w:val="nil"/>
                  </w:tcBorders>
                  <w:vAlign w:val="center"/>
                </w:tcPr>
                <w:p>
                  <w:pPr>
                    <w:widowControl/>
                    <w:jc w:val="center"/>
                    <w:textAlignment w:val="center"/>
                    <w:rPr>
                      <w:rStyle w:val="28"/>
                      <w:color w:val="000000" w:themeColor="text1"/>
                      <w:sz w:val="21"/>
                      <w:szCs w:val="21"/>
                      <w:lang w:bidi="ar"/>
                      <w14:textFill>
                        <w14:solidFill>
                          <w14:schemeClr w14:val="tx1"/>
                        </w14:solidFill>
                      </w14:textFill>
                    </w:rPr>
                  </w:pPr>
                </w:p>
              </w:tc>
            </w:tr>
          </w:tbl>
          <w:p>
            <w:p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4、主要工作内容</w:t>
            </w:r>
          </w:p>
          <w:p>
            <w:pPr>
              <w:adjustRightInd w:val="0"/>
              <w:spacing w:line="360" w:lineRule="auto"/>
              <w:ind w:firstLine="480" w:firstLineChars="200"/>
              <w:rPr>
                <w:rFonts w:hint="eastAsia" w:eastAsia="宋体"/>
                <w:bCs/>
                <w:color w:val="000000" w:themeColor="text1"/>
                <w:sz w:val="24"/>
                <w:szCs w:val="20"/>
                <w:lang w:val="en-US" w:eastAsia="zh-CN"/>
                <w14:textFill>
                  <w14:solidFill>
                    <w14:schemeClr w14:val="tx1"/>
                  </w14:solidFill>
                </w14:textFill>
              </w:rPr>
            </w:pPr>
            <w:r>
              <w:rPr>
                <w:rFonts w:hint="eastAsia"/>
                <w:bCs/>
                <w:color w:val="000000" w:themeColor="text1"/>
                <w:sz w:val="24"/>
                <w:szCs w:val="20"/>
                <w14:textFill>
                  <w14:solidFill>
                    <w14:schemeClr w14:val="tx1"/>
                  </w14:solidFill>
                </w14:textFill>
              </w:rPr>
              <w:t>2022年机械岩心钻探工作量为28000m，钻孔46个</w:t>
            </w:r>
            <w:r>
              <w:rPr>
                <w:rFonts w:hint="eastAsia"/>
                <w:bCs/>
                <w:color w:val="000000" w:themeColor="text1"/>
                <w:sz w:val="24"/>
                <w:szCs w:val="20"/>
                <w:lang w:eastAsia="zh-CN"/>
                <w14:textFill>
                  <w14:solidFill>
                    <w14:schemeClr w14:val="tx1"/>
                  </w14:solidFill>
                </w14:textFill>
              </w:rPr>
              <w:t>；</w:t>
            </w:r>
            <w:r>
              <w:rPr>
                <w:rFonts w:hint="eastAsia"/>
                <w:bCs/>
                <w:color w:val="000000" w:themeColor="text1"/>
                <w:sz w:val="24"/>
                <w:szCs w:val="20"/>
                <w:lang w:val="en-US" w:eastAsia="zh-CN"/>
                <w14:textFill>
                  <w14:solidFill>
                    <w14:schemeClr w14:val="tx1"/>
                  </w14:solidFill>
                </w14:textFill>
              </w:rPr>
              <w:t>2023-2026年预估</w:t>
            </w:r>
            <w:r>
              <w:rPr>
                <w:rFonts w:hint="eastAsia"/>
                <w:bCs/>
                <w:color w:val="000000" w:themeColor="text1"/>
                <w:sz w:val="24"/>
                <w:szCs w:val="20"/>
                <w14:textFill>
                  <w14:solidFill>
                    <w14:schemeClr w14:val="tx1"/>
                  </w14:solidFill>
                </w14:textFill>
              </w:rPr>
              <w:t>机械岩心钻探工作量为</w:t>
            </w:r>
            <w:r>
              <w:rPr>
                <w:rFonts w:hint="eastAsia"/>
                <w:bCs/>
                <w:color w:val="000000" w:themeColor="text1"/>
                <w:sz w:val="24"/>
                <w:szCs w:val="20"/>
                <w:lang w:val="en-US" w:eastAsia="zh-CN"/>
                <w14:textFill>
                  <w14:solidFill>
                    <w14:schemeClr w14:val="tx1"/>
                  </w14:solidFill>
                </w14:textFill>
              </w:rPr>
              <w:t>148</w:t>
            </w:r>
            <w:r>
              <w:rPr>
                <w:rFonts w:hint="eastAsia"/>
                <w:bCs/>
                <w:color w:val="000000" w:themeColor="text1"/>
                <w:sz w:val="24"/>
                <w:szCs w:val="20"/>
                <w14:textFill>
                  <w14:solidFill>
                    <w14:schemeClr w14:val="tx1"/>
                  </w14:solidFill>
                </w14:textFill>
              </w:rPr>
              <w:t>000m</w:t>
            </w:r>
            <w:r>
              <w:rPr>
                <w:rFonts w:hint="eastAsia"/>
                <w:bCs/>
                <w:color w:val="000000" w:themeColor="text1"/>
                <w:sz w:val="24"/>
                <w:szCs w:val="20"/>
                <w:lang w:eastAsia="zh-CN"/>
                <w14:textFill>
                  <w14:solidFill>
                    <w14:schemeClr w14:val="tx1"/>
                  </w14:solidFill>
                </w14:textFill>
              </w:rPr>
              <w:t>，</w:t>
            </w:r>
            <w:r>
              <w:rPr>
                <w:rFonts w:hint="eastAsia"/>
                <w:bCs/>
                <w:color w:val="000000" w:themeColor="text1"/>
                <w:sz w:val="24"/>
                <w:szCs w:val="20"/>
                <w14:textFill>
                  <w14:solidFill>
                    <w14:schemeClr w14:val="tx1"/>
                  </w14:solidFill>
                </w14:textFill>
              </w:rPr>
              <w:t>钻孔</w:t>
            </w:r>
            <w:r>
              <w:rPr>
                <w:rFonts w:hint="eastAsia"/>
                <w:bCs/>
                <w:color w:val="000000" w:themeColor="text1"/>
                <w:sz w:val="24"/>
                <w:szCs w:val="20"/>
                <w:lang w:val="en-US" w:eastAsia="zh-CN"/>
                <w14:textFill>
                  <w14:solidFill>
                    <w14:schemeClr w14:val="tx1"/>
                  </w14:solidFill>
                </w14:textFill>
              </w:rPr>
              <w:t>238</w:t>
            </w:r>
            <w:r>
              <w:rPr>
                <w:rFonts w:hint="eastAsia"/>
                <w:bCs/>
                <w:color w:val="000000" w:themeColor="text1"/>
                <w:sz w:val="24"/>
                <w:szCs w:val="20"/>
                <w14:textFill>
                  <w14:solidFill>
                    <w14:schemeClr w14:val="tx1"/>
                  </w14:solidFill>
                </w14:textFill>
              </w:rPr>
              <w:t>个</w:t>
            </w:r>
            <w:r>
              <w:rPr>
                <w:rFonts w:hint="eastAsia"/>
                <w:bCs/>
                <w:color w:val="000000" w:themeColor="text1"/>
                <w:sz w:val="24"/>
                <w:szCs w:val="20"/>
                <w:lang w:eastAsia="zh-CN"/>
                <w14:textFill>
                  <w14:solidFill>
                    <w14:schemeClr w14:val="tx1"/>
                  </w14:solidFill>
                </w14:textFill>
              </w:rPr>
              <w:t>。</w:t>
            </w:r>
          </w:p>
          <w:p>
            <w:p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5</w:t>
            </w:r>
            <w:r>
              <w:rPr>
                <w:rFonts w:hint="eastAsia" w:eastAsia="黑体"/>
                <w:color w:val="000000" w:themeColor="text1"/>
                <w:sz w:val="24"/>
                <w14:textFill>
                  <w14:solidFill>
                    <w14:schemeClr w14:val="tx1"/>
                  </w14:solidFill>
                </w14:textFill>
              </w:rPr>
              <w:t>、</w:t>
            </w:r>
            <w:r>
              <w:rPr>
                <w:rFonts w:hint="eastAsia" w:eastAsia="黑体"/>
                <w:color w:val="000000" w:themeColor="text1"/>
                <w:sz w:val="24"/>
                <w:lang w:val="en-US" w:eastAsia="zh-CN"/>
                <w14:textFill>
                  <w14:solidFill>
                    <w14:schemeClr w14:val="tx1"/>
                  </w14:solidFill>
                </w14:textFill>
              </w:rPr>
              <w:t>钻探布置</w:t>
            </w:r>
          </w:p>
          <w:p>
            <w:pPr>
              <w:adjustRightInd w:val="0"/>
              <w:spacing w:line="360" w:lineRule="auto"/>
              <w:ind w:firstLine="480" w:firstLineChars="200"/>
              <w:rPr>
                <w:rFonts w:hint="default"/>
                <w:bCs/>
                <w:color w:val="000000" w:themeColor="text1"/>
                <w:sz w:val="24"/>
                <w:szCs w:val="20"/>
                <w:lang w:val="en-US" w:eastAsia="zh-CN"/>
                <w14:textFill>
                  <w14:solidFill>
                    <w14:schemeClr w14:val="tx1"/>
                  </w14:solidFill>
                </w14:textFill>
              </w:rPr>
            </w:pPr>
            <w:r>
              <w:rPr>
                <w:rFonts w:hint="eastAsia"/>
                <w:bCs/>
                <w:color w:val="000000" w:themeColor="text1"/>
                <w:sz w:val="24"/>
                <w:szCs w:val="20"/>
                <w:lang w:val="en-US" w:eastAsia="zh-CN"/>
                <w14:textFill>
                  <w14:solidFill>
                    <w14:schemeClr w14:val="tx1"/>
                  </w14:solidFill>
                </w14:textFill>
              </w:rPr>
              <w:t>（1）工作部署</w:t>
            </w:r>
          </w:p>
          <w:p>
            <w:pPr>
              <w:adjustRightInd w:val="0"/>
              <w:spacing w:line="360" w:lineRule="auto"/>
              <w:ind w:firstLine="480" w:firstLineChars="200"/>
              <w:rPr>
                <w:bCs/>
                <w:color w:val="000000" w:themeColor="text1"/>
                <w:sz w:val="24"/>
                <w:szCs w:val="20"/>
                <w14:textFill>
                  <w14:solidFill>
                    <w14:schemeClr w14:val="tx1"/>
                  </w14:solidFill>
                </w14:textFill>
              </w:rPr>
            </w:pPr>
            <w:r>
              <w:rPr>
                <w:rFonts w:hint="eastAsia"/>
                <w:bCs/>
                <w:color w:val="000000" w:themeColor="text1"/>
                <w:sz w:val="24"/>
                <w:szCs w:val="20"/>
                <w:lang w:val="en-US" w:eastAsia="zh-CN"/>
                <w14:textFill>
                  <w14:solidFill>
                    <w14:schemeClr w14:val="tx1"/>
                  </w14:solidFill>
                </w14:textFill>
              </w:rPr>
              <w:t>2022年在勘查区内拟布设钻孔46个，</w:t>
            </w:r>
            <w:r>
              <w:rPr>
                <w:rFonts w:hint="eastAsia"/>
                <w:bCs/>
                <w:color w:val="000000" w:themeColor="text1"/>
                <w:sz w:val="24"/>
                <w:szCs w:val="20"/>
                <w14:textFill>
                  <w14:solidFill>
                    <w14:schemeClr w14:val="tx1"/>
                  </w14:solidFill>
                </w14:textFill>
              </w:rPr>
              <w:t>机械岩心钻探工作量为28000m</w:t>
            </w:r>
            <w:r>
              <w:rPr>
                <w:rFonts w:hint="eastAsia"/>
                <w:bCs/>
                <w:color w:val="000000" w:themeColor="text1"/>
                <w:sz w:val="24"/>
                <w:szCs w:val="20"/>
                <w:lang w:eastAsia="zh-CN"/>
                <w14:textFill>
                  <w14:solidFill>
                    <w14:schemeClr w14:val="tx1"/>
                  </w14:solidFill>
                </w14:textFill>
              </w:rPr>
              <w:t>。</w:t>
            </w:r>
            <w:r>
              <w:rPr>
                <w:rFonts w:hint="eastAsia"/>
                <w:bCs/>
                <w:color w:val="000000" w:themeColor="text1"/>
                <w:sz w:val="24"/>
                <w:szCs w:val="20"/>
                <w:lang w:val="en-US" w:eastAsia="zh-CN"/>
                <w14:textFill>
                  <w14:solidFill>
                    <w14:schemeClr w14:val="tx1"/>
                  </w14:solidFill>
                </w14:textFill>
              </w:rPr>
              <w:t>2022年钻孔</w:t>
            </w:r>
            <w:r>
              <w:rPr>
                <w:rFonts w:hint="eastAsia"/>
                <w:bCs/>
                <w:color w:val="000000" w:themeColor="text1"/>
                <w:sz w:val="24"/>
                <w:szCs w:val="20"/>
                <w14:textFill>
                  <w14:solidFill>
                    <w14:schemeClr w14:val="tx1"/>
                  </w14:solidFill>
                </w14:textFill>
              </w:rPr>
              <w:t>布置情况见表1-</w:t>
            </w:r>
            <w:r>
              <w:rPr>
                <w:rFonts w:hint="eastAsia"/>
                <w:bCs/>
                <w:color w:val="000000" w:themeColor="text1"/>
                <w:sz w:val="24"/>
                <w:szCs w:val="20"/>
                <w:lang w:val="en-US" w:eastAsia="zh-CN"/>
                <w14:textFill>
                  <w14:solidFill>
                    <w14:schemeClr w14:val="tx1"/>
                  </w14:solidFill>
                </w14:textFill>
              </w:rPr>
              <w:t>12</w:t>
            </w:r>
            <w:r>
              <w:rPr>
                <w:rFonts w:hint="eastAsia"/>
                <w:bCs/>
                <w:color w:val="000000" w:themeColor="text1"/>
                <w:sz w:val="24"/>
                <w:szCs w:val="20"/>
                <w14:textFill>
                  <w14:solidFill>
                    <w14:schemeClr w14:val="tx1"/>
                  </w14:solidFill>
                </w14:textFill>
              </w:rPr>
              <w:t>。</w:t>
            </w:r>
          </w:p>
          <w:p>
            <w:pPr>
              <w:adjustRightInd w:val="0"/>
              <w:jc w:val="center"/>
              <w:rPr>
                <w:bCs/>
                <w:color w:val="000000" w:themeColor="text1"/>
                <w:sz w:val="24"/>
                <w:szCs w:val="20"/>
                <w14:textFill>
                  <w14:solidFill>
                    <w14:schemeClr w14:val="tx1"/>
                  </w14:solidFill>
                </w14:textFill>
              </w:rPr>
            </w:pPr>
            <w:r>
              <w:rPr>
                <w:rFonts w:hint="eastAsia"/>
                <w:bCs/>
                <w:color w:val="000000" w:themeColor="text1"/>
                <w:sz w:val="24"/>
                <w:szCs w:val="20"/>
                <w14:textFill>
                  <w14:solidFill>
                    <w14:schemeClr w14:val="tx1"/>
                  </w14:solidFill>
                </w14:textFill>
              </w:rPr>
              <w:t>表1-</w:t>
            </w:r>
            <w:r>
              <w:rPr>
                <w:rFonts w:hint="eastAsia"/>
                <w:bCs/>
                <w:color w:val="000000" w:themeColor="text1"/>
                <w:sz w:val="24"/>
                <w:szCs w:val="20"/>
                <w:lang w:val="en-US" w:eastAsia="zh-CN"/>
                <w14:textFill>
                  <w14:solidFill>
                    <w14:schemeClr w14:val="tx1"/>
                  </w14:solidFill>
                </w14:textFill>
              </w:rPr>
              <w:t>12</w:t>
            </w:r>
            <w:r>
              <w:rPr>
                <w:rFonts w:hint="eastAsia"/>
                <w:bCs/>
                <w:color w:val="000000" w:themeColor="text1"/>
                <w:sz w:val="24"/>
                <w:szCs w:val="20"/>
                <w14:textFill>
                  <w14:solidFill>
                    <w14:schemeClr w14:val="tx1"/>
                  </w14:solidFill>
                </w14:textFill>
              </w:rPr>
              <w:t xml:space="preserve">  2022年钻探</w:t>
            </w:r>
            <w:r>
              <w:rPr>
                <w:rFonts w:hint="eastAsia"/>
                <w:bCs/>
                <w:color w:val="000000" w:themeColor="text1"/>
                <w:sz w:val="24"/>
                <w:szCs w:val="20"/>
                <w:lang w:val="en-US" w:eastAsia="zh-CN"/>
                <w14:textFill>
                  <w14:solidFill>
                    <w14:schemeClr w14:val="tx1"/>
                  </w14:solidFill>
                </w14:textFill>
              </w:rPr>
              <w:t>布置情况</w:t>
            </w:r>
            <w:r>
              <w:rPr>
                <w:rFonts w:hint="eastAsia"/>
                <w:bCs/>
                <w:color w:val="000000" w:themeColor="text1"/>
                <w:sz w:val="24"/>
                <w:szCs w:val="20"/>
                <w14:textFill>
                  <w14:solidFill>
                    <w14:schemeClr w14:val="tx1"/>
                  </w14:solidFill>
                </w14:textFill>
              </w:rPr>
              <w:t>一览表</w:t>
            </w:r>
          </w:p>
          <w:tbl>
            <w:tblPr>
              <w:tblStyle w:val="12"/>
              <w:tblW w:w="4995"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1552"/>
              <w:gridCol w:w="1993"/>
              <w:gridCol w:w="2809"/>
              <w:gridCol w:w="1327"/>
              <w:gridCol w:w="876"/>
              <w:gridCol w:w="114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32" w:hRule="atLeast"/>
              </w:trPr>
              <w:tc>
                <w:tcPr>
                  <w:tcW w:w="799"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bCs/>
                      <w:color w:val="000000" w:themeColor="text1"/>
                      <w:sz w:val="21"/>
                      <w:szCs w:val="21"/>
                      <w14:textFill>
                        <w14:solidFill>
                          <w14:schemeClr w14:val="tx1"/>
                        </w14:solidFill>
                      </w14:textFill>
                    </w:rPr>
                  </w:pPr>
                  <w:r>
                    <w:rPr>
                      <w:bCs/>
                      <w:color w:val="000000" w:themeColor="text1"/>
                      <w:kern w:val="0"/>
                      <w:sz w:val="21"/>
                      <w:szCs w:val="21"/>
                      <w:lang w:bidi="ar"/>
                      <w14:textFill>
                        <w14:solidFill>
                          <w14:schemeClr w14:val="tx1"/>
                        </w14:solidFill>
                      </w14:textFill>
                    </w:rPr>
                    <w:t>序号</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bCs/>
                      <w:color w:val="000000" w:themeColor="text1"/>
                      <w:sz w:val="21"/>
                      <w:szCs w:val="21"/>
                      <w14:textFill>
                        <w14:solidFill>
                          <w14:schemeClr w14:val="tx1"/>
                        </w14:solidFill>
                      </w14:textFill>
                    </w:rPr>
                  </w:pPr>
                  <w:r>
                    <w:rPr>
                      <w:rFonts w:hint="eastAsia"/>
                      <w:bCs/>
                      <w:color w:val="000000" w:themeColor="text1"/>
                      <w:kern w:val="0"/>
                      <w:sz w:val="21"/>
                      <w:szCs w:val="21"/>
                      <w:lang w:eastAsia="zh-CN" w:bidi="ar"/>
                      <w14:textFill>
                        <w14:solidFill>
                          <w14:schemeClr w14:val="tx1"/>
                        </w14:solidFill>
                      </w14:textFill>
                    </w:rPr>
                    <w:t>勘查</w:t>
                  </w:r>
                  <w:r>
                    <w:rPr>
                      <w:bCs/>
                      <w:color w:val="000000" w:themeColor="text1"/>
                      <w:kern w:val="0"/>
                      <w:sz w:val="21"/>
                      <w:szCs w:val="21"/>
                      <w:lang w:bidi="ar"/>
                      <w14:textFill>
                        <w14:solidFill>
                          <w14:schemeClr w14:val="tx1"/>
                        </w14:solidFill>
                      </w14:textFill>
                    </w:rPr>
                    <w:t>线</w:t>
                  </w:r>
                </w:p>
              </w:tc>
              <w:tc>
                <w:tcPr>
                  <w:tcW w:w="144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bCs/>
                      <w:color w:val="000000" w:themeColor="text1"/>
                      <w:sz w:val="21"/>
                      <w:szCs w:val="21"/>
                      <w14:textFill>
                        <w14:solidFill>
                          <w14:schemeClr w14:val="tx1"/>
                        </w14:solidFill>
                      </w14:textFill>
                    </w:rPr>
                  </w:pPr>
                  <w:r>
                    <w:rPr>
                      <w:bCs/>
                      <w:color w:val="000000" w:themeColor="text1"/>
                      <w:kern w:val="0"/>
                      <w:sz w:val="21"/>
                      <w:szCs w:val="21"/>
                      <w:lang w:bidi="ar"/>
                      <w14:textFill>
                        <w14:solidFill>
                          <w14:schemeClr w14:val="tx1"/>
                        </w14:solidFill>
                      </w14:textFill>
                    </w:rPr>
                    <w:t>孔号</w:t>
                  </w:r>
                </w:p>
              </w:tc>
              <w:tc>
                <w:tcPr>
                  <w:tcW w:w="683"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bCs/>
                      <w:color w:val="000000" w:themeColor="text1"/>
                      <w:sz w:val="21"/>
                      <w:szCs w:val="21"/>
                      <w14:textFill>
                        <w14:solidFill>
                          <w14:schemeClr w14:val="tx1"/>
                        </w14:solidFill>
                      </w14:textFill>
                    </w:rPr>
                  </w:pPr>
                  <w:r>
                    <w:rPr>
                      <w:rStyle w:val="30"/>
                      <w:rFonts w:hint="default" w:ascii="Times New Roman" w:hAnsi="Times New Roman" w:cs="Times New Roman"/>
                      <w:b w:val="0"/>
                      <w:bCs/>
                      <w:color w:val="000000" w:themeColor="text1"/>
                      <w:sz w:val="21"/>
                      <w:szCs w:val="21"/>
                      <w:lang w:bidi="ar"/>
                      <w14:textFill>
                        <w14:solidFill>
                          <w14:schemeClr w14:val="tx1"/>
                        </w14:solidFill>
                      </w14:textFill>
                    </w:rPr>
                    <w:t>设计孔深（</w:t>
                  </w:r>
                  <w:r>
                    <w:rPr>
                      <w:rStyle w:val="28"/>
                      <w:bCs/>
                      <w:color w:val="000000" w:themeColor="text1"/>
                      <w:sz w:val="21"/>
                      <w:szCs w:val="21"/>
                      <w:lang w:bidi="ar"/>
                      <w14:textFill>
                        <w14:solidFill>
                          <w14:schemeClr w14:val="tx1"/>
                        </w14:solidFill>
                      </w14:textFill>
                    </w:rPr>
                    <w:t>m</w:t>
                  </w:r>
                  <w:r>
                    <w:rPr>
                      <w:rStyle w:val="30"/>
                      <w:rFonts w:hint="default" w:ascii="Times New Roman" w:hAnsi="Times New Roman" w:cs="Times New Roman"/>
                      <w:b w:val="0"/>
                      <w:bCs/>
                      <w:color w:val="000000" w:themeColor="text1"/>
                      <w:sz w:val="21"/>
                      <w:szCs w:val="21"/>
                      <w:lang w:bidi="ar"/>
                      <w14:textFill>
                        <w14:solidFill>
                          <w14:schemeClr w14:val="tx1"/>
                        </w14:solidFill>
                      </w14:textFill>
                    </w:rPr>
                    <w:t>）</w:t>
                  </w:r>
                </w:p>
              </w:tc>
              <w:tc>
                <w:tcPr>
                  <w:tcW w:w="1042" w:type="pct"/>
                  <w:gridSpan w:val="2"/>
                  <w:tcBorders>
                    <w:tl2br w:val="nil"/>
                    <w:tr2bl w:val="nil"/>
                  </w:tcBorders>
                  <w:shd w:val="clear" w:color="auto" w:fill="auto"/>
                  <w:tcMar>
                    <w:top w:w="10" w:type="dxa"/>
                    <w:left w:w="10" w:type="dxa"/>
                    <w:right w:w="10" w:type="dxa"/>
                  </w:tcMar>
                  <w:vAlign w:val="center"/>
                </w:tcPr>
                <w:p>
                  <w:pPr>
                    <w:widowControl/>
                    <w:jc w:val="center"/>
                    <w:textAlignment w:val="center"/>
                    <w:rPr>
                      <w:bCs/>
                      <w:color w:val="000000" w:themeColor="text1"/>
                      <w:sz w:val="21"/>
                      <w:szCs w:val="21"/>
                      <w14:textFill>
                        <w14:solidFill>
                          <w14:schemeClr w14:val="tx1"/>
                        </w14:solidFill>
                      </w14:textFill>
                    </w:rPr>
                  </w:pPr>
                  <w:r>
                    <w:rPr>
                      <w:rStyle w:val="31"/>
                      <w:rFonts w:hint="default" w:ascii="Times New Roman" w:hAnsi="Times New Roman" w:cs="Times New Roman"/>
                      <w:b w:val="0"/>
                      <w:bCs/>
                      <w:color w:val="000000" w:themeColor="text1"/>
                      <w:sz w:val="21"/>
                      <w:szCs w:val="21"/>
                      <w:lang w:bidi="ar"/>
                      <w14:textFill>
                        <w14:solidFill>
                          <w14:schemeClr w14:val="tx1"/>
                        </w14:solidFill>
                      </w14:textFill>
                    </w:rPr>
                    <w:t>取心位置</w:t>
                  </w:r>
                  <w:r>
                    <w:rPr>
                      <w:rStyle w:val="29"/>
                      <w:rFonts w:ascii="Times New Roman" w:eastAsia="宋体" w:cs="Times New Roman"/>
                      <w:bCs/>
                      <w:color w:val="000000" w:themeColor="text1"/>
                      <w:sz w:val="21"/>
                      <w:szCs w:val="21"/>
                      <w:lang w:bidi="ar"/>
                      <w14:textFill>
                        <w14:solidFill>
                          <w14:schemeClr w14:val="tx1"/>
                        </w14:solidFill>
                      </w14:textFill>
                    </w:rPr>
                    <w:t>(m)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32" w:hRule="atLeast"/>
              </w:trPr>
              <w:tc>
                <w:tcPr>
                  <w:tcW w:w="799" w:type="pct"/>
                  <w:vMerge w:val="continue"/>
                  <w:tcBorders>
                    <w:tl2br w:val="nil"/>
                    <w:tr2bl w:val="nil"/>
                  </w:tcBorders>
                  <w:shd w:val="clear" w:color="auto" w:fill="auto"/>
                  <w:tcMar>
                    <w:top w:w="10" w:type="dxa"/>
                    <w:left w:w="10" w:type="dxa"/>
                    <w:right w:w="10" w:type="dxa"/>
                  </w:tcMar>
                  <w:vAlign w:val="center"/>
                </w:tcPr>
                <w:p>
                  <w:pPr>
                    <w:widowControl/>
                    <w:jc w:val="center"/>
                    <w:textAlignment w:val="center"/>
                    <w:rPr>
                      <w:color w:val="000000" w:themeColor="text1"/>
                      <w:sz w:val="21"/>
                      <w:szCs w:val="21"/>
                      <w14:textFill>
                        <w14:solidFill>
                          <w14:schemeClr w14:val="tx1"/>
                        </w14:solidFill>
                      </w14:textFill>
                    </w:rPr>
                  </w:pPr>
                </w:p>
              </w:tc>
              <w:tc>
                <w:tcPr>
                  <w:tcW w:w="1026" w:type="pct"/>
                  <w:vMerge w:val="continue"/>
                  <w:tcBorders>
                    <w:tl2br w:val="nil"/>
                    <w:tr2bl w:val="nil"/>
                  </w:tcBorders>
                  <w:shd w:val="clear" w:color="auto" w:fill="auto"/>
                  <w:tcMar>
                    <w:top w:w="10" w:type="dxa"/>
                    <w:left w:w="10" w:type="dxa"/>
                    <w:right w:w="10" w:type="dxa"/>
                  </w:tcMar>
                  <w:vAlign w:val="center"/>
                </w:tcPr>
                <w:p>
                  <w:pPr>
                    <w:widowControl/>
                    <w:jc w:val="center"/>
                    <w:textAlignment w:val="center"/>
                    <w:rPr>
                      <w:color w:val="000000" w:themeColor="text1"/>
                      <w:sz w:val="21"/>
                      <w:szCs w:val="21"/>
                      <w14:textFill>
                        <w14:solidFill>
                          <w14:schemeClr w14:val="tx1"/>
                        </w14:solidFill>
                      </w14:textFill>
                    </w:rPr>
                  </w:pPr>
                </w:p>
              </w:tc>
              <w:tc>
                <w:tcPr>
                  <w:tcW w:w="1446" w:type="pct"/>
                  <w:vMerge w:val="continue"/>
                  <w:tcBorders>
                    <w:tl2br w:val="nil"/>
                    <w:tr2bl w:val="nil"/>
                  </w:tcBorders>
                  <w:shd w:val="clear" w:color="auto" w:fill="auto"/>
                  <w:tcMar>
                    <w:top w:w="10" w:type="dxa"/>
                    <w:left w:w="10" w:type="dxa"/>
                    <w:right w:w="10" w:type="dxa"/>
                  </w:tcMar>
                  <w:vAlign w:val="center"/>
                </w:tcPr>
                <w:p>
                  <w:pPr>
                    <w:widowControl/>
                    <w:jc w:val="center"/>
                    <w:textAlignment w:val="center"/>
                    <w:rPr>
                      <w:color w:val="000000" w:themeColor="text1"/>
                      <w:sz w:val="21"/>
                      <w:szCs w:val="21"/>
                      <w14:textFill>
                        <w14:solidFill>
                          <w14:schemeClr w14:val="tx1"/>
                        </w14:solidFill>
                      </w14:textFill>
                    </w:rPr>
                  </w:pPr>
                </w:p>
              </w:tc>
              <w:tc>
                <w:tcPr>
                  <w:tcW w:w="683" w:type="pct"/>
                  <w:vMerge w:val="continue"/>
                  <w:tcBorders>
                    <w:tl2br w:val="nil"/>
                    <w:tr2bl w:val="nil"/>
                  </w:tcBorders>
                  <w:shd w:val="clear" w:color="auto" w:fill="auto"/>
                  <w:tcMar>
                    <w:top w:w="10" w:type="dxa"/>
                    <w:left w:w="10" w:type="dxa"/>
                    <w:right w:w="10" w:type="dxa"/>
                  </w:tcMar>
                  <w:vAlign w:val="center"/>
                </w:tcPr>
                <w:p>
                  <w:pPr>
                    <w:widowControl/>
                    <w:jc w:val="center"/>
                    <w:textAlignment w:val="center"/>
                    <w:rPr>
                      <w:color w:val="000000" w:themeColor="text1"/>
                      <w:sz w:val="21"/>
                      <w:szCs w:val="21"/>
                      <w14:textFill>
                        <w14:solidFill>
                          <w14:schemeClr w14:val="tx1"/>
                        </w14:solidFill>
                      </w14:textFill>
                    </w:rPr>
                  </w:pP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Style w:val="31"/>
                      <w:rFonts w:hint="default" w:ascii="Times New Roman" w:hAnsi="Times New Roman" w:cs="Times New Roman"/>
                      <w:b w:val="0"/>
                      <w:bCs/>
                      <w:color w:val="000000" w:themeColor="text1"/>
                      <w:sz w:val="21"/>
                      <w:szCs w:val="21"/>
                      <w:lang w:bidi="ar"/>
                      <w14:textFill>
                        <w14:solidFill>
                          <w14:schemeClr w14:val="tx1"/>
                        </w14:solidFill>
                      </w14:textFill>
                    </w:rPr>
                  </w:pPr>
                  <w:r>
                    <w:rPr>
                      <w:rStyle w:val="31"/>
                      <w:rFonts w:hint="default" w:ascii="Times New Roman" w:hAnsi="Times New Roman" w:cs="Times New Roman"/>
                      <w:b w:val="0"/>
                      <w:bCs/>
                      <w:color w:val="000000" w:themeColor="text1"/>
                      <w:sz w:val="21"/>
                      <w:szCs w:val="21"/>
                      <w:lang w:bidi="ar"/>
                      <w14:textFill>
                        <w14:solidFill>
                          <w14:schemeClr w14:val="tx1"/>
                        </w14:solidFill>
                      </w14:textFill>
                    </w:rPr>
                    <w:t>自</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Style w:val="31"/>
                      <w:rFonts w:hint="default" w:ascii="Times New Roman" w:hAnsi="Times New Roman" w:cs="Times New Roman"/>
                      <w:b w:val="0"/>
                      <w:bCs/>
                      <w:color w:val="000000" w:themeColor="text1"/>
                      <w:sz w:val="21"/>
                      <w:szCs w:val="21"/>
                      <w:lang w:bidi="ar"/>
                      <w14:textFill>
                        <w14:solidFill>
                          <w14:schemeClr w14:val="tx1"/>
                        </w14:solidFill>
                      </w14:textFill>
                    </w:rPr>
                  </w:pPr>
                  <w:r>
                    <w:rPr>
                      <w:rStyle w:val="31"/>
                      <w:rFonts w:hint="default" w:ascii="Times New Roman" w:hAnsi="Times New Roman" w:cs="Times New Roman"/>
                      <w:b w:val="0"/>
                      <w:bCs/>
                      <w:color w:val="000000" w:themeColor="text1"/>
                      <w:sz w:val="21"/>
                      <w:szCs w:val="21"/>
                      <w:lang w:bidi="ar"/>
                      <w14:textFill>
                        <w14:solidFill>
                          <w14:schemeClr w14:val="tx1"/>
                        </w14:solidFill>
                      </w14:textFill>
                    </w:rPr>
                    <w:t>至</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69"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w:t>
                  </w:r>
                </w:p>
              </w:tc>
              <w:tc>
                <w:tcPr>
                  <w:tcW w:w="1026" w:type="pct"/>
                  <w:vMerge w:val="restar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LH2</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ZKLH2-2</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w:t>
                  </w:r>
                </w:p>
              </w:tc>
              <w:tc>
                <w:tcPr>
                  <w:tcW w:w="1026" w:type="pct"/>
                  <w:vMerge w:val="continue"/>
                  <w:tcBorders>
                    <w:tl2br w:val="nil"/>
                    <w:tr2bl w:val="nil"/>
                  </w:tcBorders>
                  <w:shd w:val="clear" w:color="auto" w:fill="auto"/>
                  <w:noWrap/>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ZKLH2-3</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w:t>
                  </w:r>
                </w:p>
              </w:tc>
              <w:tc>
                <w:tcPr>
                  <w:tcW w:w="1026" w:type="pct"/>
                  <w:vMerge w:val="continue"/>
                  <w:tcBorders>
                    <w:tl2br w:val="nil"/>
                    <w:tr2bl w:val="nil"/>
                  </w:tcBorders>
                  <w:shd w:val="clear" w:color="auto" w:fill="auto"/>
                  <w:noWrap/>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ZKLH2-4</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w:t>
                  </w:r>
                </w:p>
              </w:tc>
              <w:tc>
                <w:tcPr>
                  <w:tcW w:w="1026" w:type="pct"/>
                  <w:vMerge w:val="continue"/>
                  <w:tcBorders>
                    <w:tl2br w:val="nil"/>
                    <w:tr2bl w:val="nil"/>
                  </w:tcBorders>
                  <w:shd w:val="clear" w:color="auto" w:fill="auto"/>
                  <w:noWrap/>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ZKLH2-5</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w:t>
                  </w:r>
                </w:p>
              </w:tc>
              <w:tc>
                <w:tcPr>
                  <w:tcW w:w="102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LH7</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ZKLH7-1</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w:t>
                  </w:r>
                </w:p>
              </w:tc>
              <w:tc>
                <w:tcPr>
                  <w:tcW w:w="1026" w:type="pct"/>
                  <w:vMerge w:val="restar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LH8</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ZKLH8-2</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780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780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7</w:t>
                  </w:r>
                </w:p>
              </w:tc>
              <w:tc>
                <w:tcPr>
                  <w:tcW w:w="1026" w:type="pct"/>
                  <w:vMerge w:val="continue"/>
                  <w:tcBorders>
                    <w:tl2br w:val="nil"/>
                    <w:tr2bl w:val="nil"/>
                  </w:tcBorders>
                  <w:shd w:val="clear" w:color="auto" w:fill="auto"/>
                  <w:noWrap/>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ZKLH8-3</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8</w:t>
                  </w:r>
                </w:p>
              </w:tc>
              <w:tc>
                <w:tcPr>
                  <w:tcW w:w="102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LH12</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ZKLH12-2</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850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850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9</w:t>
                  </w:r>
                </w:p>
              </w:tc>
              <w:tc>
                <w:tcPr>
                  <w:tcW w:w="102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LH16</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ZKLH16-1</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10</w:t>
                  </w:r>
                </w:p>
              </w:tc>
              <w:tc>
                <w:tcPr>
                  <w:tcW w:w="102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LH24</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ZKLH24-1</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11</w:t>
                  </w:r>
                </w:p>
              </w:tc>
              <w:tc>
                <w:tcPr>
                  <w:tcW w:w="102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LH48</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ZKLH48-1</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12</w:t>
                  </w:r>
                </w:p>
              </w:tc>
              <w:tc>
                <w:tcPr>
                  <w:tcW w:w="1026" w:type="pct"/>
                  <w:vMerge w:val="restar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SX0</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ZKSX0-1</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100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13</w:t>
                  </w:r>
                </w:p>
              </w:tc>
              <w:tc>
                <w:tcPr>
                  <w:tcW w:w="1026" w:type="pct"/>
                  <w:vMerge w:val="continue"/>
                  <w:tcBorders>
                    <w:tl2br w:val="nil"/>
                    <w:tr2bl w:val="nil"/>
                  </w:tcBorders>
                  <w:shd w:val="clear" w:color="auto" w:fill="auto"/>
                  <w:noWrap/>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ZKSX0-2</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640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120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14</w:t>
                  </w:r>
                </w:p>
              </w:tc>
              <w:tc>
                <w:tcPr>
                  <w:tcW w:w="1026" w:type="pct"/>
                  <w:vMerge w:val="continue"/>
                  <w:tcBorders>
                    <w:tl2br w:val="nil"/>
                    <w:tr2bl w:val="nil"/>
                  </w:tcBorders>
                  <w:shd w:val="clear" w:color="auto" w:fill="auto"/>
                  <w:noWrap/>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ZKSX0-3</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690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80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15</w:t>
                  </w:r>
                </w:p>
              </w:tc>
              <w:tc>
                <w:tcPr>
                  <w:tcW w:w="1026" w:type="pct"/>
                  <w:vMerge w:val="restar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SD24</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ZKSD24-1</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620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16</w:t>
                  </w:r>
                </w:p>
              </w:tc>
              <w:tc>
                <w:tcPr>
                  <w:tcW w:w="1026" w:type="pct"/>
                  <w:vMerge w:val="continue"/>
                  <w:tcBorders>
                    <w:tl2br w:val="nil"/>
                    <w:tr2bl w:val="nil"/>
                  </w:tcBorders>
                  <w:shd w:val="clear" w:color="auto" w:fill="auto"/>
                  <w:noWrap/>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ZKSD24-2</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670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17</w:t>
                  </w:r>
                </w:p>
              </w:tc>
              <w:tc>
                <w:tcPr>
                  <w:tcW w:w="1026" w:type="pct"/>
                  <w:vMerge w:val="continue"/>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ZKSD24-3</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720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100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720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18</w:t>
                  </w:r>
                </w:p>
              </w:tc>
              <w:tc>
                <w:tcPr>
                  <w:tcW w:w="1026" w:type="pct"/>
                  <w:vMerge w:val="continue"/>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ZKSD24-4</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780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130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780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19</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Z0</w:t>
                  </w:r>
                </w:p>
              </w:tc>
              <w:tc>
                <w:tcPr>
                  <w:tcW w:w="1446"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ZKZ0-1</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560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20</w:t>
                  </w:r>
                </w:p>
              </w:tc>
              <w:tc>
                <w:tcPr>
                  <w:tcW w:w="1026" w:type="pct"/>
                  <w:vMerge w:val="continue"/>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p>
              </w:tc>
              <w:tc>
                <w:tcPr>
                  <w:tcW w:w="1446"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ZKZ0-2</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70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kern w:val="0"/>
                      <w:sz w:val="21"/>
                      <w:szCs w:val="21"/>
                      <w:lang w:bidi="ar"/>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21</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Z23</w:t>
                  </w:r>
                </w:p>
              </w:tc>
              <w:tc>
                <w:tcPr>
                  <w:tcW w:w="1446"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ZKZ23-1</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22</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ZKZ23-2</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36"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23</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QD0</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ZKQD0-1</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24</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ZKQD0-2</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25</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ZKQD0-3</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26</w:t>
                  </w:r>
                </w:p>
              </w:tc>
              <w:tc>
                <w:tcPr>
                  <w:tcW w:w="1026"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Y24</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ZKY24-3</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36"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27</w:t>
                  </w:r>
                </w:p>
              </w:tc>
              <w:tc>
                <w:tcPr>
                  <w:tcW w:w="1026"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Y32</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ZKY32-3</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28</w:t>
                  </w:r>
                </w:p>
              </w:tc>
              <w:tc>
                <w:tcPr>
                  <w:tcW w:w="1026"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Y55</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ZKY55-1</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29</w:t>
                  </w:r>
                </w:p>
              </w:tc>
              <w:tc>
                <w:tcPr>
                  <w:tcW w:w="1026"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A0</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ZKA0-5</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570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30</w:t>
                  </w:r>
                </w:p>
              </w:tc>
              <w:tc>
                <w:tcPr>
                  <w:tcW w:w="1026"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A23</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ZKA23-2</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570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31</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X28</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ZKX28-1</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21"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32</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ZKX28-2</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620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70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33</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X33</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ZKX33-1</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630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80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34</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ZKX33-2</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80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35</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LC1</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ZKLC1-1</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36</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ZKLC1-2</w:t>
                  </w:r>
                </w:p>
              </w:tc>
              <w:tc>
                <w:tcPr>
                  <w:tcW w:w="683"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37</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LC2</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ZKLC2-1</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38</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ZKLC2-2</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39</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HB1</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ZKHB1-1</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40</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ZKHB1-2</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570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41</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HB2</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ZKHB2-1</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42</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ZKHB2-2</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43</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GE1</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ZKGE1-1</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44</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ZKGE1-2</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35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45</w:t>
                  </w:r>
                </w:p>
              </w:tc>
              <w:tc>
                <w:tcPr>
                  <w:tcW w:w="1026" w:type="pct"/>
                  <w:vMerge w:val="restar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GE2</w:t>
                  </w: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ZKGE2-1</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560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40</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560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99"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46</w:t>
                  </w:r>
                </w:p>
              </w:tc>
              <w:tc>
                <w:tcPr>
                  <w:tcW w:w="1026" w:type="pct"/>
                  <w:vMerge w:val="continue"/>
                  <w:tcBorders>
                    <w:tl2br w:val="nil"/>
                    <w:tr2bl w:val="nil"/>
                  </w:tcBorders>
                  <w:shd w:val="clear" w:color="auto" w:fill="auto"/>
                  <w:tcMar>
                    <w:top w:w="10" w:type="dxa"/>
                    <w:left w:w="10" w:type="dxa"/>
                    <w:right w:w="10" w:type="dxa"/>
                  </w:tcMar>
                  <w:vAlign w:val="center"/>
                </w:tcPr>
                <w:p>
                  <w:pPr>
                    <w:jc w:val="center"/>
                    <w:rPr>
                      <w:rFonts w:eastAsia="等线"/>
                      <w:color w:val="000000" w:themeColor="text1"/>
                      <w:sz w:val="21"/>
                      <w:szCs w:val="21"/>
                      <w14:textFill>
                        <w14:solidFill>
                          <w14:schemeClr w14:val="tx1"/>
                        </w14:solidFill>
                      </w14:textFill>
                    </w:rPr>
                  </w:pPr>
                </w:p>
              </w:tc>
              <w:tc>
                <w:tcPr>
                  <w:tcW w:w="1446"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ZKGE2-2</w:t>
                  </w:r>
                </w:p>
              </w:tc>
              <w:tc>
                <w:tcPr>
                  <w:tcW w:w="683" w:type="pct"/>
                  <w:tcBorders>
                    <w:tl2br w:val="nil"/>
                    <w:tr2bl w:val="nil"/>
                  </w:tcBorders>
                  <w:shd w:val="clear" w:color="auto" w:fill="auto"/>
                  <w:noWrap/>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c>
                <w:tcPr>
                  <w:tcW w:w="45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w:t>
                  </w:r>
                </w:p>
              </w:tc>
              <w:tc>
                <w:tcPr>
                  <w:tcW w:w="591" w:type="pct"/>
                  <w:tcBorders>
                    <w:tl2br w:val="nil"/>
                    <w:tr2bl w:val="nil"/>
                  </w:tcBorders>
                  <w:shd w:val="clear" w:color="auto" w:fill="auto"/>
                  <w:tcMar>
                    <w:top w:w="10" w:type="dxa"/>
                    <w:left w:w="10" w:type="dxa"/>
                    <w:right w:w="10" w:type="dxa"/>
                  </w:tcMar>
                  <w:vAlign w:val="center"/>
                </w:tcPr>
                <w:p>
                  <w:pPr>
                    <w:widowControl/>
                    <w:jc w:val="center"/>
                    <w:textAlignment w:val="center"/>
                    <w:rPr>
                      <w:rFonts w:eastAsia="等线"/>
                      <w:color w:val="000000" w:themeColor="text1"/>
                      <w:sz w:val="21"/>
                      <w:szCs w:val="21"/>
                      <w14:textFill>
                        <w14:solidFill>
                          <w14:schemeClr w14:val="tx1"/>
                        </w14:solidFill>
                      </w14:textFill>
                    </w:rPr>
                  </w:pPr>
                  <w:r>
                    <w:rPr>
                      <w:rFonts w:eastAsia="等线"/>
                      <w:color w:val="000000" w:themeColor="text1"/>
                      <w:kern w:val="0"/>
                      <w:sz w:val="21"/>
                      <w:szCs w:val="21"/>
                      <w:lang w:bidi="ar"/>
                      <w14:textFill>
                        <w14:solidFill>
                          <w14:schemeClr w14:val="tx1"/>
                        </w14:solidFill>
                      </w14:textFill>
                    </w:rPr>
                    <w:t>650</w:t>
                  </w:r>
                </w:p>
              </w:tc>
            </w:tr>
          </w:tbl>
          <w:p>
            <w:pPr>
              <w:adjustRightInd w:val="0"/>
              <w:spacing w:line="360" w:lineRule="auto"/>
              <w:ind w:firstLine="480" w:firstLineChars="200"/>
              <w:rPr>
                <w:rFonts w:hint="default"/>
                <w:bCs/>
                <w:color w:val="000000" w:themeColor="text1"/>
                <w:sz w:val="24"/>
                <w:szCs w:val="20"/>
                <w:lang w:val="en-US" w:eastAsia="zh-CN"/>
                <w14:textFill>
                  <w14:solidFill>
                    <w14:schemeClr w14:val="tx1"/>
                  </w14:solidFill>
                </w14:textFill>
              </w:rPr>
            </w:pPr>
            <w:r>
              <w:rPr>
                <w:rFonts w:hint="eastAsia"/>
                <w:bCs/>
                <w:color w:val="000000" w:themeColor="text1"/>
                <w:sz w:val="24"/>
                <w:szCs w:val="20"/>
                <w:lang w:val="en-US" w:eastAsia="zh-CN"/>
                <w14:textFill>
                  <w14:solidFill>
                    <w14:schemeClr w14:val="tx1"/>
                  </w14:solidFill>
                </w14:textFill>
              </w:rPr>
              <w:t>（2）钻井场地平面布置</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本项目单个钻井井场长为</w:t>
            </w:r>
            <w:r>
              <w:rPr>
                <w:color w:val="000000" w:themeColor="text1"/>
                <w:sz w:val="24"/>
                <w:lang w:val="en-GB"/>
                <w14:textFill>
                  <w14:solidFill>
                    <w14:schemeClr w14:val="tx1"/>
                  </w14:solidFill>
                </w14:textFill>
              </w:rPr>
              <w:t>15</w:t>
            </w:r>
            <w:r>
              <w:rPr>
                <w:rFonts w:hint="eastAsia"/>
                <w:color w:val="000000" w:themeColor="text1"/>
                <w:sz w:val="24"/>
                <w:lang w:val="en-GB"/>
                <w14:textFill>
                  <w14:solidFill>
                    <w14:schemeClr w14:val="tx1"/>
                  </w14:solidFill>
                </w14:textFill>
              </w:rPr>
              <w:t>m，宽为1</w:t>
            </w:r>
            <w:r>
              <w:rPr>
                <w:color w:val="000000" w:themeColor="text1"/>
                <w:sz w:val="24"/>
                <w:lang w:val="en-GB"/>
                <w14:textFill>
                  <w14:solidFill>
                    <w14:schemeClr w14:val="tx1"/>
                  </w14:solidFill>
                </w14:textFill>
              </w:rPr>
              <w:t>0</w:t>
            </w:r>
            <w:r>
              <w:rPr>
                <w:rFonts w:hint="eastAsia"/>
                <w:color w:val="000000" w:themeColor="text1"/>
                <w:sz w:val="24"/>
                <w:lang w:val="en-GB"/>
                <w14:textFill>
                  <w14:solidFill>
                    <w14:schemeClr w14:val="tx1"/>
                  </w14:solidFill>
                </w14:textFill>
              </w:rPr>
              <w:t>m，面积</w:t>
            </w:r>
            <w:r>
              <w:rPr>
                <w:color w:val="000000" w:themeColor="text1"/>
                <w:sz w:val="24"/>
                <w:lang w:val="en-GB"/>
                <w14:textFill>
                  <w14:solidFill>
                    <w14:schemeClr w14:val="tx1"/>
                  </w14:solidFill>
                </w14:textFill>
              </w:rPr>
              <w:t>150</w:t>
            </w:r>
            <w:r>
              <w:rPr>
                <w:rFonts w:hint="eastAsia"/>
                <w:color w:val="000000" w:themeColor="text1"/>
                <w:sz w:val="24"/>
                <w:lang w:val="en-GB"/>
                <w14:textFill>
                  <w14:solidFill>
                    <w14:schemeClr w14:val="tx1"/>
                  </w14:solidFill>
                </w14:textFill>
              </w:rPr>
              <w:t>m</w:t>
            </w:r>
            <w:r>
              <w:rPr>
                <w:rFonts w:hint="eastAsia"/>
                <w:color w:val="000000" w:themeColor="text1"/>
                <w:sz w:val="24"/>
                <w:vertAlign w:val="superscript"/>
                <w:lang w:val="en-GB"/>
                <w14:textFill>
                  <w14:solidFill>
                    <w14:schemeClr w14:val="tx1"/>
                  </w14:solidFill>
                </w14:textFill>
              </w:rPr>
              <w:t>2</w:t>
            </w:r>
            <w:r>
              <w:rPr>
                <w:rFonts w:hint="eastAsia"/>
                <w:color w:val="000000" w:themeColor="text1"/>
                <w:sz w:val="24"/>
                <w:lang w:val="en-GB"/>
                <w14:textFill>
                  <w14:solidFill>
                    <w14:schemeClr w14:val="tx1"/>
                  </w14:solidFill>
                </w14:textFill>
              </w:rPr>
              <w:t>。井场布置机台、泥浆机、钻具区、发电机、油料储存区等，布局满足生产要求前提下，符合国家现行的防火、防爆、安全、卫生及环保规范要求。全部测试工作完成后进行封孔，场地平整并进行生态恢复。钻探井场平面布置示意图见图</w:t>
            </w:r>
            <w:r>
              <w:rPr>
                <w:color w:val="000000" w:themeColor="text1"/>
                <w:sz w:val="24"/>
                <w:lang w:val="en-GB"/>
                <w14:textFill>
                  <w14:solidFill>
                    <w14:schemeClr w14:val="tx1"/>
                  </w14:solidFill>
                </w14:textFill>
              </w:rPr>
              <w:t>1-1</w:t>
            </w:r>
            <w:r>
              <w:rPr>
                <w:rFonts w:hint="eastAsia"/>
                <w:color w:val="000000" w:themeColor="text1"/>
                <w:sz w:val="24"/>
                <w:lang w:val="en-GB"/>
                <w14:textFill>
                  <w14:solidFill>
                    <w14:schemeClr w14:val="tx1"/>
                  </w14:solidFill>
                </w14:textFill>
              </w:rPr>
              <w:t>。</w:t>
            </w:r>
          </w:p>
          <w:p>
            <w:pPr>
              <w:spacing w:line="360" w:lineRule="auto"/>
              <w:rPr>
                <w:color w:val="000000" w:themeColor="text1"/>
                <w:sz w:val="24"/>
                <w:lang w:val="en-GB"/>
                <w14:textFill>
                  <w14:solidFill>
                    <w14:schemeClr w14:val="tx1"/>
                  </w14:solidFill>
                </w14:textFill>
              </w:rPr>
            </w:pPr>
            <w:r>
              <w:rPr>
                <w:color w:val="000000" w:themeColor="text1"/>
                <w14:textFill>
                  <w14:solidFill>
                    <w14:schemeClr w14:val="tx1"/>
                  </w14:solidFill>
                </w14:textFill>
              </w:rPr>
              <w:drawing>
                <wp:inline distT="0" distB="0" distL="0" distR="0">
                  <wp:extent cx="6188710" cy="3520440"/>
                  <wp:effectExtent l="0" t="0" r="8890"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6188710" cy="3520440"/>
                          </a:xfrm>
                          <a:prstGeom prst="rect">
                            <a:avLst/>
                          </a:prstGeom>
                          <a:noFill/>
                          <a:ln>
                            <a:noFill/>
                          </a:ln>
                        </pic:spPr>
                      </pic:pic>
                    </a:graphicData>
                  </a:graphic>
                </wp:inline>
              </w:drawing>
            </w:r>
          </w:p>
          <w:p>
            <w:pPr>
              <w:jc w:val="center"/>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图</w:t>
            </w:r>
            <w:r>
              <w:rPr>
                <w:color w:val="000000" w:themeColor="text1"/>
                <w:sz w:val="24"/>
                <w:lang w:val="en-GB"/>
                <w14:textFill>
                  <w14:solidFill>
                    <w14:schemeClr w14:val="tx1"/>
                  </w14:solidFill>
                </w14:textFill>
              </w:rPr>
              <w:t xml:space="preserve">1-1  </w:t>
            </w:r>
            <w:r>
              <w:rPr>
                <w:rFonts w:hint="eastAsia"/>
                <w:color w:val="000000" w:themeColor="text1"/>
                <w:sz w:val="24"/>
                <w:lang w:val="en-GB"/>
                <w14:textFill>
                  <w14:solidFill>
                    <w14:schemeClr w14:val="tx1"/>
                  </w14:solidFill>
                </w14:textFill>
              </w:rPr>
              <w:t>钻探井场平面布置示意图</w:t>
            </w:r>
          </w:p>
          <w:p>
            <w:p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6</w:t>
            </w:r>
            <w:r>
              <w:rPr>
                <w:rFonts w:hint="eastAsia" w:eastAsia="黑体"/>
                <w:color w:val="000000" w:themeColor="text1"/>
                <w:sz w:val="24"/>
                <w14:textFill>
                  <w14:solidFill>
                    <w14:schemeClr w14:val="tx1"/>
                  </w14:solidFill>
                </w14:textFill>
              </w:rPr>
              <w:t>、主要设备</w:t>
            </w:r>
          </w:p>
          <w:p>
            <w:pPr>
              <w:spacing w:line="360" w:lineRule="auto"/>
              <w:ind w:firstLine="480" w:firstLineChars="200"/>
              <w:rPr>
                <w:color w:val="000000" w:themeColor="text1"/>
                <w:sz w:val="24"/>
                <w:lang w:val="en-GB"/>
                <w14:textFill>
                  <w14:solidFill>
                    <w14:schemeClr w14:val="tx1"/>
                  </w14:solidFill>
                </w14:textFill>
              </w:rPr>
            </w:pPr>
            <w:r>
              <w:rPr>
                <w:color w:val="000000" w:themeColor="text1"/>
                <w:sz w:val="24"/>
                <w14:textFill>
                  <w14:solidFill>
                    <w14:schemeClr w14:val="tx1"/>
                  </w14:solidFill>
                </w14:textFill>
              </w:rPr>
              <w:t>项目</w:t>
            </w:r>
            <w:r>
              <w:rPr>
                <w:rFonts w:hint="eastAsia"/>
                <w:color w:val="000000" w:themeColor="text1"/>
                <w:sz w:val="24"/>
                <w:lang w:eastAsia="zh-CN"/>
                <w14:textFill>
                  <w14:solidFill>
                    <w14:schemeClr w14:val="tx1"/>
                  </w14:solidFill>
                </w14:textFill>
              </w:rPr>
              <w:t>主要设备及施工机械</w:t>
            </w:r>
            <w:r>
              <w:rPr>
                <w:color w:val="000000" w:themeColor="text1"/>
                <w:sz w:val="24"/>
                <w14:textFill>
                  <w14:solidFill>
                    <w14:schemeClr w14:val="tx1"/>
                  </w14:solidFill>
                </w14:textFill>
              </w:rPr>
              <w:t>见表</w:t>
            </w:r>
            <w:r>
              <w:rPr>
                <w:rFonts w:hint="eastAsia"/>
                <w:color w:val="000000" w:themeColor="text1"/>
                <w:sz w:val="24"/>
                <w14:textFill>
                  <w14:solidFill>
                    <w14:schemeClr w14:val="tx1"/>
                  </w14:solidFill>
                </w14:textFill>
              </w:rPr>
              <w:t>1</w:t>
            </w:r>
            <w:r>
              <w:rPr>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3</w:t>
            </w:r>
            <w:r>
              <w:rPr>
                <w:color w:val="000000" w:themeColor="text1"/>
                <w:sz w:val="24"/>
                <w14:textFill>
                  <w14:solidFill>
                    <w14:schemeClr w14:val="tx1"/>
                  </w14:solidFill>
                </w14:textFill>
              </w:rPr>
              <w:t>。</w:t>
            </w:r>
          </w:p>
          <w:p>
            <w:pPr>
              <w:jc w:val="center"/>
              <w:rPr>
                <w:rFonts w:hint="eastAsia" w:eastAsia="宋体"/>
                <w:color w:val="000000" w:themeColor="text1"/>
                <w:sz w:val="24"/>
                <w:lang w:val="en-US" w:eastAsia="zh-CN"/>
                <w14:textFill>
                  <w14:solidFill>
                    <w14:schemeClr w14:val="tx1"/>
                  </w14:solidFill>
                </w14:textFill>
              </w:rPr>
            </w:pPr>
            <w:r>
              <w:rPr>
                <w:rFonts w:hint="eastAsia"/>
                <w:color w:val="000000" w:themeColor="text1"/>
                <w:sz w:val="24"/>
                <w:lang w:val="en-GB"/>
                <w14:textFill>
                  <w14:solidFill>
                    <w14:schemeClr w14:val="tx1"/>
                  </w14:solidFill>
                </w14:textFill>
              </w:rPr>
              <w:t>表</w:t>
            </w:r>
            <w:r>
              <w:rPr>
                <w:rFonts w:hint="eastAsia"/>
                <w:color w:val="000000" w:themeColor="text1"/>
                <w:sz w:val="24"/>
                <w14:textFill>
                  <w14:solidFill>
                    <w14:schemeClr w14:val="tx1"/>
                  </w14:solidFill>
                </w14:textFill>
              </w:rPr>
              <w:t>1</w:t>
            </w:r>
            <w:r>
              <w:rPr>
                <w:color w:val="000000" w:themeColor="text1"/>
                <w:sz w:val="24"/>
                <w:lang w:val="en-GB"/>
                <w14:textFill>
                  <w14:solidFill>
                    <w14:schemeClr w14:val="tx1"/>
                  </w14:solidFill>
                </w14:textFill>
              </w:rPr>
              <w:t>-1</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val="en-GB"/>
                <w14:textFill>
                  <w14:solidFill>
                    <w14:schemeClr w14:val="tx1"/>
                  </w14:solidFill>
                </w14:textFill>
              </w:rPr>
              <w:t xml:space="preserve"> </w:t>
            </w:r>
            <w:r>
              <w:rPr>
                <w:color w:val="000000" w:themeColor="text1"/>
                <w:sz w:val="24"/>
                <w:lang w:val="en-GB"/>
                <w14:textFill>
                  <w14:solidFill>
                    <w14:schemeClr w14:val="tx1"/>
                  </w14:solidFill>
                </w14:textFill>
              </w:rPr>
              <w:t xml:space="preserve"> </w:t>
            </w:r>
            <w:r>
              <w:rPr>
                <w:rFonts w:hint="eastAsia"/>
                <w:color w:val="000000" w:themeColor="text1"/>
                <w:sz w:val="24"/>
                <w:lang w:val="en-GB"/>
                <w14:textFill>
                  <w14:solidFill>
                    <w14:schemeClr w14:val="tx1"/>
                  </w14:solidFill>
                </w14:textFill>
              </w:rPr>
              <w:t>项目主要设备清单</w:t>
            </w:r>
            <w:r>
              <w:rPr>
                <w:rFonts w:hint="eastAsia"/>
                <w:color w:val="000000" w:themeColor="text1"/>
                <w:sz w:val="24"/>
                <w:lang w:val="en-US" w:eastAsia="zh-CN"/>
                <w14:textFill>
                  <w14:solidFill>
                    <w14:schemeClr w14:val="tx1"/>
                  </w14:solidFill>
                </w14:textFill>
              </w:rPr>
              <w:t>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67"/>
              <w:gridCol w:w="1959"/>
              <w:gridCol w:w="2237"/>
              <w:gridCol w:w="999"/>
              <w:gridCol w:w="989"/>
              <w:gridCol w:w="25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规格型号</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单位</w:t>
                  </w:r>
                </w:p>
              </w:tc>
              <w:tc>
                <w:tcPr>
                  <w:tcW w:w="50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数量</w:t>
                  </w:r>
                </w:p>
              </w:tc>
              <w:tc>
                <w:tcPr>
                  <w:tcW w:w="131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一、钻探设备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XY-5</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50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c>
                <w:tcPr>
                  <w:tcW w:w="1317" w:type="pct"/>
                  <w:vAlign w:val="center"/>
                </w:tcPr>
                <w:p>
                  <w:pP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大部分情况单台钻机施工，个别情况下两台钻机同时施工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BW</w:t>
                  </w:r>
                  <w:r>
                    <w:rPr>
                      <w:color w:val="000000" w:themeColor="text1"/>
                      <w:szCs w:val="21"/>
                      <w14:textFill>
                        <w14:solidFill>
                          <w14:schemeClr w14:val="tx1"/>
                        </w14:solidFill>
                      </w14:textFill>
                    </w:rPr>
                    <w:t>-250</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50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c>
                <w:tcPr>
                  <w:tcW w:w="2565" w:type="dxa"/>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钻塔</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A型18m/13m</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付</w:t>
                  </w:r>
                </w:p>
              </w:tc>
              <w:tc>
                <w:tcPr>
                  <w:tcW w:w="50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c>
                <w:tcPr>
                  <w:tcW w:w="2565" w:type="dxa"/>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1.5m</w:t>
                  </w:r>
                  <w:r>
                    <w:rPr>
                      <w:color w:val="000000" w:themeColor="text1"/>
                      <w:szCs w:val="21"/>
                      <w:vertAlign w:val="superscript"/>
                      <w14:textFill>
                        <w14:solidFill>
                          <w14:schemeClr w14:val="tx1"/>
                        </w14:solidFill>
                      </w14:textFill>
                    </w:rPr>
                    <w:t>3</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50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c>
                <w:tcPr>
                  <w:tcW w:w="1317"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除砂器</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CS-150</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509"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c>
                <w:tcPr>
                  <w:tcW w:w="1317"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液压挖掘机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PC240LC-8</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50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c>
                <w:tcPr>
                  <w:tcW w:w="1317"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渣浆泵</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50KZD-80</w:t>
                  </w:r>
                </w:p>
              </w:tc>
              <w:tc>
                <w:tcPr>
                  <w:tcW w:w="51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台</w:t>
                  </w:r>
                </w:p>
              </w:tc>
              <w:tc>
                <w:tcPr>
                  <w:tcW w:w="50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c>
                <w:tcPr>
                  <w:tcW w:w="1317"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二、运输设备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越野车</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三菱帕杰罗</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V93WLYHVL0C</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50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c>
                <w:tcPr>
                  <w:tcW w:w="1317"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越野车</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四驱六缸汽油</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50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1317"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生产生活供应</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皮卡</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50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317"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测井车</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50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317"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三、动力设备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发电机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r>
                    <w:rPr>
                      <w:rFonts w:hint="eastAsia"/>
                      <w:color w:val="000000" w:themeColor="text1"/>
                      <w:szCs w:val="21"/>
                      <w:lang w:val="en-US" w:eastAsia="zh-CN"/>
                      <w14:textFill>
                        <w14:solidFill>
                          <w14:schemeClr w14:val="tx1"/>
                        </w14:solidFill>
                      </w14:textFill>
                    </w:rPr>
                    <w:t>8</w:t>
                  </w:r>
                  <w:r>
                    <w:rPr>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kW</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50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c>
                <w:tcPr>
                  <w:tcW w:w="1317"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9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配电柜</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51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50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c>
                <w:tcPr>
                  <w:tcW w:w="1317"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bl>
          <w:p>
            <w:p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7、公用工程</w:t>
            </w:r>
          </w:p>
          <w:p>
            <w:pPr>
              <w:spacing w:line="360" w:lineRule="auto"/>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7.1供电</w:t>
            </w:r>
          </w:p>
          <w:p>
            <w:pPr>
              <w:spacing w:line="360" w:lineRule="auto"/>
              <w:ind w:firstLine="480" w:firstLineChars="200"/>
              <w:rPr>
                <w:b/>
                <w:bCs/>
                <w:color w:val="000000" w:themeColor="text1"/>
                <w:sz w:val="24"/>
                <w14:textFill>
                  <w14:solidFill>
                    <w14:schemeClr w14:val="tx1"/>
                  </w14:solidFill>
                </w14:textFill>
              </w:rPr>
            </w:pPr>
            <w:r>
              <w:rPr>
                <w:rFonts w:hint="eastAsia"/>
                <w:color w:val="000000" w:themeColor="text1"/>
                <w:sz w:val="24"/>
                <w:lang w:val="en-GB"/>
                <w14:textFill>
                  <w14:solidFill>
                    <w14:schemeClr w14:val="tx1"/>
                  </w14:solidFill>
                </w14:textFill>
              </w:rPr>
              <w:t>施工作业由自备柴油发电机供电。</w:t>
            </w:r>
          </w:p>
          <w:p>
            <w:pPr>
              <w:spacing w:line="360" w:lineRule="auto"/>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7.2给、排水</w:t>
            </w:r>
          </w:p>
          <w:p>
            <w:pPr>
              <w:spacing w:line="360" w:lineRule="auto"/>
              <w:ind w:firstLine="480" w:firstLineChars="200"/>
              <w:rPr>
                <w:rFonts w:hint="default" w:ascii="宋体" w:hAnsi="宋体" w:cs="宋体"/>
                <w:color w:val="000000" w:themeColor="text1"/>
                <w:sz w:val="24"/>
                <w:lang w:val="en-US" w:eastAsia="zh-CN"/>
                <w14:textFill>
                  <w14:solidFill>
                    <w14:schemeClr w14:val="tx1"/>
                  </w14:solidFill>
                </w14:textFill>
              </w:rPr>
            </w:pPr>
            <w:r>
              <w:rPr>
                <w:rFonts w:hint="eastAsia" w:ascii="宋体" w:hAnsi="宋体" w:cs="宋体"/>
                <w:color w:val="000000" w:themeColor="text1"/>
                <w:sz w:val="24"/>
                <w:lang w:val="en-US" w:eastAsia="zh-CN"/>
                <w14:textFill>
                  <w14:solidFill>
                    <w14:schemeClr w14:val="tx1"/>
                  </w14:solidFill>
                </w14:textFill>
              </w:rPr>
              <w:t>（1）给水</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项目部</w:t>
            </w:r>
            <w:r>
              <w:rPr>
                <w:rFonts w:hint="eastAsia"/>
                <w:color w:val="000000" w:themeColor="text1"/>
                <w:sz w:val="24"/>
                <w:lang w:val="en-GB"/>
                <w14:textFill>
                  <w14:solidFill>
                    <w14:schemeClr w14:val="tx1"/>
                  </w14:solidFill>
                </w14:textFill>
              </w:rPr>
              <w:t>生活用水依托</w:t>
            </w:r>
            <w:r>
              <w:rPr>
                <w:rFonts w:hint="eastAsia"/>
                <w:color w:val="000000" w:themeColor="text1"/>
                <w:sz w:val="24"/>
                <w14:textFill>
                  <w14:solidFill>
                    <w14:schemeClr w14:val="tx1"/>
                  </w14:solidFill>
                </w14:textFill>
              </w:rPr>
              <w:t>附近</w:t>
            </w:r>
            <w:r>
              <w:rPr>
                <w:rFonts w:hint="eastAsia"/>
                <w:color w:val="000000" w:themeColor="text1"/>
                <w:sz w:val="24"/>
                <w:lang w:val="en-GB"/>
                <w14:textFill>
                  <w14:solidFill>
                    <w14:schemeClr w14:val="tx1"/>
                  </w14:solidFill>
                </w14:textFill>
              </w:rPr>
              <w:t>村庄，钻探施工及生活用水采用水车从附近村庄拉运。</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（2）排水</w:t>
            </w:r>
          </w:p>
          <w:p>
            <w:pPr>
              <w:adjustRightInd w:val="0"/>
              <w:spacing w:line="360" w:lineRule="auto"/>
              <w:ind w:firstLine="480" w:firstLineChars="200"/>
              <w:rPr>
                <w:rFonts w:ascii="Times New Roman" w:hAnsi="Times New Roman" w:cs="Times New Roman"/>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工程废、污水主要为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p>
          <w:p>
            <w:pPr>
              <w:widowControl/>
              <w:autoSpaceDE/>
              <w:autoSpaceDN/>
              <w:spacing w:line="360" w:lineRule="auto"/>
              <w:ind w:firstLine="480" w:firstLineChars="200"/>
              <w:jc w:val="both"/>
              <w:rPr>
                <w:rFonts w:hint="eastAsia"/>
                <w:color w:val="000000" w:themeColor="text1"/>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项目部依托村庄现有旱厕收集生活粪便，生活洗漱污水用于抑尘；钻探施工区生活区设旱厕，生活洗漱污水用于抑尘，</w:t>
            </w:r>
            <w:r>
              <w:rPr>
                <w:rFonts w:hint="eastAsia"/>
                <w:color w:val="000000" w:themeColor="text1"/>
                <w:sz w:val="24"/>
                <w:szCs w:val="24"/>
                <w:lang w:val="en-US" w:eastAsia="zh-CN"/>
                <w14:textFill>
                  <w14:solidFill>
                    <w14:schemeClr w14:val="tx1"/>
                  </w14:solidFill>
                </w14:textFill>
              </w:rPr>
              <w:t>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spacing w:line="360" w:lineRule="auto"/>
              <w:rPr>
                <w:rFonts w:ascii="Times New Roman" w:hAnsi="Times New Roman" w:cs="Times New Roman"/>
                <w:b/>
                <w:color w:val="000000" w:themeColor="text1"/>
                <w:sz w:val="24"/>
                <w:lang w:eastAsia="zh-CN"/>
                <w14:textFill>
                  <w14:solidFill>
                    <w14:schemeClr w14:val="tx1"/>
                  </w14:solidFill>
                </w14:textFill>
              </w:rPr>
            </w:pPr>
            <w:r>
              <w:rPr>
                <w:rFonts w:hint="eastAsia" w:ascii="Times New Roman" w:hAnsi="Times New Roman" w:cs="Times New Roman"/>
                <w:b/>
                <w:color w:val="000000" w:themeColor="text1"/>
                <w:sz w:val="24"/>
                <w:lang w:val="en-US" w:eastAsia="zh-CN"/>
                <w14:textFill>
                  <w14:solidFill>
                    <w14:schemeClr w14:val="tx1"/>
                  </w14:solidFill>
                </w14:textFill>
              </w:rPr>
              <w:t>7</w:t>
            </w:r>
            <w:r>
              <w:rPr>
                <w:rFonts w:ascii="Times New Roman" w:hAnsi="Times New Roman" w:cs="Times New Roman"/>
                <w:b/>
                <w:color w:val="000000" w:themeColor="text1"/>
                <w:sz w:val="24"/>
                <w:lang w:eastAsia="zh-CN"/>
                <w14:textFill>
                  <w14:solidFill>
                    <w14:schemeClr w14:val="tx1"/>
                  </w14:solidFill>
                </w14:textFill>
              </w:rPr>
              <w:t>.3</w:t>
            </w:r>
            <w:r>
              <w:rPr>
                <w:rFonts w:ascii="Times New Roman" w:cs="Times New Roman"/>
                <w:b/>
                <w:color w:val="000000" w:themeColor="text1"/>
                <w:sz w:val="24"/>
                <w:lang w:eastAsia="zh-CN"/>
                <w14:textFill>
                  <w14:solidFill>
                    <w14:schemeClr w14:val="tx1"/>
                  </w14:solidFill>
                </w14:textFill>
              </w:rPr>
              <w:t>采暖</w:t>
            </w:r>
          </w:p>
          <w:p>
            <w:pPr>
              <w:spacing w:line="360" w:lineRule="auto"/>
              <w:ind w:firstLine="480" w:firstLineChars="200"/>
              <w:rPr>
                <w:rFonts w:ascii="Times New Roman" w:cs="Times New Roman"/>
                <w:color w:val="000000" w:themeColor="text1"/>
                <w:sz w:val="24"/>
                <w:lang w:eastAsia="zh-CN"/>
                <w14:textFill>
                  <w14:solidFill>
                    <w14:schemeClr w14:val="tx1"/>
                  </w14:solidFill>
                </w14:textFill>
              </w:rPr>
            </w:pPr>
            <w:r>
              <w:rPr>
                <w:rFonts w:ascii="Times New Roman" w:cs="Times New Roman"/>
                <w:color w:val="000000" w:themeColor="text1"/>
                <w:sz w:val="24"/>
                <w:lang w:eastAsia="zh-CN"/>
                <w14:textFill>
                  <w14:solidFill>
                    <w14:schemeClr w14:val="tx1"/>
                  </w14:solidFill>
                </w14:textFill>
              </w:rPr>
              <w:t>施工营地、项目部均采用电暖气采暖。</w:t>
            </w:r>
          </w:p>
          <w:p>
            <w:pPr>
              <w:spacing w:line="360" w:lineRule="auto"/>
              <w:rPr>
                <w:rFonts w:hint="default" w:ascii="Times New Roman" w:hAnsi="Times New Roman" w:cs="Times New Roman"/>
                <w:b/>
                <w:color w:val="000000" w:themeColor="text1"/>
                <w:sz w:val="24"/>
                <w:lang w:val="en-US" w:eastAsia="zh-CN"/>
                <w14:textFill>
                  <w14:solidFill>
                    <w14:schemeClr w14:val="tx1"/>
                  </w14:solidFill>
                </w14:textFill>
              </w:rPr>
            </w:pPr>
            <w:r>
              <w:rPr>
                <w:rFonts w:hint="eastAsia" w:ascii="Times New Roman" w:hAnsi="Times New Roman" w:cs="Times New Roman"/>
                <w:b/>
                <w:color w:val="000000" w:themeColor="text1"/>
                <w:sz w:val="24"/>
                <w:lang w:val="en-US" w:eastAsia="zh-CN"/>
                <w14:textFill>
                  <w14:solidFill>
                    <w14:schemeClr w14:val="tx1"/>
                  </w14:solidFill>
                </w14:textFill>
              </w:rPr>
              <w:t>7</w:t>
            </w:r>
            <w:r>
              <w:rPr>
                <w:rFonts w:ascii="Times New Roman" w:hAnsi="Times New Roman" w:cs="Times New Roman"/>
                <w:b/>
                <w:color w:val="000000" w:themeColor="text1"/>
                <w:sz w:val="24"/>
                <w:lang w:eastAsia="zh-CN"/>
                <w14:textFill>
                  <w14:solidFill>
                    <w14:schemeClr w14:val="tx1"/>
                  </w14:solidFill>
                </w14:textFill>
              </w:rPr>
              <w:t>.</w:t>
            </w:r>
            <w:r>
              <w:rPr>
                <w:rFonts w:hint="eastAsia" w:ascii="Times New Roman" w:hAnsi="Times New Roman" w:cs="Times New Roman"/>
                <w:b/>
                <w:color w:val="000000" w:themeColor="text1"/>
                <w:sz w:val="24"/>
                <w:lang w:val="en-US" w:eastAsia="zh-CN"/>
                <w14:textFill>
                  <w14:solidFill>
                    <w14:schemeClr w14:val="tx1"/>
                  </w14:solidFill>
                </w14:textFill>
              </w:rPr>
              <w:t>4</w:t>
            </w:r>
            <w:r>
              <w:rPr>
                <w:rFonts w:hint="eastAsia" w:ascii="Times New Roman" w:cs="Times New Roman"/>
                <w:b/>
                <w:color w:val="000000" w:themeColor="text1"/>
                <w:sz w:val="24"/>
                <w:lang w:val="en-US" w:eastAsia="zh-CN"/>
                <w14:textFill>
                  <w14:solidFill>
                    <w14:schemeClr w14:val="tx1"/>
                  </w14:solidFill>
                </w14:textFill>
              </w:rPr>
              <w:t>施工便道</w:t>
            </w:r>
          </w:p>
          <w:p>
            <w:pPr>
              <w:widowControl/>
              <w:autoSpaceDE/>
              <w:autoSpaceDN/>
              <w:spacing w:line="360" w:lineRule="auto"/>
              <w:ind w:firstLine="480" w:firstLineChars="200"/>
              <w:jc w:val="both"/>
              <w:rPr>
                <w:rFonts w:hint="default"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lang w:val="zh-CN" w:eastAsia="zh-CN"/>
                <w14:textFill>
                  <w14:solidFill>
                    <w14:schemeClr w14:val="tx1"/>
                  </w14:solidFill>
                </w14:textFill>
              </w:rPr>
              <w:t>充分利用当地现有公路、村道、居民区通道及农耕道等，</w:t>
            </w:r>
            <w:r>
              <w:rPr>
                <w:rFonts w:hint="eastAsia" w:ascii="宋体" w:hAnsi="宋体" w:eastAsia="宋体" w:cs="宋体"/>
                <w:color w:val="000000" w:themeColor="text1"/>
                <w:sz w:val="24"/>
                <w:szCs w:val="24"/>
                <w:lang w:val="en-US" w:eastAsia="zh-CN"/>
                <w14:textFill>
                  <w14:solidFill>
                    <w14:schemeClr w14:val="tx1"/>
                  </w14:solidFill>
                </w14:textFill>
              </w:rPr>
              <w:t>钻探设备及车辆基本可直接可抵达，无需修建施工便道。</w:t>
            </w:r>
          </w:p>
          <w:p>
            <w:p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8、</w:t>
            </w:r>
            <w:r>
              <w:rPr>
                <w:rFonts w:hint="eastAsia" w:eastAsia="黑体"/>
                <w:color w:val="000000" w:themeColor="text1"/>
                <w:sz w:val="24"/>
                <w:lang w:val="en-US" w:eastAsia="zh-CN"/>
                <w14:textFill>
                  <w14:solidFill>
                    <w14:schemeClr w14:val="tx1"/>
                  </w14:solidFill>
                </w14:textFill>
              </w:rPr>
              <w:t>劳动</w:t>
            </w:r>
            <w:r>
              <w:rPr>
                <w:rFonts w:hint="eastAsia" w:eastAsia="黑体"/>
                <w:color w:val="000000" w:themeColor="text1"/>
                <w:sz w:val="24"/>
                <w14:textFill>
                  <w14:solidFill>
                    <w14:schemeClr w14:val="tx1"/>
                  </w14:solidFill>
                </w14:textFill>
              </w:rPr>
              <w:t>定员与工作制度</w:t>
            </w:r>
          </w:p>
          <w:p>
            <w:pPr>
              <w:spacing w:line="360" w:lineRule="auto"/>
              <w:ind w:firstLine="480" w:firstLineChars="200"/>
              <w:rPr>
                <w:rFonts w:hint="eastAsia" w:ascii="Times New Roman" w:hAnsi="Times New Roman" w:eastAsia="宋体" w:cs="Times New Roman"/>
                <w:color w:val="000000" w:themeColor="text1"/>
                <w:sz w:val="24"/>
                <w:lang w:val="en-GB" w:eastAsia="zh-CN"/>
                <w14:textFill>
                  <w14:solidFill>
                    <w14:schemeClr w14:val="tx1"/>
                  </w14:solidFill>
                </w14:textFill>
              </w:rPr>
            </w:pPr>
            <w:r>
              <w:rPr>
                <w:rFonts w:hint="eastAsia" w:ascii="Times New Roman" w:hAnsi="Times New Roman" w:eastAsia="宋体" w:cs="Times New Roman"/>
                <w:color w:val="000000" w:themeColor="text1"/>
                <w:sz w:val="24"/>
                <w:lang w:val="en-GB" w:eastAsia="zh-CN"/>
                <w14:textFill>
                  <w14:solidFill>
                    <w14:schemeClr w14:val="tx1"/>
                  </w14:solidFill>
                </w14:textFill>
              </w:rPr>
              <w:t>（1）劳动定员</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本次</w:t>
            </w:r>
            <w:r>
              <w:rPr>
                <w:rFonts w:hint="eastAsia"/>
                <w:color w:val="000000" w:themeColor="text1"/>
                <w:sz w:val="24"/>
                <w:lang w:eastAsia="zh-CN"/>
                <w14:textFill>
                  <w14:solidFill>
                    <w14:schemeClr w14:val="tx1"/>
                  </w14:solidFill>
                </w14:textFill>
              </w:rPr>
              <w:t>勘查</w:t>
            </w:r>
            <w:r>
              <w:rPr>
                <w:rFonts w:hint="eastAsia"/>
                <w:color w:val="000000" w:themeColor="text1"/>
                <w:sz w:val="24"/>
                <w14:textFill>
                  <w14:solidFill>
                    <w14:schemeClr w14:val="tx1"/>
                  </w14:solidFill>
                </w14:textFill>
              </w:rPr>
              <w:t>工作</w:t>
            </w:r>
            <w:r>
              <w:rPr>
                <w:rFonts w:hint="eastAsia"/>
                <w:color w:val="000000" w:themeColor="text1"/>
                <w:sz w:val="24"/>
                <w:szCs w:val="24"/>
                <w:lang w:val="en-US" w:eastAsia="zh-CN"/>
                <w14:textFill>
                  <w14:solidFill>
                    <w14:schemeClr w14:val="tx1"/>
                  </w14:solidFill>
                </w14:textFill>
              </w:rPr>
              <w:t>劳动定员</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50</w:t>
            </w:r>
            <w:r>
              <w:rPr>
                <w:rFonts w:hint="eastAsia"/>
                <w:color w:val="000000" w:themeColor="text1"/>
                <w:sz w:val="24"/>
                <w14:textFill>
                  <w14:solidFill>
                    <w14:schemeClr w14:val="tx1"/>
                  </w14:solidFill>
                </w14:textFill>
              </w:rPr>
              <w:t>人</w:t>
            </w:r>
            <w:r>
              <w:rPr>
                <w:rFonts w:hint="eastAsia"/>
                <w:color w:val="000000" w:themeColor="text1"/>
                <w:sz w:val="24"/>
                <w:lang w:eastAsia="zh-CN"/>
                <w14:textFill>
                  <w14:solidFill>
                    <w14:schemeClr w14:val="tx1"/>
                  </w14:solidFill>
                </w14:textFill>
              </w:rPr>
              <w:t>。</w:t>
            </w:r>
          </w:p>
          <w:p>
            <w:pPr>
              <w:spacing w:line="360" w:lineRule="auto"/>
              <w:ind w:firstLine="480" w:firstLineChars="200"/>
              <w:rPr>
                <w:rFonts w:hint="eastAsia"/>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（2）工作制度</w:t>
            </w:r>
          </w:p>
          <w:p>
            <w:pPr>
              <w:spacing w:line="360" w:lineRule="auto"/>
              <w:ind w:firstLine="480" w:firstLineChars="200"/>
              <w:rPr>
                <w:rFonts w:hint="eastAsia"/>
                <w:color w:val="000000" w:themeColor="text1"/>
                <w:sz w:val="24"/>
                <w:lang w:val="en-GB" w:eastAsia="zh-CN"/>
                <w14:textFill>
                  <w14:solidFill>
                    <w14:schemeClr w14:val="tx1"/>
                  </w14:solidFill>
                </w14:textFill>
              </w:rPr>
            </w:pPr>
            <w:r>
              <w:rPr>
                <w:rFonts w:hint="eastAsia"/>
                <w:color w:val="000000" w:themeColor="text1"/>
                <w:sz w:val="24"/>
                <w:lang w:val="en-GB"/>
                <w14:textFill>
                  <w14:solidFill>
                    <w14:schemeClr w14:val="tx1"/>
                  </w14:solidFill>
                </w14:textFill>
              </w:rPr>
              <w:t>工作制度为</w:t>
            </w:r>
            <w:r>
              <w:rPr>
                <w:rFonts w:hint="eastAsia"/>
                <w:color w:val="000000" w:themeColor="text1"/>
                <w:sz w:val="24"/>
                <w:lang w:val="en-GB" w:eastAsia="zh-CN"/>
                <w14:textFill>
                  <w14:solidFill>
                    <w14:schemeClr w14:val="tx1"/>
                  </w14:solidFill>
                </w14:textFill>
              </w:rPr>
              <w:t>三</w:t>
            </w:r>
            <w:r>
              <w:rPr>
                <w:rFonts w:hint="eastAsia"/>
                <w:color w:val="000000" w:themeColor="text1"/>
                <w:sz w:val="24"/>
                <w:lang w:val="en-GB"/>
                <w14:textFill>
                  <w14:solidFill>
                    <w14:schemeClr w14:val="tx1"/>
                  </w14:solidFill>
                </w14:textFill>
              </w:rPr>
              <w:t>班制，每班8h</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年工作天数2</w:t>
            </w:r>
            <w:r>
              <w:rPr>
                <w:rFonts w:hint="eastAsia"/>
                <w:color w:val="000000" w:themeColor="text1"/>
                <w:sz w:val="24"/>
                <w:lang w:val="en-GB" w:eastAsia="zh-CN"/>
                <w14:textFill>
                  <w14:solidFill>
                    <w14:schemeClr w14:val="tx1"/>
                  </w14:solidFill>
                </w14:textFill>
              </w:rPr>
              <w:t>00</w:t>
            </w:r>
            <w:r>
              <w:rPr>
                <w:rFonts w:hint="eastAsia"/>
                <w:color w:val="000000" w:themeColor="text1"/>
                <w:sz w:val="24"/>
                <w:lang w:val="en-GB"/>
                <w14:textFill>
                  <w14:solidFill>
                    <w14:schemeClr w14:val="tx1"/>
                  </w14:solidFill>
                </w14:textFill>
              </w:rPr>
              <w:t>天。</w:t>
            </w:r>
          </w:p>
          <w:p>
            <w:pPr>
              <w:spacing w:line="360" w:lineRule="auto"/>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9、项目组成</w:t>
            </w:r>
          </w:p>
          <w:p>
            <w:pPr>
              <w:spacing w:line="360" w:lineRule="auto"/>
              <w:ind w:firstLine="480" w:firstLineChars="200"/>
              <w:rPr>
                <w:rFonts w:hAnsi="宋体"/>
                <w:color w:val="000000" w:themeColor="text1"/>
                <w:sz w:val="24"/>
                <w:lang w:val="sq-AL"/>
                <w14:textFill>
                  <w14:solidFill>
                    <w14:schemeClr w14:val="tx1"/>
                  </w14:solidFill>
                </w14:textFill>
              </w:rPr>
            </w:pPr>
            <w:r>
              <w:rPr>
                <w:rFonts w:hint="eastAsia" w:hAnsi="宋体"/>
                <w:color w:val="000000" w:themeColor="text1"/>
                <w:sz w:val="24"/>
                <w:lang w:val="sq-AL"/>
                <w14:textFill>
                  <w14:solidFill>
                    <w14:schemeClr w14:val="tx1"/>
                  </w14:solidFill>
                </w14:textFill>
              </w:rPr>
              <w:t>本项目主要建设内容见表</w:t>
            </w:r>
            <w:r>
              <w:rPr>
                <w:rFonts w:hint="eastAsia" w:hAnsi="宋体"/>
                <w:color w:val="000000" w:themeColor="text1"/>
                <w:sz w:val="24"/>
                <w14:textFill>
                  <w14:solidFill>
                    <w14:schemeClr w14:val="tx1"/>
                  </w14:solidFill>
                </w14:textFill>
              </w:rPr>
              <w:t>1</w:t>
            </w:r>
            <w:r>
              <w:rPr>
                <w:rFonts w:hAnsi="宋体"/>
                <w:color w:val="000000" w:themeColor="text1"/>
                <w:sz w:val="24"/>
                <w:lang w:val="sq-AL"/>
                <w14:textFill>
                  <w14:solidFill>
                    <w14:schemeClr w14:val="tx1"/>
                  </w14:solidFill>
                </w14:textFill>
              </w:rPr>
              <w:t>-1</w:t>
            </w:r>
            <w:r>
              <w:rPr>
                <w:rFonts w:hint="eastAsia" w:hAnsi="宋体"/>
                <w:color w:val="000000" w:themeColor="text1"/>
                <w:sz w:val="24"/>
                <w:lang w:val="en-US" w:eastAsia="zh-CN"/>
                <w14:textFill>
                  <w14:solidFill>
                    <w14:schemeClr w14:val="tx1"/>
                  </w14:solidFill>
                </w14:textFill>
              </w:rPr>
              <w:t>4</w:t>
            </w:r>
            <w:r>
              <w:rPr>
                <w:rFonts w:hint="eastAsia" w:hAnsi="宋体"/>
                <w:color w:val="000000" w:themeColor="text1"/>
                <w:sz w:val="24"/>
                <w:lang w:val="sq-AL"/>
                <w14:textFill>
                  <w14:solidFill>
                    <w14:schemeClr w14:val="tx1"/>
                  </w14:solidFill>
                </w14:textFill>
              </w:rPr>
              <w:t>。</w:t>
            </w:r>
          </w:p>
          <w:p>
            <w:pPr>
              <w:jc w:val="center"/>
              <w:rPr>
                <w:rFonts w:hint="eastAsia" w:hAnsi="宋体"/>
                <w:color w:val="000000" w:themeColor="text1"/>
                <w:sz w:val="24"/>
                <w14:textFill>
                  <w14:solidFill>
                    <w14:schemeClr w14:val="tx1"/>
                  </w14:solidFill>
                </w14:textFill>
              </w:rPr>
            </w:pPr>
            <w:r>
              <w:rPr>
                <w:rFonts w:hint="eastAsia" w:hAnsi="宋体"/>
                <w:color w:val="000000" w:themeColor="text1"/>
                <w:sz w:val="24"/>
                <w14:textFill>
                  <w14:solidFill>
                    <w14:schemeClr w14:val="tx1"/>
                  </w14:solidFill>
                </w14:textFill>
              </w:rPr>
              <w:t>表1-1</w:t>
            </w:r>
            <w:r>
              <w:rPr>
                <w:rFonts w:hint="eastAsia" w:hAnsi="宋体"/>
                <w:color w:val="000000" w:themeColor="text1"/>
                <w:sz w:val="24"/>
                <w:lang w:val="en-US" w:eastAsia="zh-CN"/>
                <w14:textFill>
                  <w14:solidFill>
                    <w14:schemeClr w14:val="tx1"/>
                  </w14:solidFill>
                </w14:textFill>
              </w:rPr>
              <w:t>4</w:t>
            </w:r>
            <w:r>
              <w:rPr>
                <w:rFonts w:hint="eastAsia" w:hAnsi="宋体"/>
                <w:color w:val="000000" w:themeColor="text1"/>
                <w:sz w:val="24"/>
                <w14:textFill>
                  <w14:solidFill>
                    <w14:schemeClr w14:val="tx1"/>
                  </w14:solidFill>
                </w14:textFill>
              </w:rPr>
              <w:t xml:space="preserve">  项目组成一览表</w:t>
            </w:r>
          </w:p>
          <w:tbl>
            <w:tblPr>
              <w:tblStyle w:val="12"/>
              <w:tblW w:w="4994"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1077"/>
              <w:gridCol w:w="1664"/>
              <w:gridCol w:w="696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85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工程名称</w:t>
                  </w:r>
                </w:p>
              </w:tc>
              <w:tc>
                <w:tcPr>
                  <w:tcW w:w="3586"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工程内容及规模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612" w:hRule="atLeast"/>
                <w:jc w:val="center"/>
              </w:trPr>
              <w:tc>
                <w:tcPr>
                  <w:tcW w:w="555"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主体</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5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钻探工程</w:t>
                  </w:r>
                </w:p>
              </w:tc>
              <w:tc>
                <w:tcPr>
                  <w:tcW w:w="3586"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202</w:t>
                  </w: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年钻探工程量</w:t>
                  </w:r>
                  <w:r>
                    <w:rPr>
                      <w:rFonts w:hint="eastAsia"/>
                      <w:color w:val="000000" w:themeColor="text1"/>
                      <w:szCs w:val="21"/>
                      <w14:textFill>
                        <w14:solidFill>
                          <w14:schemeClr w14:val="tx1"/>
                        </w14:solidFill>
                      </w14:textFill>
                    </w:rPr>
                    <w:t>28</w:t>
                  </w:r>
                  <w:r>
                    <w:rPr>
                      <w:color w:val="000000" w:themeColor="text1"/>
                      <w:szCs w:val="21"/>
                      <w14:textFill>
                        <w14:solidFill>
                          <w14:schemeClr w14:val="tx1"/>
                        </w14:solidFill>
                      </w14:textFill>
                    </w:rPr>
                    <w:t>000m</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拟设钻孔46个；</w:t>
                  </w:r>
                </w:p>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202</w:t>
                  </w:r>
                  <w:r>
                    <w:rPr>
                      <w:rFonts w:hint="eastAsia"/>
                      <w:color w:val="000000" w:themeColor="text1"/>
                      <w:szCs w:val="21"/>
                      <w14:textFill>
                        <w14:solidFill>
                          <w14:schemeClr w14:val="tx1"/>
                        </w14:solidFill>
                      </w14:textFill>
                    </w:rPr>
                    <w:t>3</w:t>
                  </w:r>
                  <w:r>
                    <w:rPr>
                      <w:rFonts w:hint="eastAsia"/>
                      <w:color w:val="000000" w:themeColor="text1"/>
                      <w:szCs w:val="21"/>
                      <w:lang w:val="en-US" w:eastAsia="zh-CN"/>
                      <w14:textFill>
                        <w14:solidFill>
                          <w14:schemeClr w14:val="tx1"/>
                        </w14:solidFill>
                      </w14:textFill>
                    </w:rPr>
                    <w:t>-2026</w:t>
                  </w:r>
                  <w:r>
                    <w:rPr>
                      <w:color w:val="000000" w:themeColor="text1"/>
                      <w:szCs w:val="21"/>
                      <w14:textFill>
                        <w14:solidFill>
                          <w14:schemeClr w14:val="tx1"/>
                        </w14:solidFill>
                      </w14:textFill>
                    </w:rPr>
                    <w:t>年</w:t>
                  </w:r>
                  <w:r>
                    <w:rPr>
                      <w:rFonts w:hint="eastAsia"/>
                      <w:color w:val="000000" w:themeColor="text1"/>
                      <w:szCs w:val="21"/>
                      <w:lang w:val="en-US" w:eastAsia="zh-CN"/>
                      <w14:textFill>
                        <w14:solidFill>
                          <w14:schemeClr w14:val="tx1"/>
                        </w14:solidFill>
                      </w14:textFill>
                    </w:rPr>
                    <w:t>预估</w:t>
                  </w:r>
                  <w:r>
                    <w:rPr>
                      <w:color w:val="000000" w:themeColor="text1"/>
                      <w:szCs w:val="21"/>
                      <w14:textFill>
                        <w14:solidFill>
                          <w14:schemeClr w14:val="tx1"/>
                        </w14:solidFill>
                      </w14:textFill>
                    </w:rPr>
                    <w:t>钻探工程量</w:t>
                  </w:r>
                  <w:r>
                    <w:rPr>
                      <w:rFonts w:hint="eastAsia"/>
                      <w:color w:val="000000" w:themeColor="text1"/>
                      <w:szCs w:val="21"/>
                      <w:lang w:val="en-US" w:eastAsia="zh-CN"/>
                      <w14:textFill>
                        <w14:solidFill>
                          <w14:schemeClr w14:val="tx1"/>
                        </w14:solidFill>
                      </w14:textFill>
                    </w:rPr>
                    <w:t>148000</w:t>
                  </w:r>
                  <w:r>
                    <w:rPr>
                      <w:color w:val="000000" w:themeColor="text1"/>
                      <w:szCs w:val="21"/>
                      <w14:textFill>
                        <w14:solidFill>
                          <w14:schemeClr w14:val="tx1"/>
                        </w14:solidFill>
                      </w14:textFill>
                    </w:rPr>
                    <w:t>m</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拟设钻孔</w:t>
                  </w:r>
                  <w:r>
                    <w:rPr>
                      <w:rFonts w:hint="eastAsia"/>
                      <w:color w:val="000000" w:themeColor="text1"/>
                      <w:szCs w:val="21"/>
                      <w:lang w:val="en-US" w:eastAsia="zh-CN"/>
                      <w14:textFill>
                        <w14:solidFill>
                          <w14:schemeClr w14:val="tx1"/>
                        </w14:solidFill>
                      </w14:textFill>
                    </w:rPr>
                    <w:t>238</w:t>
                  </w:r>
                  <w:r>
                    <w:rPr>
                      <w:rFonts w:hint="eastAsia"/>
                      <w:color w:val="000000" w:themeColor="text1"/>
                      <w:szCs w:val="21"/>
                      <w14:textFill>
                        <w14:solidFill>
                          <w14:schemeClr w14:val="tx1"/>
                        </w14:solidFill>
                      </w14:textFill>
                    </w:rPr>
                    <w:t>个；</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57"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样品采集及化验</w:t>
                  </w:r>
                </w:p>
              </w:tc>
              <w:tc>
                <w:tcPr>
                  <w:tcW w:w="3586" w:type="pct"/>
                  <w:tcBorders>
                    <w:tl2br w:val="nil"/>
                    <w:tr2bl w:val="nil"/>
                  </w:tcBorders>
                  <w:vAlign w:val="center"/>
                </w:tcPr>
                <w:p>
                  <w:pPr>
                    <w:contextualSpacing/>
                    <w:rPr>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岩矿芯样品、岩矿鉴定标本制作光、薄片样</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辅助</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5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钻井井场</w:t>
                  </w:r>
                </w:p>
              </w:tc>
              <w:tc>
                <w:tcPr>
                  <w:tcW w:w="3586" w:type="pct"/>
                  <w:tcBorders>
                    <w:tl2br w:val="nil"/>
                    <w:tr2bl w:val="nil"/>
                  </w:tcBorders>
                  <w:vAlign w:val="center"/>
                </w:tcPr>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井场布置钻井、泥浆机、钻具区、发电机、生活帐篷、油料储存区等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continue"/>
                  <w:tcBorders>
                    <w:tl2br w:val="nil"/>
                    <w:tr2bl w:val="nil"/>
                  </w:tcBorders>
                  <w:vAlign w:val="center"/>
                </w:tcPr>
                <w:p>
                  <w:pPr>
                    <w:adjustRightInd w:val="0"/>
                    <w:snapToGrid w:val="0"/>
                    <w:jc w:val="center"/>
                    <w:rPr>
                      <w:color w:val="000000" w:themeColor="text1"/>
                      <w:szCs w:val="21"/>
                      <w14:textFill>
                        <w14:solidFill>
                          <w14:schemeClr w14:val="tx1"/>
                        </w14:solidFill>
                      </w14:textFill>
                    </w:rPr>
                  </w:pPr>
                </w:p>
              </w:tc>
              <w:tc>
                <w:tcPr>
                  <w:tcW w:w="85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w:t>
                  </w:r>
                </w:p>
              </w:tc>
              <w:tc>
                <w:tcPr>
                  <w:tcW w:w="3586" w:type="pct"/>
                  <w:tcBorders>
                    <w:tl2br w:val="nil"/>
                    <w:tr2bl w:val="nil"/>
                  </w:tcBorders>
                  <w:vAlign w:val="center"/>
                </w:tcPr>
                <w:p>
                  <w:pPr>
                    <w:widowControl/>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在每个勘查区块设一个项目部，</w:t>
                  </w:r>
                  <w:r>
                    <w:rPr>
                      <w:color w:val="000000" w:themeColor="text1"/>
                      <w:szCs w:val="21"/>
                      <w14:textFill>
                        <w14:solidFill>
                          <w14:schemeClr w14:val="tx1"/>
                        </w14:solidFill>
                      </w14:textFill>
                    </w:rPr>
                    <w:t>主要租用附近村庄居民房屋</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公用</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5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供水</w:t>
                  </w:r>
                </w:p>
              </w:tc>
              <w:tc>
                <w:tcPr>
                  <w:tcW w:w="3586"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项目部生活用水依托所在村庄，钻探施工及生活用水采用水车从附近村庄拉运</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5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供电</w:t>
                  </w:r>
                </w:p>
              </w:tc>
              <w:tc>
                <w:tcPr>
                  <w:tcW w:w="3586"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施工作业由自备柴油发电机供电</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57" w:type="pct"/>
                  <w:tcBorders>
                    <w:tl2br w:val="nil"/>
                    <w:tr2bl w:val="nil"/>
                  </w:tcBorders>
                  <w:vAlign w:val="center"/>
                </w:tcPr>
                <w:p>
                  <w:pPr>
                    <w:adjustRightInd w:val="0"/>
                    <w:snapToGrid w:val="0"/>
                    <w:jc w:val="center"/>
                    <w:rPr>
                      <w:rFonts w:hint="eastAsia"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施工便道</w:t>
                  </w:r>
                </w:p>
              </w:tc>
              <w:tc>
                <w:tcPr>
                  <w:tcW w:w="3586" w:type="pct"/>
                  <w:tcBorders>
                    <w:tl2br w:val="nil"/>
                    <w:tr2bl w:val="nil"/>
                  </w:tcBorders>
                  <w:vAlign w:val="center"/>
                </w:tcPr>
                <w:p>
                  <w:pPr>
                    <w:adjustRightInd w:val="0"/>
                    <w:snapToGrid w:val="0"/>
                    <w:rPr>
                      <w:rFonts w:hint="eastAsia" w:ascii="宋体" w:hAnsi="宋体" w:eastAsia="宋体" w:cs="宋体"/>
                      <w:color w:val="000000" w:themeColor="text1"/>
                      <w:kern w:val="2"/>
                      <w:sz w:val="21"/>
                      <w:szCs w:val="21"/>
                      <w:lang w:val="en-US" w:eastAsia="zh-CN" w:bidi="ar-SA"/>
                      <w14:textFill>
                        <w14:solidFill>
                          <w14:schemeClr w14:val="tx1"/>
                        </w14:solidFill>
                      </w14:textFill>
                    </w:rPr>
                  </w:pPr>
                  <w:r>
                    <w:rPr>
                      <w:rFonts w:hint="eastAsia" w:ascii="宋体" w:hAnsi="宋体" w:eastAsia="宋体" w:cs="宋体"/>
                      <w:color w:val="000000" w:themeColor="text1"/>
                      <w:szCs w:val="21"/>
                      <w:lang w:val="zh-CN" w:eastAsia="zh-CN"/>
                      <w14:textFill>
                        <w14:solidFill>
                          <w14:schemeClr w14:val="tx1"/>
                        </w14:solidFill>
                      </w14:textFill>
                    </w:rPr>
                    <w:t>充分利用当地现有公路、村道、居民区通道及农耕道等，</w:t>
                  </w:r>
                  <w:r>
                    <w:rPr>
                      <w:rFonts w:hint="eastAsia" w:ascii="宋体" w:hAnsi="宋体" w:eastAsia="宋体" w:cs="宋体"/>
                      <w:color w:val="000000" w:themeColor="text1"/>
                      <w:szCs w:val="21"/>
                      <w:lang w:val="en-US" w:eastAsia="zh-CN"/>
                      <w14:textFill>
                        <w14:solidFill>
                          <w14:schemeClr w14:val="tx1"/>
                        </w14:solidFill>
                      </w14:textFill>
                    </w:rPr>
                    <w:t>钻探设备及车辆基本可直接可抵达，无需修建施工便道</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环保</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5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3586"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施工扬尘采用洒水抑尘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5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废水</w:t>
                  </w:r>
                </w:p>
              </w:tc>
              <w:tc>
                <w:tcPr>
                  <w:tcW w:w="3586"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项目部依托村庄现有旱厕收集生活粪便，生活洗漱污水用于抑尘；钻探施工区生活区设</w:t>
                  </w:r>
                  <w:r>
                    <w:rPr>
                      <w:rFonts w:hint="eastAsia"/>
                      <w:color w:val="000000" w:themeColor="text1"/>
                      <w:szCs w:val="21"/>
                      <w14:textFill>
                        <w14:solidFill>
                          <w14:schemeClr w14:val="tx1"/>
                        </w14:solidFill>
                      </w14:textFill>
                    </w:rPr>
                    <w:t>旱厕</w:t>
                  </w:r>
                  <w:r>
                    <w:rPr>
                      <w:color w:val="000000" w:themeColor="text1"/>
                      <w:szCs w:val="21"/>
                      <w14:textFill>
                        <w14:solidFill>
                          <w14:schemeClr w14:val="tx1"/>
                        </w14:solidFill>
                      </w14:textFill>
                    </w:rPr>
                    <w:t>，生活洗漱污水用于抑尘</w:t>
                  </w:r>
                  <w:r>
                    <w:rPr>
                      <w:rFonts w:hint="eastAsia"/>
                      <w:color w:val="000000" w:themeColor="text1"/>
                      <w:szCs w:val="21"/>
                      <w14:textFill>
                        <w14:solidFill>
                          <w14:schemeClr w14:val="tx1"/>
                        </w14:solidFill>
                      </w14:textFill>
                    </w:rPr>
                    <w:t>；</w:t>
                  </w:r>
                </w:p>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钻井泥浆池中的上清液循环使用，过程需补充一定消耗水量，废水全部循环，不外排。设备冲洗废水进入泥浆池沉淀自然干化，不外排</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5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3586"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选用低噪声设备，设备减振处理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5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固废</w:t>
                  </w:r>
                </w:p>
              </w:tc>
              <w:tc>
                <w:tcPr>
                  <w:tcW w:w="3586" w:type="pct"/>
                  <w:tcBorders>
                    <w:tl2br w:val="nil"/>
                    <w:tr2bl w:val="nil"/>
                  </w:tcBorders>
                  <w:vAlign w:val="center"/>
                </w:tcPr>
                <w:p>
                  <w:pPr>
                    <w:widowControl/>
                    <w:rPr>
                      <w:color w:val="000000" w:themeColor="text1"/>
                      <w:szCs w:val="21"/>
                      <w:lang w:bidi="ar"/>
                      <w14:textFill>
                        <w14:solidFill>
                          <w14:schemeClr w14:val="tx1"/>
                        </w14:solidFill>
                      </w14:textFill>
                    </w:rPr>
                  </w:pPr>
                  <w:r>
                    <w:rPr>
                      <w:rFonts w:hint="eastAsia"/>
                      <w:color w:val="000000" w:themeColor="text1"/>
                      <w:szCs w:val="21"/>
                      <w:lang w:eastAsia="zh-CN"/>
                      <w14:textFill>
                        <w14:solidFill>
                          <w14:schemeClr w14:val="tx1"/>
                        </w14:solidFill>
                      </w14:textFill>
                    </w:rPr>
                    <w:t>钻探勘查区生活垃圾</w:t>
                  </w:r>
                  <w:r>
                    <w:rPr>
                      <w:color w:val="000000" w:themeColor="text1"/>
                      <w:szCs w:val="21"/>
                      <w14:textFill>
                        <w14:solidFill>
                          <w14:schemeClr w14:val="tx1"/>
                        </w14:solidFill>
                      </w14:textFill>
                    </w:rPr>
                    <w:t>用垃圾袋带回项目部，项目部垃圾采用垃圾桶分类集中收集，由环卫部门清理处置；非矿段岩芯填埋，矿段岩芯放置在岩芯库内</w:t>
                  </w:r>
                  <w:r>
                    <w:rPr>
                      <w:rFonts w:hint="eastAsia"/>
                      <w:color w:val="000000" w:themeColor="text1"/>
                      <w:szCs w:val="21"/>
                      <w14:textFill>
                        <w14:solidFill>
                          <w14:schemeClr w14:val="tx1"/>
                        </w14:solidFill>
                      </w14:textFill>
                    </w:rPr>
                    <w:t>，后期</w:t>
                  </w:r>
                  <w:r>
                    <w:rPr>
                      <w:color w:val="000000" w:themeColor="text1"/>
                      <w:szCs w:val="21"/>
                      <w14:textFill>
                        <w14:solidFill>
                          <w14:schemeClr w14:val="tx1"/>
                        </w14:solidFill>
                      </w14:textFill>
                    </w:rPr>
                    <w:t>带回分析、化验。钻孔过程中产生的泥浆进入泥浆池内，待钻孔结束泥浆干化处置，将泥浆池覆土绿化恢复</w:t>
                  </w:r>
                  <w:r>
                    <w:rPr>
                      <w:rFonts w:hint="eastAsia"/>
                      <w:color w:val="000000" w:themeColor="text1"/>
                      <w:szCs w:val="21"/>
                      <w14:textFill>
                        <w14:solidFill>
                          <w14:schemeClr w14:val="tx1"/>
                        </w14:solidFill>
                      </w14:textFill>
                    </w:rPr>
                    <w:t>；废机油收集于专用收集桶，交有资质单位进行处置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57" w:type="pct"/>
                  <w:tcBorders>
                    <w:tl2br w:val="nil"/>
                    <w:tr2bl w:val="nil"/>
                  </w:tcBorders>
                  <w:vAlign w:val="center"/>
                </w:tcPr>
                <w:p>
                  <w:pPr>
                    <w:ind w:right="-67" w:rightChars="-32"/>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生态保护与恢复</w:t>
                  </w:r>
                </w:p>
              </w:tc>
              <w:tc>
                <w:tcPr>
                  <w:tcW w:w="3586" w:type="pct"/>
                  <w:tcBorders>
                    <w:tl2br w:val="nil"/>
                    <w:tr2bl w:val="nil"/>
                  </w:tcBorders>
                  <w:vAlign w:val="center"/>
                </w:tcPr>
                <w:p>
                  <w:pPr>
                    <w:pStyle w:val="17"/>
                    <w:jc w:val="both"/>
                    <w:rPr>
                      <w:rFonts w:ascii="Times New Roman" w:hAnsi="Times New Roman" w:cs="Times New Roman"/>
                      <w:color w:val="000000" w:themeColor="text1"/>
                      <w:sz w:val="21"/>
                      <w:szCs w:val="21"/>
                      <w14:textFill>
                        <w14:solidFill>
                          <w14:schemeClr w14:val="tx1"/>
                        </w14:solidFill>
                      </w14:textFill>
                    </w:rPr>
                  </w:pPr>
                  <w:r>
                    <w:rPr>
                      <w:rFonts w:hint="eastAsia" w:hAnsi="宋体"/>
                      <w:color w:val="000000" w:themeColor="text1"/>
                      <w:sz w:val="21"/>
                      <w:szCs w:val="21"/>
                      <w14:textFill>
                        <w14:solidFill>
                          <w14:schemeClr w14:val="tx1"/>
                        </w14:solidFill>
                      </w14:textFill>
                    </w:rPr>
                    <w:t>①</w:t>
                  </w:r>
                  <w:r>
                    <w:rPr>
                      <w:rFonts w:ascii="Times New Roman" w:hAnsi="Times New Roman" w:cs="Times New Roman"/>
                      <w:color w:val="000000" w:themeColor="text1"/>
                      <w:sz w:val="21"/>
                      <w:szCs w:val="21"/>
                      <w14:textFill>
                        <w14:solidFill>
                          <w14:schemeClr w14:val="tx1"/>
                        </w14:solidFill>
                      </w14:textFill>
                    </w:rPr>
                    <w:t>钻探施工作业前，剥离表土集中堆放拍实、采取必要的遮盖，作为钻探施工结束后复垦土源。</w:t>
                  </w:r>
                  <w:r>
                    <w:rPr>
                      <w:rFonts w:hint="eastAsia" w:hAnsi="宋体"/>
                      <w:color w:val="000000" w:themeColor="text1"/>
                      <w:sz w:val="21"/>
                      <w:szCs w:val="21"/>
                      <w14:textFill>
                        <w14:solidFill>
                          <w14:schemeClr w14:val="tx1"/>
                        </w14:solidFill>
                      </w14:textFill>
                    </w:rPr>
                    <w:t>②</w:t>
                  </w:r>
                  <w:r>
                    <w:rPr>
                      <w:rFonts w:ascii="Times New Roman" w:hAnsi="Times New Roman" w:cs="Times New Roman"/>
                      <w:color w:val="000000" w:themeColor="text1"/>
                      <w:sz w:val="21"/>
                      <w:szCs w:val="21"/>
                      <w14:textFill>
                        <w14:solidFill>
                          <w14:schemeClr w14:val="tx1"/>
                        </w14:solidFill>
                      </w14:textFill>
                    </w:rPr>
                    <w:t>钻探施工结束后，拆除钻井井架、平整钻井平台等迹地清理，覆土（利用施工前剥离土壤），再恢复植被；泥浆池覆土掩埋，再恢复植被</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55"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57" w:type="pct"/>
                  <w:tcBorders>
                    <w:tl2br w:val="nil"/>
                    <w:tr2bl w:val="nil"/>
                  </w:tcBorders>
                  <w:vAlign w:val="top"/>
                </w:tcPr>
                <w:p>
                  <w:pPr>
                    <w:jc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辐射</w:t>
                  </w:r>
                  <w:r>
                    <w:rPr>
                      <w:rFonts w:hint="default" w:ascii="Times New Roman" w:hAnsi="Times New Roman" w:cs="Times New Roman"/>
                      <w:color w:val="000000" w:themeColor="text1"/>
                      <w:sz w:val="21"/>
                      <w:szCs w:val="21"/>
                      <w:lang w:val="en-US" w:eastAsia="zh-CN"/>
                      <w14:textFill>
                        <w14:solidFill>
                          <w14:schemeClr w14:val="tx1"/>
                        </w14:solidFill>
                      </w14:textFill>
                    </w:rPr>
                    <w:t>环境保护措施</w:t>
                  </w:r>
                </w:p>
              </w:tc>
              <w:tc>
                <w:tcPr>
                  <w:tcW w:w="3586" w:type="pct"/>
                  <w:tcBorders>
                    <w:tl2br w:val="nil"/>
                    <w:tr2bl w:val="nil"/>
                  </w:tcBorders>
                  <w:vAlign w:val="top"/>
                </w:tcPr>
                <w:p>
                  <w:pP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配备γ辐射剂量率监测仪器，钻探施工前和施工结束后分别对钻探场地以及周边环境进行天然贯穿辐射剂量率监测</w:t>
                  </w:r>
                </w:p>
              </w:tc>
            </w:tr>
          </w:tbl>
          <w:p>
            <w:pPr>
              <w:pStyle w:val="19"/>
              <w:keepNext w:val="0"/>
              <w:keepLines w:val="0"/>
              <w:pageBreakBefore w:val="0"/>
              <w:widowControl w:val="0"/>
              <w:kinsoku/>
              <w:wordWrap/>
              <w:overflowPunct/>
              <w:topLinePunct w:val="0"/>
              <w:autoSpaceDE w:val="0"/>
              <w:autoSpaceDN w:val="0"/>
              <w:bidi w:val="0"/>
              <w:adjustRightInd/>
              <w:snapToGrid/>
              <w:spacing w:before="0" w:line="360" w:lineRule="auto"/>
              <w:ind w:left="0" w:leftChars="0" w:firstLine="0" w:firstLineChars="0"/>
              <w:jc w:val="both"/>
              <w:textAlignment w:val="auto"/>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eastAsia" w:ascii="Times New Roman" w:hAnsi="Times New Roman" w:cs="Times New Roman"/>
                <w:color w:val="000000" w:themeColor="text1"/>
                <w:sz w:val="24"/>
                <w:szCs w:val="24"/>
                <w:lang w:val="en-US" w:eastAsia="zh-CN"/>
                <w14:textFill>
                  <w14:solidFill>
                    <w14:schemeClr w14:val="tx1"/>
                  </w14:solidFill>
                </w14:textFill>
              </w:rPr>
              <w:t>10、</w:t>
            </w:r>
            <w:r>
              <w:rPr>
                <w:rFonts w:hint="default" w:ascii="Times New Roman" w:hAnsi="Times New Roman" w:cs="Times New Roman"/>
                <w:b/>
                <w:bCs/>
                <w:color w:val="000000" w:themeColor="text1"/>
                <w:sz w:val="24"/>
                <w:szCs w:val="24"/>
                <w:lang w:val="en-US" w:eastAsia="zh-CN"/>
                <w14:textFill>
                  <w14:solidFill>
                    <w14:schemeClr w14:val="tx1"/>
                  </w14:solidFill>
                </w14:textFill>
              </w:rPr>
              <w:t>评价等级及范围</w:t>
            </w:r>
          </w:p>
          <w:p>
            <w:pPr>
              <w:pStyle w:val="2"/>
              <w:spacing w:line="360" w:lineRule="auto"/>
              <w:ind w:firstLine="480" w:firstLineChars="200"/>
              <w:rPr>
                <w:rFonts w:hint="eastAsia" w:hAnsi="宋体"/>
                <w:color w:val="000000" w:themeColor="text1"/>
                <w:sz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通过识别该项目施工过程中可能产生的污染因子</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六、建设工程分析</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，结合各环境要素的评价工作分级判据，进行了本项目的评价工作分级，并确定了相关的评价范围，详细判定过程见“</w:t>
            </w:r>
            <w:r>
              <w:rPr>
                <w:rFonts w:hint="eastAsia" w:ascii="Times New Roman" w:hAnsi="Times New Roman" w:cs="Times New Roman"/>
                <w:color w:val="000000" w:themeColor="text1"/>
                <w:sz w:val="24"/>
                <w:szCs w:val="24"/>
                <w:lang w:val="en-US" w:eastAsia="zh-CN"/>
                <w14:textFill>
                  <w14:solidFill>
                    <w14:schemeClr w14:val="tx1"/>
                  </w14:solidFill>
                </w14:textFill>
              </w:rPr>
              <w:t>八、</w:t>
            </w:r>
            <w:r>
              <w:rPr>
                <w:rFonts w:hint="default" w:ascii="Times New Roman" w:hAnsi="Times New Roman" w:cs="Times New Roman"/>
                <w:color w:val="000000" w:themeColor="text1"/>
                <w:sz w:val="24"/>
                <w:szCs w:val="24"/>
                <w14:textFill>
                  <w14:solidFill>
                    <w14:schemeClr w14:val="tx1"/>
                  </w14:solidFill>
                </w14:textFill>
              </w:rPr>
              <w:t>环境影响分析”，此处简述如下：</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1</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大气</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ascii="Times New Roman" w:cs="Times New Roman"/>
                <w:color w:val="000000" w:themeColor="text1"/>
                <w:sz w:val="24"/>
                <w:szCs w:val="24"/>
                <w:lang w:eastAsia="zh-CN"/>
                <w14:textFill>
                  <w14:solidFill>
                    <w14:schemeClr w14:val="tx1"/>
                  </w14:solidFill>
                </w14:textFill>
              </w:rPr>
              <w:t>根据</w:t>
            </w:r>
            <w:r>
              <w:rPr>
                <w:rFonts w:hint="eastAsia" w:ascii="Times New Roman" w:cs="Times New Roman"/>
                <w:color w:val="000000" w:themeColor="text1"/>
                <w:sz w:val="24"/>
                <w:szCs w:val="24"/>
                <w:lang w:eastAsia="zh-CN"/>
                <w14:textFill>
                  <w14:solidFill>
                    <w14:schemeClr w14:val="tx1"/>
                  </w14:solidFill>
                </w14:textFill>
              </w:rPr>
              <w:t>HJ2.2-2018表2评价等级判别表</w:t>
            </w:r>
            <w:r>
              <w:rPr>
                <w:rFonts w:ascii="Times New Roman" w:cs="Times New Roman"/>
                <w:color w:val="000000" w:themeColor="text1"/>
                <w:sz w:val="24"/>
                <w:szCs w:val="24"/>
                <w:lang w:eastAsia="zh-CN"/>
                <w14:textFill>
                  <w14:solidFill>
                    <w14:schemeClr w14:val="tx1"/>
                  </w14:solidFill>
                </w14:textFill>
              </w:rPr>
              <w:t>，主要污染物的</w:t>
            </w:r>
            <w:r>
              <w:rPr>
                <w:rFonts w:hint="eastAsia" w:ascii="Times New Roman" w:cs="Times New Roman"/>
                <w:color w:val="000000" w:themeColor="text1"/>
                <w:sz w:val="24"/>
                <w:szCs w:val="24"/>
                <w:lang w:eastAsia="zh-CN"/>
                <w14:textFill>
                  <w14:solidFill>
                    <w14:schemeClr w14:val="tx1"/>
                  </w14:solidFill>
                </w14:textFill>
              </w:rPr>
              <w:t>最大</w:t>
            </w:r>
            <w:r>
              <w:rPr>
                <w:rFonts w:ascii="Times New Roman" w:cs="Times New Roman"/>
                <w:color w:val="000000" w:themeColor="text1"/>
                <w:sz w:val="24"/>
                <w:szCs w:val="24"/>
                <w:lang w:eastAsia="zh-CN"/>
                <w14:textFill>
                  <w14:solidFill>
                    <w14:schemeClr w14:val="tx1"/>
                  </w14:solidFill>
                </w14:textFill>
              </w:rPr>
              <w:t>地面空气质量浓度占标率为</w:t>
            </w:r>
            <w:r>
              <w:rPr>
                <w:rFonts w:hint="eastAsia" w:ascii="Times New Roman" w:cs="Times New Roman"/>
                <w:color w:val="000000" w:themeColor="text1"/>
                <w:sz w:val="24"/>
                <w:szCs w:val="24"/>
                <w:lang w:val="en-US" w:eastAsia="zh-CN"/>
                <w14:textFill>
                  <w14:solidFill>
                    <w14:schemeClr w14:val="tx1"/>
                  </w14:solidFill>
                </w14:textFill>
              </w:rPr>
              <w:t>6.</w:t>
            </w:r>
            <w:r>
              <w:rPr>
                <w:rFonts w:hint="eastAsia" w:cs="Times New Roman"/>
                <w:color w:val="000000" w:themeColor="text1"/>
                <w:sz w:val="24"/>
                <w:szCs w:val="24"/>
                <w:lang w:val="en-US" w:eastAsia="zh-CN"/>
                <w14:textFill>
                  <w14:solidFill>
                    <w14:schemeClr w14:val="tx1"/>
                  </w14:solidFill>
                </w14:textFill>
              </w:rPr>
              <w:t>52</w:t>
            </w:r>
            <w:r>
              <w:rPr>
                <w:rFonts w:hint="eastAsia" w:asci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1%≤Pmax&lt;10%</w:t>
            </w:r>
            <w:r>
              <w:rPr>
                <w:rFonts w:hint="eastAsia" w:ascii="Times New Roman" w:cs="Times New Roman"/>
                <w:color w:val="000000" w:themeColor="text1"/>
                <w:sz w:val="24"/>
                <w:szCs w:val="24"/>
                <w:lang w:eastAsia="zh-CN"/>
                <w14:textFill>
                  <w14:solidFill>
                    <w14:schemeClr w14:val="tx1"/>
                  </w14:solidFill>
                </w14:textFill>
              </w:rPr>
              <w:t>）</w:t>
            </w:r>
            <w:r>
              <w:rPr>
                <w:rFonts w:asci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按照《环境影响评价技术导则 大气环境》（HJ2.2-2018）</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cs="Times New Roman"/>
                <w:color w:val="000000" w:themeColor="text1"/>
                <w:sz w:val="24"/>
                <w:szCs w:val="24"/>
                <w:lang w:eastAsia="zh-CN"/>
                <w14:textFill>
                  <w14:solidFill>
                    <w14:schemeClr w14:val="tx1"/>
                  </w14:solidFill>
                </w14:textFill>
              </w:rPr>
              <w:t>本项目大气评价等级判定为二级，可不进行进一步预测</w:t>
            </w:r>
            <w:r>
              <w:rPr>
                <w:rFonts w:hint="eastAsia" w:ascii="Times New Roman" w:cs="Times New Roman"/>
                <w:color w:val="000000" w:themeColor="text1"/>
                <w:sz w:val="24"/>
                <w:szCs w:val="24"/>
                <w:lang w:eastAsia="zh-CN"/>
                <w14:textFill>
                  <w14:solidFill>
                    <w14:schemeClr w14:val="tx1"/>
                  </w14:solidFill>
                </w14:textFill>
              </w:rPr>
              <w:t>与评价。</w:t>
            </w:r>
            <w:r>
              <w:rPr>
                <w:rFonts w:hint="eastAsia"/>
                <w:color w:val="000000" w:themeColor="text1"/>
                <w:sz w:val="24"/>
                <w:szCs w:val="24"/>
                <w:lang w:eastAsia="zh-CN"/>
                <w14:textFill>
                  <w14:solidFill>
                    <w14:schemeClr w14:val="tx1"/>
                  </w14:solidFill>
                </w14:textFill>
              </w:rPr>
              <w:t>评价范围为以钻孔场地为中心，边长取5km的矩形区域。</w:t>
            </w:r>
          </w:p>
          <w:p>
            <w:pPr>
              <w:spacing w:line="360" w:lineRule="auto"/>
              <w:ind w:firstLine="480" w:firstLineChars="200"/>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地表水</w:t>
            </w:r>
          </w:p>
          <w:p>
            <w:pPr>
              <w:spacing w:line="360" w:lineRule="auto"/>
              <w:ind w:firstLine="480" w:firstLineChars="200"/>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本项目的地表水环境影响评价为水污染影响型。产生的废、污水主要来自施工作业废水和生活污水，全部回用，不外排。按照《环境影响评价技术导则—地表水环境》</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HJ2.3-2018</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表1评价工作等级的划分，判定地表水评价等级为三级B。</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3</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地下水</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土壤</w:t>
            </w:r>
          </w:p>
          <w:p>
            <w:pPr>
              <w:pStyle w:val="17"/>
              <w:spacing w:line="360" w:lineRule="auto"/>
              <w:ind w:firstLine="480" w:firstLineChars="200"/>
              <w:jc w:val="both"/>
              <w:outlineLvl w:val="0"/>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根据《环境影响评价技术导则 地下水环境》（HJ610-2016），本项目属于附录A中 C地质勘查 24、矿产资源地质勘查（包括勘查活动），地下水环境影响评价项目类别是IV类；根据《环境影响评价技术导则 土壤环境（试行）》（HJ964-2018），本项目属于附录A中其他行业</w:t>
            </w:r>
            <w:r>
              <w:rPr>
                <w:rFonts w:hint="default" w:ascii="Times New Roman" w:hAnsi="Times New Roman" w:eastAsia="宋体" w:cs="Times New Roman"/>
                <w:color w:val="000000" w:themeColor="text1"/>
                <w14:textFill>
                  <w14:solidFill>
                    <w14:schemeClr w14:val="tx1"/>
                  </w14:solidFill>
                </w14:textFill>
              </w:rPr>
              <w:t>，土壤环境影响评价项目类别是IV类。所以，本次不开展土壤、地下水环境影响评价。</w:t>
            </w:r>
          </w:p>
          <w:p>
            <w:pPr>
              <w:pStyle w:val="17"/>
              <w:spacing w:line="360" w:lineRule="auto"/>
              <w:ind w:firstLine="480" w:firstLineChars="200"/>
              <w:jc w:val="both"/>
              <w:outlineLvl w:val="0"/>
              <w:rPr>
                <w:rFonts w:hint="default"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eastAsia="宋体" w:cs="Times New Roman"/>
                <w:color w:val="000000" w:themeColor="text1"/>
                <w14:textFill>
                  <w14:solidFill>
                    <w14:schemeClr w14:val="tx1"/>
                  </w14:solidFill>
                </w14:textFill>
              </w:rPr>
              <w:t>4）噪声</w:t>
            </w:r>
          </w:p>
          <w:p>
            <w:pPr>
              <w:pStyle w:val="17"/>
              <w:spacing w:line="360" w:lineRule="auto"/>
              <w:ind w:firstLine="480" w:firstLineChars="200"/>
              <w:jc w:val="both"/>
              <w:outlineLvl w:val="0"/>
              <w:rPr>
                <w:rFonts w:hint="eastAsia"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本项目所在区域声环境质量执行《声环境质量标准》（GB3096-2008）中</w:t>
            </w:r>
            <w:r>
              <w:rPr>
                <w:rFonts w:hint="default" w:ascii="Times New Roman" w:hAnsi="Times New Roman" w:eastAsia="宋体" w:cs="Times New Roman"/>
                <w:color w:val="000000" w:themeColor="text1"/>
                <w:lang w:eastAsia="zh-CN"/>
                <w14:textFill>
                  <w14:solidFill>
                    <w14:schemeClr w14:val="tx1"/>
                  </w14:solidFill>
                </w14:textFill>
              </w:rPr>
              <w:t>1类</w:t>
            </w:r>
            <w:r>
              <w:rPr>
                <w:rFonts w:hint="default" w:ascii="Times New Roman" w:hAnsi="Times New Roman" w:eastAsia="宋体" w:cs="Times New Roman"/>
                <w:color w:val="000000" w:themeColor="text1"/>
                <w14:textFill>
                  <w14:solidFill>
                    <w14:schemeClr w14:val="tx1"/>
                  </w14:solidFill>
                </w14:textFill>
              </w:rPr>
              <w:t>区标准要求，根据《环境影响评价技术导则 声环境》（HJ 2.4-2009），项目声环境评价等级为二级，评价范围为</w:t>
            </w:r>
            <w:r>
              <w:rPr>
                <w:rFonts w:hint="eastAsia" w:ascii="Times New Roman" w:hAnsi="Times New Roman" w:eastAsia="宋体" w:cs="Times New Roman"/>
                <w:color w:val="000000" w:themeColor="text1"/>
                <w:lang w:val="en-US" w:eastAsia="zh-CN"/>
                <w14:textFill>
                  <w14:solidFill>
                    <w14:schemeClr w14:val="tx1"/>
                  </w14:solidFill>
                </w14:textFill>
              </w:rPr>
              <w:t>钻探场界外</w:t>
            </w:r>
            <w:r>
              <w:rPr>
                <w:rFonts w:hint="default" w:ascii="Times New Roman" w:hAnsi="Times New Roman" w:eastAsia="宋体" w:cs="Times New Roman"/>
                <w:color w:val="000000" w:themeColor="text1"/>
                <w:lang w:val="en-US" w:eastAsia="zh-CN"/>
                <w14:textFill>
                  <w14:solidFill>
                    <w14:schemeClr w14:val="tx1"/>
                  </w14:solidFill>
                </w14:textFill>
              </w:rPr>
              <w:t>250m</w:t>
            </w:r>
            <w:r>
              <w:rPr>
                <w:rFonts w:hint="eastAsia" w:ascii="Times New Roman" w:hAnsi="Times New Roman" w:eastAsia="宋体" w:cs="Times New Roman"/>
                <w:color w:val="000000" w:themeColor="text1"/>
                <w:lang w:val="en-US" w:eastAsia="zh-CN"/>
                <w14:textFill>
                  <w14:solidFill>
                    <w14:schemeClr w14:val="tx1"/>
                  </w14:solidFill>
                </w14:textFill>
              </w:rPr>
              <w:t>范围内。</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color w:val="000000" w:themeColor="text1"/>
                <w:sz w:val="24"/>
                <w:szCs w:val="24"/>
                <w14:textFill>
                  <w14:solidFill>
                    <w14:schemeClr w14:val="tx1"/>
                  </w14:solidFill>
                </w14:textFill>
              </w:rPr>
              <w:t>）生态</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项目总占地面积约</w:t>
            </w:r>
            <w:r>
              <w:rPr>
                <w:rFonts w:hint="eastAsia"/>
                <w:bCs/>
                <w:color w:val="000000" w:themeColor="text1"/>
                <w:sz w:val="24"/>
                <w14:textFill>
                  <w14:solidFill>
                    <w14:schemeClr w14:val="tx1"/>
                  </w14:solidFill>
                </w14:textFill>
              </w:rPr>
              <w:t>0</w:t>
            </w:r>
            <w:r>
              <w:rPr>
                <w:bCs/>
                <w:color w:val="000000" w:themeColor="text1"/>
                <w:sz w:val="24"/>
                <w14:textFill>
                  <w14:solidFill>
                    <w14:schemeClr w14:val="tx1"/>
                  </w14:solidFill>
                </w14:textFill>
              </w:rPr>
              <w:t>.0</w:t>
            </w:r>
            <w:r>
              <w:rPr>
                <w:rFonts w:hint="eastAsia"/>
                <w:bCs/>
                <w:color w:val="000000" w:themeColor="text1"/>
                <w:sz w:val="24"/>
                <w14:textFill>
                  <w14:solidFill>
                    <w14:schemeClr w14:val="tx1"/>
                  </w14:solidFill>
                </w14:textFill>
              </w:rPr>
              <w:t>426k</w:t>
            </w:r>
            <w:r>
              <w:rPr>
                <w:bCs/>
                <w:color w:val="000000" w:themeColor="text1"/>
                <w:sz w:val="24"/>
                <w14:textFill>
                  <w14:solidFill>
                    <w14:schemeClr w14:val="tx1"/>
                  </w14:solidFill>
                </w14:textFill>
              </w:rPr>
              <w:t>m</w:t>
            </w:r>
            <w:r>
              <w:rPr>
                <w:bCs/>
                <w:color w:val="000000" w:themeColor="text1"/>
                <w:sz w:val="24"/>
                <w:vertAlign w:val="superscript"/>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，均为施工临时占地，占地小于2km</w:t>
            </w:r>
            <w:r>
              <w:rPr>
                <w:rFonts w:hint="eastAsia" w:ascii="Times New Roman" w:hAnsi="Times New Roman" w:eastAsia="宋体" w:cs="Times New Roman"/>
                <w:color w:val="000000" w:themeColor="text1"/>
                <w:sz w:val="24"/>
                <w:szCs w:val="24"/>
                <w:vertAlign w:val="superscript"/>
                <w:lang w:eastAsia="zh-CN"/>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影响区域不涉及自然保护区、自然遗产地、风景名胜区、森林公园、地质公园、重要湿地和珍稀濒危野生动植物天然集中分布区等生态敏感区，生态敏感性属一般区域。依据《环境影响评价技术导则—生态影响》</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HJ19-2011</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分级规定，生态评价工作等级判定为三级。</w:t>
            </w:r>
            <w:r>
              <w:rPr>
                <w:rFonts w:hint="default" w:ascii="Times New Roman" w:hAnsi="Times New Roman" w:eastAsia="宋体" w:cs="Times New Roman"/>
                <w:color w:val="000000" w:themeColor="text1"/>
                <w:sz w:val="24"/>
                <w:szCs w:val="24"/>
                <w14:textFill>
                  <w14:solidFill>
                    <w14:schemeClr w14:val="tx1"/>
                  </w14:solidFill>
                </w14:textFill>
              </w:rPr>
              <w:t>评价范围为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以本项目占地区域的地理单元为边界</w:t>
            </w:r>
            <w:r>
              <w:rPr>
                <w:rFonts w:hint="default" w:ascii="Times New Roman" w:hAnsi="Times New Roman" w:eastAsia="宋体" w:cs="Times New Roman"/>
                <w:color w:val="000000" w:themeColor="text1"/>
                <w:sz w:val="24"/>
                <w:szCs w:val="24"/>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6</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环境风险</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根据《建设项目环境风险评价技术导则》（HJ169-2018），确定本项目环境风险评价为简单分析。仅对危险物质、环境影响途径、环境危害后果、风险防范措施等方面给出定性的说明进行简单分析，</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不设评价范围。</w:t>
            </w:r>
          </w:p>
          <w:p>
            <w:pPr>
              <w:keepNext w:val="0"/>
              <w:keepLines w:val="0"/>
              <w:pageBreakBefore w:val="0"/>
              <w:widowControl w:val="0"/>
              <w:numPr>
                <w:ilvl w:val="0"/>
                <w:numId w:val="1"/>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辐射环境</w:t>
            </w:r>
          </w:p>
          <w:p>
            <w:pPr>
              <w:pStyle w:val="2"/>
              <w:widowControl w:val="0"/>
              <w:numPr>
                <w:numId w:val="0"/>
              </w:numPr>
              <w:spacing w:line="360" w:lineRule="auto"/>
              <w:ind w:firstLine="480" w:firstLineChars="200"/>
              <w:jc w:val="both"/>
              <w:rPr>
                <w:rFonts w:hint="eastAsia"/>
                <w:lang w:val="en-US" w:eastAsia="zh-CN"/>
              </w:rPr>
            </w:pP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本项目辐射评价范围为</w:t>
            </w:r>
            <w:r>
              <w:rPr>
                <w:rFonts w:hint="default" w:ascii="Times New Roman" w:hAnsi="Times New Roman" w:eastAsia="宋体" w:cs="Times New Roman"/>
                <w:color w:val="000000" w:themeColor="text1"/>
                <w:sz w:val="24"/>
                <w:szCs w:val="24"/>
                <w:lang w:val="en-US" w:eastAsia="zh-CN" w:bidi="en-US"/>
                <w14:textFill>
                  <w14:solidFill>
                    <w14:schemeClr w14:val="tx1"/>
                  </w14:solidFill>
                </w14:textFill>
              </w:rPr>
              <w:t>铀矿地质钻探场地</w:t>
            </w: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周边</w:t>
            </w:r>
            <w:r>
              <w:rPr>
                <w:rFonts w:hint="default" w:ascii="Times New Roman" w:hAnsi="Times New Roman" w:eastAsia="宋体" w:cs="Times New Roman"/>
                <w:color w:val="000000" w:themeColor="text1"/>
                <w:sz w:val="24"/>
                <w:szCs w:val="24"/>
                <w:lang w:val="en-US" w:eastAsia="zh-CN" w:bidi="en-US"/>
                <w14:textFill>
                  <w14:solidFill>
                    <w14:schemeClr w14:val="tx1"/>
                  </w14:solidFill>
                </w14:textFill>
              </w:rPr>
              <w:t>500m</w:t>
            </w: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w:t>
            </w:r>
          </w:p>
          <w:p>
            <w:pPr>
              <w:rPr>
                <w:rFonts w:hint="eastAsia"/>
                <w:lang w:val="en-US" w:eastAsia="zh-CN"/>
              </w:rPr>
            </w:pPr>
          </w:p>
          <w:p>
            <w:pPr>
              <w:pStyle w:val="2"/>
              <w:rPr>
                <w:rFonts w:hint="eastAsia"/>
                <w:lang w:val="en-US" w:eastAsia="zh-CN"/>
              </w:rPr>
            </w:pPr>
          </w:p>
          <w:p>
            <w:pPr>
              <w:rPr>
                <w:rFonts w:hint="eastAsia"/>
                <w:lang w:val="en-US" w:eastAsia="zh-CN"/>
              </w:rPr>
            </w:pPr>
          </w:p>
          <w:p>
            <w:pPr>
              <w:pStyle w:val="2"/>
              <w:rPr>
                <w:rFonts w:hint="eastAsia"/>
                <w:lang w:val="en-US" w:eastAsia="zh-CN"/>
              </w:rPr>
            </w:pPr>
          </w:p>
          <w:p>
            <w:pPr>
              <w:rPr>
                <w:rFonts w:hint="eastAsia"/>
                <w:lang w:val="en-US" w:eastAsia="zh-CN"/>
              </w:rPr>
            </w:pPr>
          </w:p>
          <w:p>
            <w:pPr>
              <w:pStyle w:val="2"/>
              <w:rPr>
                <w:rFonts w:hint="eastAsia"/>
                <w:lang w:val="en-US" w:eastAsia="zh-CN"/>
              </w:rPr>
            </w:pPr>
          </w:p>
          <w:p>
            <w:pPr>
              <w:rPr>
                <w:rFonts w:hint="eastAsia"/>
                <w:lang w:val="en-US" w:eastAsia="zh-CN"/>
              </w:rPr>
            </w:pPr>
          </w:p>
          <w:p>
            <w:pPr>
              <w:pStyle w:val="2"/>
              <w:rPr>
                <w:rFonts w:hint="eastAsia"/>
                <w:lang w:val="en-US" w:eastAsia="zh-CN"/>
              </w:rPr>
            </w:pPr>
          </w:p>
          <w:p>
            <w:pPr>
              <w:rPr>
                <w:rFonts w:hint="eastAsia"/>
                <w:lang w:val="en-US" w:eastAsia="zh-CN"/>
              </w:rPr>
            </w:pPr>
          </w:p>
          <w:p>
            <w:pPr>
              <w:pStyle w:val="2"/>
              <w:rPr>
                <w:rFonts w:hint="eastAsia"/>
                <w:lang w:val="en-US" w:eastAsia="zh-CN"/>
              </w:rPr>
            </w:pPr>
          </w:p>
          <w:p>
            <w:pPr>
              <w:rPr>
                <w:rFonts w:hint="eastAsia"/>
                <w:lang w:val="en-US" w:eastAsia="zh-CN"/>
              </w:rPr>
            </w:pPr>
          </w:p>
          <w:p>
            <w:pPr>
              <w:pStyle w:val="2"/>
              <w:rPr>
                <w:rFonts w:hint="eastAsia"/>
                <w:lang w:val="en-US" w:eastAsia="zh-CN"/>
              </w:rPr>
            </w:pPr>
          </w:p>
          <w:p>
            <w:pPr>
              <w:rPr>
                <w:rFonts w:hint="eastAsia"/>
                <w:lang w:val="en-US" w:eastAsia="zh-CN"/>
              </w:rPr>
            </w:pPr>
          </w:p>
          <w:p>
            <w:pPr>
              <w:pStyle w:val="2"/>
              <w:rPr>
                <w:rFonts w:hint="eastAsia"/>
                <w:lang w:val="en-US" w:eastAsia="zh-CN"/>
              </w:rPr>
            </w:pPr>
          </w:p>
          <w:bookmarkEnd w:id="2"/>
          <w:p>
            <w:pPr>
              <w:pStyle w:val="19"/>
              <w:spacing w:line="360" w:lineRule="auto"/>
              <w:ind w:left="0" w:firstLine="480" w:firstLineChars="200"/>
              <w:jc w:val="both"/>
              <w:rPr>
                <w:color w:val="000000" w:themeColor="text1"/>
                <w:sz w:val="24"/>
                <w14:textFill>
                  <w14:solidFill>
                    <w14:schemeClr w14:val="tx1"/>
                  </w14:solidFill>
                </w14:textFill>
              </w:rPr>
            </w:pPr>
          </w:p>
        </w:tc>
      </w:tr>
    </w:tbl>
    <w:p>
      <w:pPr>
        <w:rPr>
          <w:rFonts w:eastAsia="黑体"/>
          <w:color w:val="000000" w:themeColor="text1"/>
          <w:w w:val="95"/>
          <w:sz w:val="28"/>
          <w14:textFill>
            <w14:solidFill>
              <w14:schemeClr w14:val="tx1"/>
            </w14:solidFill>
          </w14:textFill>
        </w:rPr>
        <w:sectPr>
          <w:headerReference r:id="rId3" w:type="default"/>
          <w:footerReference r:id="rId4" w:type="default"/>
          <w:pgSz w:w="11906" w:h="16838"/>
          <w:pgMar w:top="1440" w:right="1080" w:bottom="1440" w:left="1080" w:header="851" w:footer="992" w:gutter="0"/>
          <w:pgBorders>
            <w:top w:val="none" w:sz="0" w:space="0"/>
            <w:left w:val="none" w:sz="0" w:space="0"/>
            <w:bottom w:val="none" w:sz="0" w:space="0"/>
            <w:right w:val="none" w:sz="0" w:space="0"/>
          </w:pgBorders>
          <w:pgNumType w:start="1"/>
          <w:cols w:space="425" w:num="1"/>
          <w:docGrid w:type="lines" w:linePitch="312" w:charSpace="0"/>
        </w:sectPr>
      </w:pPr>
    </w:p>
    <w:tbl>
      <w:tblPr>
        <w:tblStyle w:val="12"/>
        <w:tblW w:w="493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82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tcPr>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14:textFill>
                  <w14:solidFill>
                    <w14:schemeClr w14:val="tx1"/>
                  </w14:solidFill>
                </w14:textFill>
              </w:rPr>
              <w:t>与本项目有关的原有污染情况及主要环境问题</w:t>
            </w:r>
          </w:p>
          <w:p>
            <w:p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1、以往铀矿地质工作</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14:textFill>
                  <w14:solidFill>
                    <w14:schemeClr w14:val="tx1"/>
                  </w14:solidFill>
                </w14:textFill>
              </w:rPr>
              <w:t>区域铀矿地质工作开展较早，但工作程度较低。总体上可划分四个阶段：</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第一阶段：地表铀矿地质找矿阶段</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1956-1984年，原二机部182大队1、3、4分队以及核工业西北地勘局652、213等地质大队以及703航测队等在青海省北部进行过踏勘、区调、普查、揭露评价及专题调研等工作。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第二阶段：砂岩型铀成矿编图选区阶段</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1994年，原核工业西北地质局213大队对柴达木盆地西北缘砂岩铀矿成矿条件进行了区调，经综合分析后选出了三片普查远景区。</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1994～1995年，核工业652大队对柴达木盆地进行了砂岩铀矿成矿条件分析编图。</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1995～1996年，核工业二〇三研究所在西北中新生代盆地编图中对柴达木盆地砂岩型铀矿成矿远景分析。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第三阶段：砂岩型铀矿综合区调阶段</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1998～1999年，核工业二九〇研究所对柴达木盆地北缘西部进行了1:50万综合区调工作。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1998～2000年，核工业二七〇研究所对柴达木盆地东部进行了1:50～1:25万综合区调。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2005～2006年，核工业二〇三研究所开展了“青海北部—甘肃东南部地浸砂岩铀矿综合预测选区”专题。</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第四阶段：砂岩型铀资源调查评价阶段</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2006～2010年，核工业二〇三研究所开展了中国地质调查局“青海柴达木盆地地浸砂岩型铀资源调查评价”项目，2006～2008年，中国核工业地质局配套“青海省柴达木盆地北缘1:25万铀资源区域评价”项目，以中下侏罗统为找矿目的层，对柴达木盆地北缘进行了钻探查证。</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2009～2010年，中国核工业地质局配套《青海省柴达木盆地北缘鱼卡－查查香卡地区1:25万铀资源区域评价》项目，主要对鱼卡东部、北大滩两地区砂岩型铀矿和查查香卡、乌龙滩、阿木内克山和埃姆尼克山等地区硬岩型铀矿开展了调查工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2013～2015年，青海煤炭地质一〇五</w:t>
            </w:r>
            <w:r>
              <w:rPr>
                <w:rFonts w:hint="eastAsia"/>
                <w:color w:val="000000" w:themeColor="text1"/>
                <w:sz w:val="24"/>
                <w:lang w:eastAsia="zh-CN"/>
                <w14:textFill>
                  <w14:solidFill>
                    <w14:schemeClr w14:val="tx1"/>
                  </w14:solidFill>
                </w14:textFill>
              </w:rPr>
              <w:t>勘查</w:t>
            </w:r>
            <w:r>
              <w:rPr>
                <w:rFonts w:hint="eastAsia"/>
                <w:color w:val="000000" w:themeColor="text1"/>
                <w:sz w:val="24"/>
                <w14:textFill>
                  <w14:solidFill>
                    <w14:schemeClr w14:val="tx1"/>
                  </w14:solidFill>
                </w14:textFill>
              </w:rPr>
              <w:t>队承担中国地质调查局“青海德令哈-赛什腾地区铀矿调查评价”项目，以中下侏罗统为主要找矿目的层，在赛什腾、鱼卡、航亚地区钻探施工。</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2015～2016年，核工业二〇三研究所承担实施了中国地质调查局“青海柴达木盆地西南缘铀矿资源远景调查”项目，以新近系油砂山组为主要找矿目的层。</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2017～2018年，核工业二〇三研究所承开展的“青海柴达木盆地北缘砂岩型铀矿资源调查评价”项目，主要以侏罗系为主要目的层，兼顾古—新近系目的层。</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2018～2019年，青海煤炭地质一〇五</w:t>
            </w:r>
            <w:r>
              <w:rPr>
                <w:rFonts w:hint="eastAsia"/>
                <w:color w:val="000000" w:themeColor="text1"/>
                <w:sz w:val="24"/>
                <w:lang w:eastAsia="zh-CN"/>
                <w14:textFill>
                  <w14:solidFill>
                    <w14:schemeClr w14:val="tx1"/>
                  </w14:solidFill>
                </w14:textFill>
              </w:rPr>
              <w:t>勘查</w:t>
            </w:r>
            <w:r>
              <w:rPr>
                <w:rFonts w:hint="eastAsia"/>
                <w:color w:val="000000" w:themeColor="text1"/>
                <w:sz w:val="24"/>
                <w14:textFill>
                  <w14:solidFill>
                    <w14:schemeClr w14:val="tx1"/>
                  </w14:solidFill>
                </w14:textFill>
              </w:rPr>
              <w:t>队承担中国地质调查局“青海冷湖地区铀矿地质调查”和“柴达木盆地北部旺尕秀-冷湖地区铀矿地质调查”项目，筛查各类媒体钻孔489个。</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2019～2020年，青海油田承担中国地质调查局“柴达木盆地西部七个泉-昆北地区铀矿地质调查”项目。</w:t>
            </w:r>
          </w:p>
          <w:p>
            <w:p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2、以往地质工作遗留的主要环境问题</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olor w:val="000000" w:themeColor="text1"/>
                <w:sz w:val="24"/>
                <w:lang w:eastAsia="zh-CN"/>
                <w14:textFill>
                  <w14:solidFill>
                    <w14:schemeClr w14:val="tx1"/>
                  </w14:solidFill>
                </w14:textFill>
              </w:rPr>
            </w:pPr>
            <w:r>
              <w:rPr>
                <w:rFonts w:ascii="Times New Roman" w:hAnsi="Times New Roman" w:cs="Times New Roman"/>
                <w:color w:val="000000" w:themeColor="text1"/>
                <w:sz w:val="24"/>
                <w:szCs w:val="24"/>
                <w:lang w:val="en-GB" w:eastAsia="zh-CN"/>
                <w14:textFill>
                  <w14:solidFill>
                    <w14:schemeClr w14:val="tx1"/>
                  </w14:solidFill>
                </w14:textFill>
              </w:rPr>
              <w:t>建设单位以往勘查过程中执行绿色勘查标准化施工，全员将环保意识放在首位，强化管理，过程控制，通过绿色勘查管理人员的共同努力</w:t>
            </w:r>
            <w:r>
              <w:rPr>
                <w:rFonts w:hint="eastAsia" w:ascii="Times New Roman" w:hAnsi="Times New Roman" w:cs="Times New Roman"/>
                <w:color w:val="000000" w:themeColor="text1"/>
                <w:sz w:val="24"/>
                <w:szCs w:val="24"/>
                <w:lang w:val="en-GB"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通过调查、询问、收集资料等工作：</w:t>
            </w:r>
            <w:r>
              <w:rPr>
                <w:rFonts w:hint="eastAsia"/>
                <w:color w:val="000000" w:themeColor="text1"/>
                <w:sz w:val="24"/>
                <w:lang w:eastAsia="zh-CN"/>
                <w14:textFill>
                  <w14:solidFill>
                    <w14:schemeClr w14:val="tx1"/>
                  </w14:solidFill>
                </w14:textFill>
              </w:rPr>
              <w:t>钻探施工结束后，拆除了钻井井架，钻孔均已全部封孔，钻井平台已填土覆盖；在每个钻井平台旁均设置了防渗泥浆沉淀池，泥浆含水自然风干后覆土掩埋；非矿段岩芯填埋，矿段岩芯放置在岩芯库内，后期带回分析、化验。钻孔过程中产生的泥浆进入泥浆池内，待钻孔结束泥浆干化处置，将泥浆池覆土绿化恢复。施工营地生活垃圾由垃圾袋收集带回项目部；车辆在勘查区内均在既有道路上行驶，无随意下道行驶，碾压植被的现象，</w:t>
            </w:r>
            <w:r>
              <w:rPr>
                <w:rFonts w:hint="eastAsia"/>
                <w:color w:val="000000" w:themeColor="text1"/>
                <w:sz w:val="24"/>
                <w:szCs w:val="24"/>
                <w:lang w:eastAsia="zh-CN"/>
                <w14:textFill>
                  <w14:solidFill>
                    <w14:schemeClr w14:val="tx1"/>
                  </w14:solidFill>
                </w14:textFill>
              </w:rPr>
              <w:t>不存在原有勘查工作遗留环境污染问题。</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ascii="Times New Roman" w:hAnsi="Times New Roman" w:cs="Times New Roman"/>
                <w:color w:val="000000" w:themeColor="text1"/>
                <w:sz w:val="24"/>
                <w:szCs w:val="24"/>
                <w:lang w:val="en-GB" w:eastAsia="zh-CN"/>
                <w14:textFill>
                  <w14:solidFill>
                    <w14:schemeClr w14:val="tx1"/>
                  </w14:solidFill>
                </w14:textFill>
              </w:rPr>
            </w:pPr>
            <w:r>
              <w:rPr>
                <w:color w:val="000000" w:themeColor="text1"/>
                <w:sz w:val="24"/>
                <w:lang w:val="en-GB" w:eastAsia="zh-CN"/>
                <w14:textFill>
                  <w14:solidFill>
                    <w14:schemeClr w14:val="tx1"/>
                  </w14:solidFill>
                </w14:textFill>
              </w:rPr>
              <w:t>经查阅原有地质勘查工程钻孔历史监测资料，</w:t>
            </w:r>
            <w:r>
              <w:rPr>
                <w:rFonts w:hint="eastAsia"/>
                <w:color w:val="000000" w:themeColor="text1"/>
                <w:sz w:val="24"/>
                <w:lang w:eastAsia="zh-CN"/>
                <w14:textFill>
                  <w14:solidFill>
                    <w14:schemeClr w14:val="tx1"/>
                  </w14:solidFill>
                </w14:textFill>
              </w:rPr>
              <w:t>钻孔场地开孔前</w:t>
            </w:r>
            <w:r>
              <w:rPr>
                <w:color w:val="000000" w:themeColor="text1"/>
                <w:sz w:val="24"/>
                <w:lang w:eastAsia="zh-CN"/>
                <w14:textFill>
                  <w14:solidFill>
                    <w14:schemeClr w14:val="tx1"/>
                  </w14:solidFill>
                </w14:textFill>
              </w:rPr>
              <w:t>γ</w:t>
            </w:r>
            <w:r>
              <w:rPr>
                <w:rFonts w:hint="eastAsia"/>
                <w:color w:val="000000" w:themeColor="text1"/>
                <w:sz w:val="24"/>
                <w:lang w:val="en-US" w:eastAsia="zh-CN"/>
                <w14:textFill>
                  <w14:solidFill>
                    <w14:schemeClr w14:val="tx1"/>
                  </w14:solidFill>
                </w14:textFill>
              </w:rPr>
              <w:t>计数</w:t>
            </w:r>
            <w:r>
              <w:rPr>
                <w:rFonts w:hint="eastAsia"/>
                <w:color w:val="000000" w:themeColor="text1"/>
                <w:sz w:val="24"/>
                <w:lang w:eastAsia="zh-CN"/>
                <w14:textFill>
                  <w14:solidFill>
                    <w14:schemeClr w14:val="tx1"/>
                  </w14:solidFill>
                </w14:textFill>
              </w:rPr>
              <w:t>率监测范围值为13-</w:t>
            </w:r>
            <w:r>
              <w:rPr>
                <w:color w:val="000000" w:themeColor="text1"/>
                <w:sz w:val="24"/>
                <w:lang w:eastAsia="zh-CN"/>
                <w14:textFill>
                  <w14:solidFill>
                    <w14:schemeClr w14:val="tx1"/>
                  </w14:solidFill>
                </w14:textFill>
              </w:rPr>
              <w:t>1</w:t>
            </w:r>
            <w:r>
              <w:rPr>
                <w:rFonts w:hint="eastAsia"/>
                <w:color w:val="000000" w:themeColor="text1"/>
                <w:sz w:val="24"/>
                <w:lang w:eastAsia="zh-CN"/>
                <w14:textFill>
                  <w14:solidFill>
                    <w14:schemeClr w14:val="tx1"/>
                  </w14:solidFill>
                </w14:textFill>
              </w:rPr>
              <w:t>7，封孔后</w:t>
            </w:r>
            <w:r>
              <w:rPr>
                <w:color w:val="000000" w:themeColor="text1"/>
                <w:sz w:val="24"/>
                <w:lang w:eastAsia="zh-CN"/>
                <w14:textFill>
                  <w14:solidFill>
                    <w14:schemeClr w14:val="tx1"/>
                  </w14:solidFill>
                </w14:textFill>
              </w:rPr>
              <w:t>γ</w:t>
            </w:r>
            <w:r>
              <w:rPr>
                <w:rFonts w:hint="eastAsia"/>
                <w:color w:val="000000" w:themeColor="text1"/>
                <w:sz w:val="24"/>
                <w:lang w:val="en-US" w:eastAsia="zh-CN"/>
                <w14:textFill>
                  <w14:solidFill>
                    <w14:schemeClr w14:val="tx1"/>
                  </w14:solidFill>
                </w14:textFill>
              </w:rPr>
              <w:t>计数</w:t>
            </w:r>
            <w:r>
              <w:rPr>
                <w:rFonts w:hint="eastAsia"/>
                <w:color w:val="000000" w:themeColor="text1"/>
                <w:sz w:val="24"/>
                <w:lang w:eastAsia="zh-CN"/>
                <w14:textFill>
                  <w14:solidFill>
                    <w14:schemeClr w14:val="tx1"/>
                  </w14:solidFill>
                </w14:textFill>
              </w:rPr>
              <w:t>率监测范围值为13-</w:t>
            </w:r>
            <w:r>
              <w:rPr>
                <w:color w:val="000000" w:themeColor="text1"/>
                <w:sz w:val="24"/>
                <w:lang w:eastAsia="zh-CN"/>
                <w14:textFill>
                  <w14:solidFill>
                    <w14:schemeClr w14:val="tx1"/>
                  </w14:solidFill>
                </w14:textFill>
              </w:rPr>
              <w:t>1</w:t>
            </w:r>
            <w:r>
              <w:rPr>
                <w:rFonts w:hint="eastAsia"/>
                <w:color w:val="000000" w:themeColor="text1"/>
                <w:sz w:val="24"/>
                <w:lang w:eastAsia="zh-CN"/>
                <w14:textFill>
                  <w14:solidFill>
                    <w14:schemeClr w14:val="tx1"/>
                  </w14:solidFill>
                </w14:textFill>
              </w:rPr>
              <w:t>7。</w:t>
            </w:r>
            <w:r>
              <w:rPr>
                <w:rFonts w:ascii="Times New Roman" w:hAnsi="Times New Roman" w:cs="Times New Roman"/>
                <w:color w:val="000000" w:themeColor="text1"/>
                <w:sz w:val="24"/>
                <w:szCs w:val="24"/>
                <w:lang w:val="en-GB" w:eastAsia="zh-CN"/>
                <w14:textFill>
                  <w14:solidFill>
                    <w14:schemeClr w14:val="tx1"/>
                  </w14:solidFill>
                </w14:textFill>
              </w:rPr>
              <w:t>原有地质勘查工程施工前、后γ辐射</w:t>
            </w:r>
            <w:r>
              <w:rPr>
                <w:rFonts w:hint="eastAsia" w:ascii="Times New Roman" w:hAnsi="Times New Roman" w:cs="Times New Roman"/>
                <w:color w:val="000000" w:themeColor="text1"/>
                <w:sz w:val="24"/>
                <w:szCs w:val="24"/>
                <w:lang w:eastAsia="zh-CN"/>
                <w14:textFill>
                  <w14:solidFill>
                    <w14:schemeClr w14:val="tx1"/>
                  </w14:solidFill>
                </w14:textFill>
              </w:rPr>
              <w:t>监测值</w:t>
            </w:r>
            <w:r>
              <w:rPr>
                <w:rFonts w:ascii="Times New Roman" w:hAnsi="Times New Roman" w:cs="Times New Roman"/>
                <w:color w:val="000000" w:themeColor="text1"/>
                <w:sz w:val="24"/>
                <w:szCs w:val="24"/>
                <w:lang w:val="en-GB" w:eastAsia="zh-CN"/>
                <w14:textFill>
                  <w14:solidFill>
                    <w14:schemeClr w14:val="tx1"/>
                  </w14:solidFill>
                </w14:textFill>
              </w:rPr>
              <w:t>处于同一水平范围内，且处于</w:t>
            </w:r>
            <w:r>
              <w:rPr>
                <w:rFonts w:ascii="Times New Roman" w:hAnsi="Times New Roman" w:cs="Times New Roman"/>
                <w:color w:val="000000" w:themeColor="text1"/>
                <w:sz w:val="24"/>
                <w:szCs w:val="24"/>
                <w:lang w:eastAsia="zh-CN"/>
                <w14:textFill>
                  <w14:solidFill>
                    <w14:schemeClr w14:val="tx1"/>
                  </w14:solidFill>
                </w14:textFill>
              </w:rPr>
              <w:t>当地</w:t>
            </w:r>
            <w:r>
              <w:rPr>
                <w:rFonts w:ascii="Times New Roman" w:hAnsi="Times New Roman" w:cs="Times New Roman"/>
                <w:color w:val="000000" w:themeColor="text1"/>
                <w:sz w:val="24"/>
                <w:szCs w:val="24"/>
                <w:lang w:val="en-GB" w:eastAsia="zh-CN"/>
                <w14:textFill>
                  <w14:solidFill>
                    <w14:schemeClr w14:val="tx1"/>
                  </w14:solidFill>
                </w14:textFill>
              </w:rPr>
              <w:t>天然环境本底水平，施工结束的钻探场地未遗留有辐射环境问题。</w:t>
            </w:r>
          </w:p>
          <w:tbl>
            <w:tblPr>
              <w:tblStyle w:val="13"/>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56"/>
              <w:gridCol w:w="47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jc w:val="center"/>
              </w:trPr>
              <w:tc>
                <w:tcPr>
                  <w:tcW w:w="5000" w:type="pct"/>
                  <w:gridSpan w:val="2"/>
                  <w:noWrap w:val="0"/>
                  <w:vAlign w:val="top"/>
                </w:tcPr>
                <w:p>
                  <w:pPr>
                    <w:jc w:val="center"/>
                    <w:rPr>
                      <w:rFonts w:ascii="宋体" w:hAnsi="宋体" w:eastAsia="宋体" w:cs="宋体"/>
                      <w:b/>
                      <w:bCs/>
                      <w:color w:val="000000" w:themeColor="text1"/>
                      <w:kern w:val="0"/>
                      <w:sz w:val="32"/>
                      <w:szCs w:val="32"/>
                      <w14:textFill>
                        <w14:solidFill>
                          <w14:schemeClr w14:val="tx1"/>
                        </w14:solidFill>
                      </w14:textFill>
                    </w:rPr>
                  </w:pPr>
                  <w:r>
                    <w:rPr>
                      <w:rFonts w:hint="eastAsia" w:ascii="宋体" w:hAnsi="宋体" w:cs="宋体"/>
                      <w:b/>
                      <w:bCs/>
                      <w:color w:val="000000" w:themeColor="text1"/>
                      <w:kern w:val="0"/>
                      <w:sz w:val="24"/>
                      <w:szCs w:val="24"/>
                      <w:lang w:val="en-US" w:eastAsia="zh-CN"/>
                      <w14:textFill>
                        <w14:solidFill>
                          <w14:schemeClr w14:val="tx1"/>
                        </w14:solidFill>
                      </w14:textFill>
                    </w:rPr>
                    <w:t>柴达木北缘石圈滩</w:t>
                  </w:r>
                  <w:r>
                    <w:rPr>
                      <w:rFonts w:hint="eastAsia" w:ascii="宋体" w:hAnsi="宋体" w:eastAsia="宋体" w:cs="宋体"/>
                      <w:b/>
                      <w:bCs/>
                      <w:color w:val="000000" w:themeColor="text1"/>
                      <w:kern w:val="0"/>
                      <w:sz w:val="24"/>
                      <w:szCs w:val="24"/>
                      <w14:textFill>
                        <w14:solidFill>
                          <w14:schemeClr w14:val="tx1"/>
                        </w14:solidFill>
                      </w14:textFill>
                    </w:rPr>
                    <w:t>井场恢复前后照片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rFonts w:hint="eastAsia" w:ascii="宋体" w:hAnsi="宋体" w:eastAsia="宋体" w:cs="宋体"/>
                      <w:b/>
                      <w:bCs/>
                      <w:color w:val="000000" w:themeColor="text1"/>
                      <w:kern w:val="0"/>
                      <w:sz w:val="32"/>
                      <w:szCs w:val="32"/>
                      <w:lang w:eastAsia="zh-CN"/>
                      <w14:textFill>
                        <w14:solidFill>
                          <w14:schemeClr w14:val="tx1"/>
                        </w14:solidFill>
                      </w14:textFill>
                    </w:rPr>
                  </w:pPr>
                  <w:r>
                    <w:rPr>
                      <w:rFonts w:hint="eastAsia" w:ascii="宋体" w:hAnsi="宋体" w:eastAsia="宋体" w:cs="宋体"/>
                      <w:b/>
                      <w:bCs/>
                      <w:color w:val="000000" w:themeColor="text1"/>
                      <w:kern w:val="0"/>
                      <w:sz w:val="32"/>
                      <w:szCs w:val="32"/>
                      <w:lang w:eastAsia="zh-CN"/>
                      <w14:textFill>
                        <w14:solidFill>
                          <w14:schemeClr w14:val="tx1"/>
                        </w14:solidFill>
                      </w14:textFill>
                    </w:rPr>
                    <w:drawing>
                      <wp:inline distT="0" distB="0" distL="114300" distR="114300">
                        <wp:extent cx="2945130" cy="1656080"/>
                        <wp:effectExtent l="0" t="0" r="1270" b="7620"/>
                        <wp:docPr id="9" name="图片 9" descr="506417824740042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506417824740042407"/>
                                <pic:cNvPicPr>
                                  <a:picLocks noChangeAspect="1"/>
                                </pic:cNvPicPr>
                              </pic:nvPicPr>
                              <pic:blipFill>
                                <a:blip r:embed="rId7"/>
                                <a:stretch>
                                  <a:fillRect/>
                                </a:stretch>
                              </pic:blipFill>
                              <pic:spPr>
                                <a:xfrm>
                                  <a:off x="0" y="0"/>
                                  <a:ext cx="2945130" cy="1656080"/>
                                </a:xfrm>
                                <a:prstGeom prst="rect">
                                  <a:avLst/>
                                </a:prstGeom>
                              </pic:spPr>
                            </pic:pic>
                          </a:graphicData>
                        </a:graphic>
                      </wp:inline>
                    </w:drawing>
                  </w:r>
                </w:p>
              </w:tc>
              <w:tc>
                <w:tcPr>
                  <w:tcW w:w="2478" w:type="pct"/>
                  <w:noWrap w:val="0"/>
                  <w:vAlign w:val="center"/>
                </w:tcPr>
                <w:p>
                  <w:pPr>
                    <w:jc w:val="center"/>
                    <w:rPr>
                      <w:rFonts w:hint="eastAsia" w:ascii="宋体" w:hAnsi="宋体" w:eastAsia="宋体" w:cs="宋体"/>
                      <w:b/>
                      <w:bCs/>
                      <w:color w:val="000000" w:themeColor="text1"/>
                      <w:kern w:val="0"/>
                      <w:sz w:val="32"/>
                      <w:szCs w:val="32"/>
                      <w:lang w:eastAsia="zh-CN"/>
                      <w14:textFill>
                        <w14:solidFill>
                          <w14:schemeClr w14:val="tx1"/>
                        </w14:solidFill>
                      </w14:textFill>
                    </w:rPr>
                  </w:pPr>
                  <w:r>
                    <w:rPr>
                      <w:rFonts w:hint="eastAsia" w:ascii="宋体" w:hAnsi="宋体" w:eastAsia="宋体" w:cs="宋体"/>
                      <w:b/>
                      <w:bCs/>
                      <w:color w:val="000000" w:themeColor="text1"/>
                      <w:kern w:val="0"/>
                      <w:sz w:val="32"/>
                      <w:szCs w:val="32"/>
                      <w:lang w:eastAsia="zh-CN"/>
                      <w14:textFill>
                        <w14:solidFill>
                          <w14:schemeClr w14:val="tx1"/>
                        </w14:solidFill>
                      </w14:textFill>
                    </w:rPr>
                    <w:drawing>
                      <wp:inline distT="0" distB="0" distL="114300" distR="114300">
                        <wp:extent cx="2398395" cy="1799590"/>
                        <wp:effectExtent l="0" t="0" r="1905" b="3810"/>
                        <wp:docPr id="10" name="图片 10" descr="88083757061601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880837570616014506"/>
                                <pic:cNvPicPr>
                                  <a:picLocks noChangeAspect="1"/>
                                </pic:cNvPicPr>
                              </pic:nvPicPr>
                              <pic:blipFill>
                                <a:blip r:embed="rId8"/>
                                <a:stretch>
                                  <a:fillRect/>
                                </a:stretch>
                              </pic:blipFill>
                              <pic:spPr>
                                <a:xfrm>
                                  <a:off x="0" y="0"/>
                                  <a:ext cx="2398395" cy="179959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color w:val="000000" w:themeColor="text1"/>
                      <w14:textFill>
                        <w14:solidFill>
                          <w14:schemeClr w14:val="tx1"/>
                        </w14:solidFill>
                      </w14:textFill>
                    </w:rPr>
                  </w:pPr>
                  <w:r>
                    <w:rPr>
                      <w:rFonts w:hint="eastAsia"/>
                      <w:color w:val="000000" w:themeColor="text1"/>
                      <w:szCs w:val="21"/>
                      <w:lang w:val="en-GB" w:eastAsia="zh-CN"/>
                      <w14:textFill>
                        <w14:solidFill>
                          <w14:schemeClr w14:val="tx1"/>
                        </w14:solidFill>
                      </w14:textFill>
                    </w:rPr>
                    <w:t>石圈滩</w:t>
                  </w:r>
                  <w:r>
                    <w:rPr>
                      <w:rFonts w:hint="eastAsia"/>
                      <w:color w:val="000000" w:themeColor="text1"/>
                      <w:szCs w:val="21"/>
                      <w:lang w:val="en-GB"/>
                      <w14:textFill>
                        <w14:solidFill>
                          <w14:schemeClr w14:val="tx1"/>
                        </w14:solidFill>
                      </w14:textFill>
                    </w:rPr>
                    <w:t>（施工前）</w:t>
                  </w:r>
                </w:p>
              </w:tc>
              <w:tc>
                <w:tcPr>
                  <w:tcW w:w="2478" w:type="pct"/>
                  <w:noWrap w:val="0"/>
                  <w:vAlign w:val="center"/>
                </w:tcPr>
                <w:p>
                  <w:pPr>
                    <w:jc w:val="center"/>
                    <w:rPr>
                      <w:color w:val="000000" w:themeColor="text1"/>
                      <w14:textFill>
                        <w14:solidFill>
                          <w14:schemeClr w14:val="tx1"/>
                        </w14:solidFill>
                      </w14:textFill>
                    </w:rPr>
                  </w:pPr>
                  <w:r>
                    <w:rPr>
                      <w:rFonts w:hint="eastAsia"/>
                      <w:color w:val="000000" w:themeColor="text1"/>
                      <w:szCs w:val="21"/>
                      <w:lang w:val="en-GB" w:eastAsia="zh-CN"/>
                      <w14:textFill>
                        <w14:solidFill>
                          <w14:schemeClr w14:val="tx1"/>
                        </w14:solidFill>
                      </w14:textFill>
                    </w:rPr>
                    <w:t>石圈滩</w:t>
                  </w:r>
                  <w:r>
                    <w:rPr>
                      <w:rFonts w:hint="eastAsia"/>
                      <w:color w:val="000000" w:themeColor="text1"/>
                      <w:szCs w:val="21"/>
                      <w:lang w:val="en-GB"/>
                      <w14:textFill>
                        <w14:solidFill>
                          <w14:schemeClr w14:val="tx1"/>
                        </w14:solidFill>
                      </w14:textFill>
                    </w:rPr>
                    <w:t>（恢复后）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noWrap w:val="0"/>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ascii="宋体" w:hAnsi="宋体" w:cs="宋体"/>
                      <w:b/>
                      <w:bCs/>
                      <w:color w:val="000000" w:themeColor="text1"/>
                      <w:kern w:val="0"/>
                      <w:sz w:val="24"/>
                      <w:szCs w:val="24"/>
                      <w:lang w:val="en-US" w:eastAsia="zh-CN"/>
                      <w14:textFill>
                        <w14:solidFill>
                          <w14:schemeClr w14:val="tx1"/>
                        </w14:solidFill>
                      </w14:textFill>
                    </w:rPr>
                    <w:t>南缘阿拉尔井场恢复前后照片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rFonts w:hint="eastAsia" w:eastAsia="宋体"/>
                      <w:color w:val="000000" w:themeColor="text1"/>
                      <w:szCs w:val="21"/>
                      <w:lang w:val="en-GB" w:eastAsia="zh-CN"/>
                      <w14:textFill>
                        <w14:solidFill>
                          <w14:schemeClr w14:val="tx1"/>
                        </w14:solidFill>
                      </w14:textFill>
                    </w:rPr>
                  </w:pPr>
                  <w:r>
                    <w:rPr>
                      <w:rFonts w:hint="eastAsia" w:eastAsia="宋体"/>
                      <w:color w:val="000000" w:themeColor="text1"/>
                      <w:szCs w:val="21"/>
                      <w:lang w:val="en-GB" w:eastAsia="zh-CN"/>
                      <w14:textFill>
                        <w14:solidFill>
                          <w14:schemeClr w14:val="tx1"/>
                        </w14:solidFill>
                      </w14:textFill>
                    </w:rPr>
                    <w:drawing>
                      <wp:inline distT="0" distB="0" distL="114300" distR="114300">
                        <wp:extent cx="2918460" cy="2188845"/>
                        <wp:effectExtent l="0" t="0" r="2540" b="8255"/>
                        <wp:docPr id="11" name="图片 11" descr="230129995358600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30129995358600408"/>
                                <pic:cNvPicPr>
                                  <a:picLocks noChangeAspect="1"/>
                                </pic:cNvPicPr>
                              </pic:nvPicPr>
                              <pic:blipFill>
                                <a:blip r:embed="rId9"/>
                                <a:stretch>
                                  <a:fillRect/>
                                </a:stretch>
                              </pic:blipFill>
                              <pic:spPr>
                                <a:xfrm>
                                  <a:off x="0" y="0"/>
                                  <a:ext cx="2918460" cy="2188845"/>
                                </a:xfrm>
                                <a:prstGeom prst="rect">
                                  <a:avLst/>
                                </a:prstGeom>
                              </pic:spPr>
                            </pic:pic>
                          </a:graphicData>
                        </a:graphic>
                      </wp:inline>
                    </w:drawing>
                  </w:r>
                </w:p>
              </w:tc>
              <w:tc>
                <w:tcPr>
                  <w:tcW w:w="2478" w:type="pct"/>
                  <w:noWrap w:val="0"/>
                  <w:vAlign w:val="center"/>
                </w:tcPr>
                <w:p>
                  <w:pPr>
                    <w:jc w:val="center"/>
                    <w:rPr>
                      <w:rFonts w:hint="eastAsia" w:eastAsia="宋体"/>
                      <w:color w:val="000000" w:themeColor="text1"/>
                      <w:szCs w:val="21"/>
                      <w:lang w:val="en-GB" w:eastAsia="zh-CN"/>
                      <w14:textFill>
                        <w14:solidFill>
                          <w14:schemeClr w14:val="tx1"/>
                        </w14:solidFill>
                      </w14:textFill>
                    </w:rPr>
                  </w:pPr>
                  <w:r>
                    <w:rPr>
                      <w:rFonts w:hint="eastAsia" w:eastAsia="宋体"/>
                      <w:color w:val="000000" w:themeColor="text1"/>
                      <w:szCs w:val="21"/>
                      <w:lang w:val="en-GB" w:eastAsia="zh-CN"/>
                      <w14:textFill>
                        <w14:solidFill>
                          <w14:schemeClr w14:val="tx1"/>
                        </w14:solidFill>
                      </w14:textFill>
                    </w:rPr>
                    <w:drawing>
                      <wp:inline distT="0" distB="0" distL="114300" distR="114300">
                        <wp:extent cx="2669540" cy="1609090"/>
                        <wp:effectExtent l="0" t="0" r="3810" b="10160"/>
                        <wp:docPr id="13" name="图片 13" descr="12916817021521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2916817021521566"/>
                                <pic:cNvPicPr>
                                  <a:picLocks noChangeAspect="1"/>
                                </pic:cNvPicPr>
                              </pic:nvPicPr>
                              <pic:blipFill>
                                <a:blip r:embed="rId10"/>
                                <a:srcRect r="6661"/>
                                <a:stretch>
                                  <a:fillRect/>
                                </a:stretch>
                              </pic:blipFill>
                              <pic:spPr>
                                <a:xfrm rot="5400000">
                                  <a:off x="0" y="0"/>
                                  <a:ext cx="2669540" cy="160909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南缘阿拉尔</w:t>
                  </w:r>
                  <w:r>
                    <w:rPr>
                      <w:rFonts w:hint="eastAsia"/>
                      <w:color w:val="000000" w:themeColor="text1"/>
                      <w:szCs w:val="21"/>
                      <w:lang w:val="en-GB"/>
                      <w14:textFill>
                        <w14:solidFill>
                          <w14:schemeClr w14:val="tx1"/>
                        </w14:solidFill>
                      </w14:textFill>
                    </w:rPr>
                    <w:t>地区（施工前）</w:t>
                  </w:r>
                </w:p>
              </w:tc>
              <w:tc>
                <w:tcPr>
                  <w:tcW w:w="2478" w:type="pct"/>
                  <w:noWrap w:val="0"/>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南缘阿拉尔</w:t>
                  </w:r>
                  <w:r>
                    <w:rPr>
                      <w:rFonts w:hint="eastAsia"/>
                      <w:color w:val="000000" w:themeColor="text1"/>
                      <w:szCs w:val="21"/>
                      <w:lang w:val="en-GB"/>
                      <w14:textFill>
                        <w14:solidFill>
                          <w14:schemeClr w14:val="tx1"/>
                        </w14:solidFill>
                      </w14:textFill>
                    </w:rPr>
                    <w:t>地区（恢复后）</w:t>
                  </w:r>
                </w:p>
              </w:tc>
            </w:tr>
          </w:tbl>
          <w:p>
            <w:pPr>
              <w:spacing w:line="360" w:lineRule="auto"/>
              <w:ind w:firstLine="532" w:firstLineChars="200"/>
              <w:rPr>
                <w:rFonts w:eastAsia="黑体"/>
                <w:color w:val="000000" w:themeColor="text1"/>
                <w:w w:val="95"/>
                <w:sz w:val="28"/>
                <w:lang w:val="en-GB"/>
                <w14:textFill>
                  <w14:solidFill>
                    <w14:schemeClr w14:val="tx1"/>
                  </w14:solidFill>
                </w14:textFill>
              </w:rPr>
            </w:pPr>
          </w:p>
          <w:p>
            <w:pPr>
              <w:pStyle w:val="3"/>
              <w:rPr>
                <w:rFonts w:eastAsia="黑体"/>
                <w:color w:val="000000" w:themeColor="text1"/>
                <w:w w:val="95"/>
                <w:sz w:val="28"/>
                <w:lang w:val="en-GB"/>
                <w14:textFill>
                  <w14:solidFill>
                    <w14:schemeClr w14:val="tx1"/>
                  </w14:solidFill>
                </w14:textFill>
              </w:rPr>
            </w:pPr>
          </w:p>
          <w:p>
            <w:pPr>
              <w:rPr>
                <w:rFonts w:eastAsia="黑体"/>
                <w:color w:val="000000" w:themeColor="text1"/>
                <w:w w:val="95"/>
                <w:sz w:val="28"/>
                <w:lang w:val="en-GB"/>
                <w14:textFill>
                  <w14:solidFill>
                    <w14:schemeClr w14:val="tx1"/>
                  </w14:solidFill>
                </w14:textFill>
              </w:rPr>
            </w:pPr>
          </w:p>
          <w:p>
            <w:pPr>
              <w:pStyle w:val="2"/>
              <w:rPr>
                <w:rFonts w:eastAsia="黑体"/>
                <w:color w:val="000000" w:themeColor="text1"/>
                <w:w w:val="95"/>
                <w:sz w:val="28"/>
                <w:lang w:val="en-GB"/>
                <w14:textFill>
                  <w14:solidFill>
                    <w14:schemeClr w14:val="tx1"/>
                  </w14:solidFill>
                </w14:textFill>
              </w:rPr>
            </w:pPr>
          </w:p>
          <w:p>
            <w:pPr>
              <w:rPr>
                <w:rFonts w:eastAsia="黑体"/>
                <w:color w:val="000000" w:themeColor="text1"/>
                <w:w w:val="95"/>
                <w:sz w:val="28"/>
                <w:lang w:val="en-GB"/>
                <w14:textFill>
                  <w14:solidFill>
                    <w14:schemeClr w14:val="tx1"/>
                  </w14:solidFill>
                </w14:textFill>
              </w:rPr>
            </w:pPr>
          </w:p>
          <w:p>
            <w:pPr>
              <w:pStyle w:val="2"/>
              <w:rPr>
                <w:rFonts w:eastAsia="黑体"/>
                <w:color w:val="000000" w:themeColor="text1"/>
                <w:w w:val="95"/>
                <w:sz w:val="28"/>
                <w:lang w:val="en-GB"/>
                <w14:textFill>
                  <w14:solidFill>
                    <w14:schemeClr w14:val="tx1"/>
                  </w14:solidFill>
                </w14:textFill>
              </w:rPr>
            </w:pPr>
          </w:p>
          <w:p>
            <w:pPr>
              <w:rPr>
                <w:rFonts w:eastAsia="黑体"/>
                <w:color w:val="000000" w:themeColor="text1"/>
                <w:w w:val="95"/>
                <w:sz w:val="28"/>
                <w:lang w:val="en-GB"/>
                <w14:textFill>
                  <w14:solidFill>
                    <w14:schemeClr w14:val="tx1"/>
                  </w14:solidFill>
                </w14:textFill>
              </w:rPr>
            </w:pPr>
          </w:p>
          <w:p>
            <w:pPr>
              <w:pStyle w:val="2"/>
              <w:rPr>
                <w:color w:val="000000" w:themeColor="text1"/>
                <w:lang w:val="en-GB"/>
                <w14:textFill>
                  <w14:solidFill>
                    <w14:schemeClr w14:val="tx1"/>
                  </w14:solidFill>
                </w14:textFill>
              </w:rPr>
            </w:pPr>
          </w:p>
          <w:p>
            <w:pPr>
              <w:rPr>
                <w:rFonts w:eastAsia="黑体"/>
                <w:color w:val="000000" w:themeColor="text1"/>
                <w:w w:val="95"/>
                <w:sz w:val="28"/>
                <w:lang w:val="en-GB"/>
                <w14:textFill>
                  <w14:solidFill>
                    <w14:schemeClr w14:val="tx1"/>
                  </w14:solidFill>
                </w14:textFill>
              </w:rPr>
            </w:pPr>
          </w:p>
          <w:p>
            <w:pPr>
              <w:pStyle w:val="3"/>
              <w:rPr>
                <w:color w:val="000000" w:themeColor="text1"/>
                <w:lang w:val="en-GB"/>
                <w14:textFill>
                  <w14:solidFill>
                    <w14:schemeClr w14:val="tx1"/>
                  </w14:solidFill>
                </w14:textFill>
              </w:rPr>
            </w:pPr>
          </w:p>
          <w:p>
            <w:pPr>
              <w:spacing w:line="360" w:lineRule="auto"/>
              <w:ind w:firstLine="532" w:firstLineChars="200"/>
              <w:rPr>
                <w:rFonts w:eastAsia="黑体"/>
                <w:color w:val="000000" w:themeColor="text1"/>
                <w:w w:val="95"/>
                <w:sz w:val="28"/>
                <w14:textFill>
                  <w14:solidFill>
                    <w14:schemeClr w14:val="tx1"/>
                  </w14:solidFill>
                </w14:textFill>
              </w:rPr>
            </w:pPr>
          </w:p>
          <w:p>
            <w:pPr>
              <w:spacing w:line="360" w:lineRule="auto"/>
              <w:rPr>
                <w:rFonts w:eastAsia="黑体"/>
                <w:color w:val="000000" w:themeColor="text1"/>
                <w:w w:val="95"/>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r>
        <w:rPr>
          <w:rFonts w:eastAsia="黑体"/>
          <w:color w:val="000000" w:themeColor="text1"/>
          <w:w w:val="95"/>
          <w:sz w:val="32"/>
          <w14:textFill>
            <w14:solidFill>
              <w14:schemeClr w14:val="tx1"/>
            </w14:solidFill>
          </w14:textFill>
        </w:rPr>
        <w:t>二、编制依据</w:t>
      </w:r>
    </w:p>
    <w:tbl>
      <w:tblPr>
        <w:tblStyle w:val="12"/>
        <w:tblW w:w="491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644"/>
        <w:gridCol w:w="914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49" w:hRule="atLeast"/>
          <w:jc w:val="center"/>
        </w:trPr>
        <w:tc>
          <w:tcPr>
            <w:tcW w:w="329" w:type="pct"/>
            <w:tcBorders>
              <w:right w:val="single" w:color="auto" w:sz="4" w:space="0"/>
            </w:tcBorders>
            <w:vAlign w:val="center"/>
          </w:tcPr>
          <w:p>
            <w:pPr>
              <w:spacing w:line="360" w:lineRule="auto"/>
              <w:jc w:val="center"/>
              <w:rPr>
                <w:rFonts w:eastAsia="黑体"/>
                <w:color w:val="000000" w:themeColor="text1"/>
                <w:w w:val="95"/>
                <w:sz w:val="24"/>
                <w14:textFill>
                  <w14:solidFill>
                    <w14:schemeClr w14:val="tx1"/>
                  </w14:solidFill>
                </w14:textFill>
              </w:rPr>
            </w:pPr>
            <w:r>
              <w:rPr>
                <w:color w:val="000000" w:themeColor="text1"/>
                <w:sz w:val="24"/>
                <w14:textFill>
                  <w14:solidFill>
                    <w14:schemeClr w14:val="tx1"/>
                  </w14:solidFill>
                </w14:textFill>
              </w:rPr>
              <w:t>法规标准</w:t>
            </w:r>
          </w:p>
        </w:tc>
        <w:tc>
          <w:tcPr>
            <w:tcW w:w="4670" w:type="pct"/>
            <w:tcBorders>
              <w:left w:val="single" w:color="auto" w:sz="4" w:space="0"/>
            </w:tcBorders>
          </w:tcPr>
          <w:p>
            <w:pPr>
              <w:autoSpaceDE w:val="0"/>
              <w:autoSpaceDN w:val="0"/>
              <w:adjustRightInd w:val="0"/>
              <w:spacing w:line="360" w:lineRule="auto"/>
              <w:rPr>
                <w:b/>
                <w:bCs/>
                <w:color w:val="000000" w:themeColor="text1"/>
                <w:sz w:val="24"/>
                <w:lang w:val="zh-CN"/>
                <w14:textFill>
                  <w14:solidFill>
                    <w14:schemeClr w14:val="tx1"/>
                  </w14:solidFill>
                </w14:textFill>
              </w:rPr>
            </w:pPr>
            <w:r>
              <w:rPr>
                <w:b/>
                <w:bCs/>
                <w:color w:val="000000" w:themeColor="text1"/>
                <w:sz w:val="24"/>
                <w:lang w:val="zh-CN"/>
                <w14:textFill>
                  <w14:solidFill>
                    <w14:schemeClr w14:val="tx1"/>
                  </w14:solidFill>
                </w14:textFill>
              </w:rPr>
              <w:t>1</w:t>
            </w:r>
            <w:r>
              <w:rPr>
                <w:rFonts w:hint="eastAsia"/>
                <w:b/>
                <w:bCs/>
                <w:color w:val="000000" w:themeColor="text1"/>
                <w:sz w:val="24"/>
                <w:lang w:val="zh-CN"/>
                <w14:textFill>
                  <w14:solidFill>
                    <w14:schemeClr w14:val="tx1"/>
                  </w14:solidFill>
                </w14:textFill>
              </w:rPr>
              <w:t>、国家法律、法规</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（1）《中华人民共和国环境保护法》（修订），2015年1月1日；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（2）《中华人民共和国环境影响评价法》（修订），2018年12月29日；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（3）《中华人民共和国放射性污染防治法》，2003年10月1日施行；</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（4）《中华人民共和国大气污染防治法》（修订），2018年10月26日修订实施。</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（5）《中华人民共和国水污染防治法》（修订），2017年6月27日；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（6）《中华人民共和国固体废物污染环境防治法》（修订），20</w:t>
            </w:r>
            <w:r>
              <w:rPr>
                <w:color w:val="000000" w:themeColor="text1"/>
                <w:sz w:val="24"/>
                <w:lang w:val="zh-CN"/>
                <w14:textFill>
                  <w14:solidFill>
                    <w14:schemeClr w14:val="tx1"/>
                  </w14:solidFill>
                </w14:textFill>
              </w:rPr>
              <w:t>20</w:t>
            </w:r>
            <w:r>
              <w:rPr>
                <w:rFonts w:hint="eastAsia"/>
                <w:color w:val="000000" w:themeColor="text1"/>
                <w:sz w:val="24"/>
                <w:lang w:val="zh-CN"/>
                <w14:textFill>
                  <w14:solidFill>
                    <w14:schemeClr w14:val="tx1"/>
                  </w14:solidFill>
                </w14:textFill>
              </w:rPr>
              <w:t>年</w:t>
            </w:r>
            <w:r>
              <w:rPr>
                <w:color w:val="000000" w:themeColor="text1"/>
                <w:sz w:val="24"/>
                <w:lang w:val="zh-CN"/>
                <w14:textFill>
                  <w14:solidFill>
                    <w14:schemeClr w14:val="tx1"/>
                  </w14:solidFill>
                </w14:textFill>
              </w:rPr>
              <w:t>4</w:t>
            </w:r>
            <w:r>
              <w:rPr>
                <w:rFonts w:hint="eastAsia"/>
                <w:color w:val="000000" w:themeColor="text1"/>
                <w:sz w:val="24"/>
                <w:lang w:val="zh-CN"/>
                <w14:textFill>
                  <w14:solidFill>
                    <w14:schemeClr w14:val="tx1"/>
                  </w14:solidFill>
                </w14:textFill>
              </w:rPr>
              <w:t>月</w:t>
            </w:r>
            <w:r>
              <w:rPr>
                <w:color w:val="000000" w:themeColor="text1"/>
                <w:sz w:val="24"/>
                <w:lang w:val="zh-CN"/>
                <w14:textFill>
                  <w14:solidFill>
                    <w14:schemeClr w14:val="tx1"/>
                  </w14:solidFill>
                </w14:textFill>
              </w:rPr>
              <w:t>29</w:t>
            </w:r>
            <w:r>
              <w:rPr>
                <w:rFonts w:hint="eastAsia"/>
                <w:color w:val="000000" w:themeColor="text1"/>
                <w:sz w:val="24"/>
                <w:lang w:val="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（7）《中华人民共和国噪声污染防治法》（修订），2018年12月29日；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（8）《中华人民共和国自然保护区条例》（修订），2017年10月07日；</w:t>
            </w:r>
          </w:p>
          <w:p>
            <w:pPr>
              <w:adjustRightInd w:val="0"/>
              <w:spacing w:line="360" w:lineRule="auto"/>
              <w:ind w:firstLine="480"/>
              <w:rPr>
                <w:rFonts w:ascii="Times New Roman" w:cs="Times New Roman"/>
                <w:color w:val="000000" w:themeColor="text1"/>
                <w:sz w:val="24"/>
                <w:szCs w:val="24"/>
                <w:lang w:eastAsia="zh-CN"/>
                <w14:textFill>
                  <w14:solidFill>
                    <w14:schemeClr w14:val="tx1"/>
                  </w14:solidFill>
                </w14:textFill>
              </w:rPr>
            </w:pPr>
            <w:r>
              <w:rPr>
                <w:rFonts w:hint="eastAsia"/>
                <w:color w:val="000000" w:themeColor="text1"/>
                <w:sz w:val="24"/>
                <w:lang w:val="zh-CN"/>
                <w14:textFill>
                  <w14:solidFill>
                    <w14:schemeClr w14:val="tx1"/>
                  </w14:solidFill>
                </w14:textFill>
              </w:rPr>
              <w:t>（9）</w:t>
            </w: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eastAsia="zh-CN"/>
                <w14:textFill>
                  <w14:solidFill>
                    <w14:schemeClr w14:val="tx1"/>
                  </w14:solidFill>
                </w14:textFill>
              </w:rPr>
              <w:t>中华人民共和国放射性污染防治法</w:t>
            </w: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eastAsia="zh-CN"/>
                <w14:textFill>
                  <w14:solidFill>
                    <w14:schemeClr w14:val="tx1"/>
                  </w14:solidFill>
                </w14:textFill>
              </w:rPr>
              <w:t>2003年6月28日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10</w:t>
            </w:r>
            <w:r>
              <w:rPr>
                <w:rFonts w:hint="eastAsia"/>
                <w:color w:val="000000" w:themeColor="text1"/>
                <w:sz w:val="24"/>
                <w:lang w:val="zh-CN"/>
                <w14:textFill>
                  <w14:solidFill>
                    <w14:schemeClr w14:val="tx1"/>
                  </w14:solidFill>
                </w14:textFill>
              </w:rPr>
              <w:t>）《中华人民共和国水土保持法》，2011年3月1日；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val="zh-CN"/>
                <w14:textFill>
                  <w14:solidFill>
                    <w14:schemeClr w14:val="tx1"/>
                  </w14:solidFill>
                </w14:textFill>
              </w:rPr>
              <w:t>）《中华人民共和国草原法》，2013年6月29日；</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val="en-US" w:eastAsia="zh-CN"/>
                <w14:textFill>
                  <w14:solidFill>
                    <w14:schemeClr w14:val="tx1"/>
                  </w14:solidFill>
                </w14:textFill>
              </w:rPr>
              <w:t>12</w:t>
            </w:r>
            <w:r>
              <w:rPr>
                <w:rFonts w:hint="eastAsia" w:ascii="Times New Roman" w:cs="Times New Roman"/>
                <w:color w:val="000000" w:themeColor="text1"/>
                <w:sz w:val="24"/>
                <w:szCs w:val="24"/>
                <w:lang w:val="zh-CN" w:eastAsia="zh-CN"/>
                <w14:textFill>
                  <w14:solidFill>
                    <w14:schemeClr w14:val="tx1"/>
                  </w14:solidFill>
                </w14:textFill>
              </w:rPr>
              <w:t>）</w:t>
            </w:r>
            <w:r>
              <w:rPr>
                <w:rFonts w:ascii="Times New Roman" w:cs="Times New Roman"/>
                <w:color w:val="000000" w:themeColor="text1"/>
                <w:sz w:val="24"/>
                <w:szCs w:val="24"/>
                <w:lang w:val="zh-CN" w:eastAsia="zh-CN"/>
                <w14:textFill>
                  <w14:solidFill>
                    <w14:schemeClr w14:val="tx1"/>
                  </w14:solidFill>
                </w14:textFill>
              </w:rPr>
              <w:t>《中华人民共和国水土保持法》，</w:t>
            </w:r>
            <w:r>
              <w:rPr>
                <w:rFonts w:ascii="Times New Roman" w:hAnsi="Times New Roman" w:cs="Times New Roman"/>
                <w:color w:val="000000" w:themeColor="text1"/>
                <w:sz w:val="24"/>
                <w:szCs w:val="24"/>
                <w:lang w:val="en-GB" w:eastAsia="zh-CN"/>
                <w14:textFill>
                  <w14:solidFill>
                    <w14:schemeClr w14:val="tx1"/>
                  </w14:solidFill>
                </w14:textFill>
              </w:rPr>
              <w:t>2011</w:t>
            </w:r>
            <w:r>
              <w:rPr>
                <w:rFonts w:ascii="Times New Roman" w:cs="Times New Roman"/>
                <w:color w:val="000000" w:themeColor="text1"/>
                <w:sz w:val="24"/>
                <w:szCs w:val="24"/>
                <w:lang w:val="zh-CN" w:eastAsia="zh-CN"/>
                <w14:textFill>
                  <w14:solidFill>
                    <w14:schemeClr w14:val="tx1"/>
                  </w14:solidFill>
                </w14:textFill>
              </w:rPr>
              <w:t>年</w:t>
            </w:r>
            <w:r>
              <w:rPr>
                <w:rFonts w:ascii="Times New Roman" w:hAnsi="Times New Roman" w:cs="Times New Roman"/>
                <w:color w:val="000000" w:themeColor="text1"/>
                <w:sz w:val="24"/>
                <w:szCs w:val="24"/>
                <w:lang w:val="en-GB" w:eastAsia="zh-CN"/>
                <w14:textFill>
                  <w14:solidFill>
                    <w14:schemeClr w14:val="tx1"/>
                  </w14:solidFill>
                </w14:textFill>
              </w:rPr>
              <w:t>3</w:t>
            </w:r>
            <w:r>
              <w:rPr>
                <w:rFonts w:ascii="Times New Roman" w:cs="Times New Roman"/>
                <w:color w:val="000000" w:themeColor="text1"/>
                <w:sz w:val="24"/>
                <w:szCs w:val="24"/>
                <w:lang w:val="zh-CN" w:eastAsia="zh-CN"/>
                <w14:textFill>
                  <w14:solidFill>
                    <w14:schemeClr w14:val="tx1"/>
                  </w14:solidFill>
                </w14:textFill>
              </w:rPr>
              <w:t>月</w:t>
            </w:r>
            <w:r>
              <w:rPr>
                <w:rFonts w:ascii="Times New Roman" w:hAnsi="Times New Roman" w:cs="Times New Roman"/>
                <w:color w:val="000000" w:themeColor="text1"/>
                <w:sz w:val="24"/>
                <w:szCs w:val="24"/>
                <w:lang w:val="en-GB" w:eastAsia="zh-CN"/>
                <w14:textFill>
                  <w14:solidFill>
                    <w14:schemeClr w14:val="tx1"/>
                  </w14:solidFill>
                </w14:textFill>
              </w:rPr>
              <w:t>1</w:t>
            </w:r>
            <w:r>
              <w:rPr>
                <w:rFonts w:ascii="Times New Roman" w:cs="Times New Roman"/>
                <w:color w:val="000000" w:themeColor="text1"/>
                <w:sz w:val="24"/>
                <w:szCs w:val="24"/>
                <w:lang w:val="zh-CN"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val="zh-CN"/>
                <w14:textFill>
                  <w14:solidFill>
                    <w14:schemeClr w14:val="tx1"/>
                  </w14:solidFill>
                </w14:textFill>
              </w:rPr>
              <w:t>）《中华人民共和国森林法》(修订)，2018年3月19日；</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val="en-US" w:eastAsia="zh-CN"/>
                <w14:textFill>
                  <w14:solidFill>
                    <w14:schemeClr w14:val="tx1"/>
                  </w14:solidFill>
                </w14:textFill>
              </w:rPr>
              <w:t>14</w:t>
            </w:r>
            <w:r>
              <w:rPr>
                <w:rFonts w:hint="eastAsia" w:ascii="Times New Roman" w:cs="Times New Roman"/>
                <w:color w:val="000000" w:themeColor="text1"/>
                <w:sz w:val="24"/>
                <w:szCs w:val="24"/>
                <w:lang w:val="zh-CN" w:eastAsia="zh-CN"/>
                <w14:textFill>
                  <w14:solidFill>
                    <w14:schemeClr w14:val="tx1"/>
                  </w14:solidFill>
                </w14:textFill>
              </w:rPr>
              <w:t>）</w:t>
            </w:r>
            <w:r>
              <w:rPr>
                <w:rFonts w:ascii="Times New Roman" w:cs="Times New Roman"/>
                <w:color w:val="000000" w:themeColor="text1"/>
                <w:sz w:val="24"/>
                <w:szCs w:val="24"/>
                <w:lang w:val="zh-CN" w:eastAsia="zh-CN"/>
                <w14:textFill>
                  <w14:solidFill>
                    <w14:schemeClr w14:val="tx1"/>
                  </w14:solidFill>
                </w14:textFill>
              </w:rPr>
              <w:t>中华人民共和国自然保护区条例》（</w:t>
            </w:r>
            <w:r>
              <w:rPr>
                <w:rFonts w:ascii="Times New Roman" w:cs="Times New Roman"/>
                <w:color w:val="000000" w:themeColor="text1"/>
                <w:sz w:val="24"/>
                <w:szCs w:val="24"/>
                <w:lang w:eastAsia="zh-CN"/>
                <w14:textFill>
                  <w14:solidFill>
                    <w14:schemeClr w14:val="tx1"/>
                  </w14:solidFill>
                </w14:textFill>
              </w:rPr>
              <w:t>修订</w:t>
            </w:r>
            <w:r>
              <w:rPr>
                <w:rFonts w:ascii="Times New Roman" w:cs="Times New Roman"/>
                <w:color w:val="000000" w:themeColor="text1"/>
                <w:sz w:val="24"/>
                <w:szCs w:val="24"/>
                <w:lang w:val="zh-CN"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2017</w:t>
            </w:r>
            <w:r>
              <w:rPr>
                <w:rFonts w:ascii="Times New Roman" w:cs="Times New Roman"/>
                <w:color w:val="000000" w:themeColor="text1"/>
                <w:sz w:val="24"/>
                <w:szCs w:val="24"/>
                <w:lang w:eastAsia="zh-CN"/>
                <w14:textFill>
                  <w14:solidFill>
                    <w14:schemeClr w14:val="tx1"/>
                  </w14:solidFill>
                </w14:textFill>
              </w:rPr>
              <w:t>年</w:t>
            </w:r>
            <w:r>
              <w:rPr>
                <w:rFonts w:ascii="Times New Roman" w:hAnsi="Times New Roman" w:cs="Times New Roman"/>
                <w:color w:val="000000" w:themeColor="text1"/>
                <w:sz w:val="24"/>
                <w:szCs w:val="24"/>
                <w:lang w:eastAsia="zh-CN"/>
                <w14:textFill>
                  <w14:solidFill>
                    <w14:schemeClr w14:val="tx1"/>
                  </w14:solidFill>
                </w14:textFill>
              </w:rPr>
              <w:t>10</w:t>
            </w:r>
            <w:r>
              <w:rPr>
                <w:rFonts w:ascii="Times New Roman" w:cs="Times New Roman"/>
                <w:color w:val="000000" w:themeColor="text1"/>
                <w:sz w:val="24"/>
                <w:szCs w:val="24"/>
                <w:lang w:eastAsia="zh-CN"/>
                <w14:textFill>
                  <w14:solidFill>
                    <w14:schemeClr w14:val="tx1"/>
                  </w14:solidFill>
                </w14:textFill>
              </w:rPr>
              <w:t>月</w:t>
            </w:r>
            <w:r>
              <w:rPr>
                <w:rFonts w:ascii="Times New Roman" w:hAnsi="Times New Roman" w:cs="Times New Roman"/>
                <w:color w:val="000000" w:themeColor="text1"/>
                <w:sz w:val="24"/>
                <w:szCs w:val="24"/>
                <w:lang w:eastAsia="zh-CN"/>
                <w14:textFill>
                  <w14:solidFill>
                    <w14:schemeClr w14:val="tx1"/>
                  </w14:solidFill>
                </w14:textFill>
              </w:rPr>
              <w:t>07</w:t>
            </w:r>
            <w:r>
              <w:rPr>
                <w:rFonts w:ascii="Times New Roman" w:cs="Times New Roman"/>
                <w:color w:val="000000" w:themeColor="text1"/>
                <w:sz w:val="24"/>
                <w:szCs w:val="24"/>
                <w:lang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5</w:t>
            </w:r>
            <w:r>
              <w:rPr>
                <w:rFonts w:hint="eastAsia"/>
                <w:color w:val="000000" w:themeColor="text1"/>
                <w:sz w:val="24"/>
                <w:lang w:val="zh-CN"/>
                <w14:textFill>
                  <w14:solidFill>
                    <w14:schemeClr w14:val="tx1"/>
                  </w14:solidFill>
                </w14:textFill>
              </w:rPr>
              <w:t>）《风景名胜区条例》（修订），2016年2月6日；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6</w:t>
            </w:r>
            <w:r>
              <w:rPr>
                <w:rFonts w:hint="eastAsia"/>
                <w:color w:val="000000" w:themeColor="text1"/>
                <w:sz w:val="24"/>
                <w:lang w:val="zh-CN"/>
                <w14:textFill>
                  <w14:solidFill>
                    <w14:schemeClr w14:val="tx1"/>
                  </w14:solidFill>
                </w14:textFill>
              </w:rPr>
              <w:t>）《森林公园管理办法》（修订），2016年9月22日；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zh-CN"/>
                <w14:textFill>
                  <w14:solidFill>
                    <w14:schemeClr w14:val="tx1"/>
                  </w14:solidFill>
                </w14:textFill>
              </w:rPr>
              <w:t>）《中华人民共和国土地管理法》，2004年8月28日；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8</w:t>
            </w:r>
            <w:r>
              <w:rPr>
                <w:rFonts w:hint="eastAsia"/>
                <w:color w:val="000000" w:themeColor="text1"/>
                <w:sz w:val="24"/>
                <w:lang w:val="zh-CN"/>
                <w14:textFill>
                  <w14:solidFill>
                    <w14:schemeClr w14:val="tx1"/>
                  </w14:solidFill>
                </w14:textFill>
              </w:rPr>
              <w:t>）《中华人民共和国节约能源法》（修正），2018年10月26日；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9</w:t>
            </w:r>
            <w:r>
              <w:rPr>
                <w:rFonts w:hint="eastAsia"/>
                <w:color w:val="000000" w:themeColor="text1"/>
                <w:sz w:val="24"/>
                <w:lang w:val="zh-CN"/>
                <w14:textFill>
                  <w14:solidFill>
                    <w14:schemeClr w14:val="tx1"/>
                  </w14:solidFill>
                </w14:textFill>
              </w:rPr>
              <w:t>）《中华人民共和国野生动物保护法》（修正），2018年10月26日；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20</w:t>
            </w:r>
            <w:r>
              <w:rPr>
                <w:rFonts w:hint="eastAsia"/>
                <w:color w:val="000000" w:themeColor="text1"/>
                <w:sz w:val="24"/>
                <w:lang w:val="zh-CN"/>
                <w14:textFill>
                  <w14:solidFill>
                    <w14:schemeClr w14:val="tx1"/>
                  </w14:solidFill>
                </w14:textFill>
              </w:rPr>
              <w:t>）《建设项目环境保护管理条例》（修订），2017年10月1日施行；</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21</w:t>
            </w:r>
            <w:r>
              <w:rPr>
                <w:rFonts w:hint="eastAsia"/>
                <w:color w:val="000000" w:themeColor="text1"/>
                <w:sz w:val="24"/>
                <w:lang w:val="zh-CN"/>
                <w14:textFill>
                  <w14:solidFill>
                    <w14:schemeClr w14:val="tx1"/>
                  </w14:solidFill>
                </w14:textFill>
              </w:rPr>
              <w:t>）《建设项目环境影响评价分类管理名录（</w:t>
            </w:r>
            <w:r>
              <w:rPr>
                <w:rFonts w:hint="eastAsia"/>
                <w:color w:val="000000" w:themeColor="text1"/>
                <w:sz w:val="24"/>
                <w:lang w:val="en-US" w:eastAsia="zh-CN"/>
                <w14:textFill>
                  <w14:solidFill>
                    <w14:schemeClr w14:val="tx1"/>
                  </w14:solidFill>
                </w14:textFill>
              </w:rPr>
              <w:t>2021年版</w:t>
            </w:r>
            <w:r>
              <w:rPr>
                <w:rFonts w:hint="eastAsia"/>
                <w:color w:val="000000" w:themeColor="text1"/>
                <w:sz w:val="24"/>
                <w:lang w:val="zh-CN"/>
                <w14:textFill>
                  <w14:solidFill>
                    <w14:schemeClr w14:val="tx1"/>
                  </w14:solidFill>
                </w14:textFill>
              </w:rPr>
              <w:t>）》，生态环境部令第1</w:t>
            </w:r>
            <w:r>
              <w:rPr>
                <w:color w:val="000000" w:themeColor="text1"/>
                <w:sz w:val="24"/>
                <w:lang w:val="zh-CN"/>
                <w14:textFill>
                  <w14:solidFill>
                    <w14:schemeClr w14:val="tx1"/>
                  </w14:solidFill>
                </w14:textFill>
              </w:rPr>
              <w:t>6</w:t>
            </w:r>
            <w:r>
              <w:rPr>
                <w:rFonts w:hint="eastAsia"/>
                <w:color w:val="000000" w:themeColor="text1"/>
                <w:sz w:val="24"/>
                <w:lang w:val="zh-CN"/>
                <w14:textFill>
                  <w14:solidFill>
                    <w14:schemeClr w14:val="tx1"/>
                  </w14:solidFill>
                </w14:textFill>
              </w:rPr>
              <w:t>号，20</w:t>
            </w:r>
            <w:r>
              <w:rPr>
                <w:color w:val="000000" w:themeColor="text1"/>
                <w:sz w:val="24"/>
                <w:lang w:val="zh-CN"/>
                <w14:textFill>
                  <w14:solidFill>
                    <w14:schemeClr w14:val="tx1"/>
                  </w14:solidFill>
                </w14:textFill>
              </w:rPr>
              <w:t>21</w:t>
            </w:r>
            <w:r>
              <w:rPr>
                <w:rFonts w:hint="eastAsia"/>
                <w:color w:val="000000" w:themeColor="text1"/>
                <w:sz w:val="24"/>
                <w:lang w:val="zh-CN"/>
                <w14:textFill>
                  <w14:solidFill>
                    <w14:schemeClr w14:val="tx1"/>
                  </w14:solidFill>
                </w14:textFill>
              </w:rPr>
              <w:t>年</w:t>
            </w:r>
            <w:r>
              <w:rPr>
                <w:color w:val="000000" w:themeColor="text1"/>
                <w:sz w:val="24"/>
                <w:lang w:val="zh-CN"/>
                <w14:textFill>
                  <w14:solidFill>
                    <w14:schemeClr w14:val="tx1"/>
                  </w14:solidFill>
                </w14:textFill>
              </w:rPr>
              <w:t>1</w:t>
            </w:r>
            <w:r>
              <w:rPr>
                <w:rFonts w:hint="eastAsia"/>
                <w:color w:val="000000" w:themeColor="text1"/>
                <w:sz w:val="24"/>
                <w:lang w:val="zh-CN"/>
                <w14:textFill>
                  <w14:solidFill>
                    <w14:schemeClr w14:val="tx1"/>
                  </w14:solidFill>
                </w14:textFill>
              </w:rPr>
              <w:t>月</w:t>
            </w:r>
            <w:r>
              <w:rPr>
                <w:color w:val="000000" w:themeColor="text1"/>
                <w:sz w:val="24"/>
                <w:lang w:val="zh-CN"/>
                <w14:textFill>
                  <w14:solidFill>
                    <w14:schemeClr w14:val="tx1"/>
                  </w14:solidFill>
                </w14:textFill>
              </w:rPr>
              <w:t>1</w:t>
            </w:r>
            <w:r>
              <w:rPr>
                <w:rFonts w:hint="eastAsia"/>
                <w:color w:val="000000" w:themeColor="text1"/>
                <w:sz w:val="24"/>
                <w:lang w:val="zh-CN"/>
                <w14:textFill>
                  <w14:solidFill>
                    <w14:schemeClr w14:val="tx1"/>
                  </w14:solidFill>
                </w14:textFill>
              </w:rPr>
              <w:t>日实施；</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22</w:t>
            </w:r>
            <w:r>
              <w:rPr>
                <w:rFonts w:hint="eastAsia"/>
                <w:color w:val="000000" w:themeColor="text1"/>
                <w:sz w:val="24"/>
                <w:lang w:val="zh-CN"/>
                <w14:textFill>
                  <w14:solidFill>
                    <w14:schemeClr w14:val="tx1"/>
                  </w14:solidFill>
                </w14:textFill>
              </w:rPr>
              <w:t>）《产业结构调整指导目录（2019年本）》，中华人民共和国发展和改革委员会第29号，2020年1月1日实施；</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（2</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val="zh-CN"/>
                <w14:textFill>
                  <w14:solidFill>
                    <w14:schemeClr w14:val="tx1"/>
                  </w14:solidFill>
                </w14:textFill>
              </w:rPr>
              <w:t>）《关于发布&lt;放射性废物分类&gt;的公告》（环境保护部、工业和信息化部、国防科工局2017年第65号公告，2018年1月1日起施行。</w:t>
            </w:r>
          </w:p>
          <w:p>
            <w:pPr>
              <w:autoSpaceDE w:val="0"/>
              <w:autoSpaceDN w:val="0"/>
              <w:adjustRightInd w:val="0"/>
              <w:spacing w:line="360" w:lineRule="auto"/>
              <w:ind w:firstLine="480" w:firstLineChars="200"/>
              <w:rPr>
                <w:rFonts w:hint="eastAsia"/>
                <w:b/>
                <w:bCs/>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（24）《国家危险废物名录（2021年版）》，生态环境部令第15号，2021年1月1日起施行。</w:t>
            </w:r>
          </w:p>
          <w:p>
            <w:pPr>
              <w:autoSpaceDE w:val="0"/>
              <w:autoSpaceDN w:val="0"/>
              <w:adjustRightInd w:val="0"/>
              <w:spacing w:line="360" w:lineRule="auto"/>
              <w:rPr>
                <w:b/>
                <w:bCs/>
                <w:color w:val="000000" w:themeColor="text1"/>
                <w:sz w:val="24"/>
                <w:lang w:val="zh-CN"/>
                <w14:textFill>
                  <w14:solidFill>
                    <w14:schemeClr w14:val="tx1"/>
                  </w14:solidFill>
                </w14:textFill>
              </w:rPr>
            </w:pPr>
            <w:r>
              <w:rPr>
                <w:rFonts w:hint="eastAsia"/>
                <w:b/>
                <w:bCs/>
                <w:color w:val="000000" w:themeColor="text1"/>
                <w:sz w:val="24"/>
                <w14:textFill>
                  <w14:solidFill>
                    <w14:schemeClr w14:val="tx1"/>
                  </w14:solidFill>
                </w14:textFill>
              </w:rPr>
              <w:t>2</w:t>
            </w:r>
            <w:r>
              <w:rPr>
                <w:rFonts w:hint="eastAsia"/>
                <w:b/>
                <w:bCs/>
                <w:color w:val="000000" w:themeColor="text1"/>
                <w:sz w:val="24"/>
                <w:lang w:val="zh-CN"/>
                <w14:textFill>
                  <w14:solidFill>
                    <w14:schemeClr w14:val="tx1"/>
                  </w14:solidFill>
                </w14:textFill>
              </w:rPr>
              <w:t>、</w:t>
            </w:r>
            <w:r>
              <w:rPr>
                <w:rFonts w:hint="eastAsia"/>
                <w:b/>
                <w:bCs/>
                <w:color w:val="000000" w:themeColor="text1"/>
                <w:sz w:val="24"/>
                <w14:textFill>
                  <w14:solidFill>
                    <w14:schemeClr w14:val="tx1"/>
                  </w14:solidFill>
                </w14:textFill>
              </w:rPr>
              <w:t>地方</w:t>
            </w:r>
            <w:r>
              <w:rPr>
                <w:rFonts w:hint="eastAsia"/>
                <w:b/>
                <w:bCs/>
                <w:color w:val="000000" w:themeColor="text1"/>
                <w:sz w:val="24"/>
                <w:lang w:val="zh-CN"/>
                <w14:textFill>
                  <w14:solidFill>
                    <w14:schemeClr w14:val="tx1"/>
                  </w14:solidFill>
                </w14:textFill>
              </w:rPr>
              <w:t>法律、法规</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14:textFill>
                  <w14:solidFill>
                    <w14:schemeClr w14:val="tx1"/>
                  </w14:solidFill>
                </w14:textFill>
              </w:rPr>
              <w:t>（1）《青海省环境保护条例》，</w:t>
            </w:r>
            <w:r>
              <w:rPr>
                <w:color w:val="000000" w:themeColor="text1"/>
                <w:sz w:val="24"/>
                <w14:textFill>
                  <w14:solidFill>
                    <w14:schemeClr w14:val="tx1"/>
                  </w14:solidFill>
                </w14:textFill>
              </w:rPr>
              <w:t>2012</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ascii="宋体" w:hAnsi="宋体" w:cs="宋体"/>
                <w:color w:val="000000" w:themeColor="text1"/>
                <w:kern w:val="0"/>
                <w:sz w:val="24"/>
                <w:lang w:bidi="ar"/>
                <w14:textFill>
                  <w14:solidFill>
                    <w14:schemeClr w14:val="tx1"/>
                  </w14:solidFill>
                </w14:textFill>
              </w:rPr>
              <w:t>（</w:t>
            </w:r>
            <w:r>
              <w:rPr>
                <w:rFonts w:hint="eastAsia"/>
                <w:color w:val="000000" w:themeColor="text1"/>
                <w:sz w:val="24"/>
                <w14:textFill>
                  <w14:solidFill>
                    <w14:schemeClr w14:val="tx1"/>
                  </w14:solidFill>
                </w14:textFill>
              </w:rPr>
              <w:t>2）《甘肃省环境保护条例》，</w:t>
            </w:r>
            <w:r>
              <w:rPr>
                <w:color w:val="000000" w:themeColor="text1"/>
                <w:sz w:val="24"/>
                <w14:textFill>
                  <w14:solidFill>
                    <w14:schemeClr w14:val="tx1"/>
                  </w14:solidFill>
                </w14:textFill>
              </w:rPr>
              <w:t>2004</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6</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4</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）《新疆维吾尔自治区环境保护条例》(2016年12月1日新疆维吾尔自治区第十二届人民代表大会常务委员会第二十五次会议第二次修订，2017年1月1日实施)；</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（4）《青海省主体功能区规划》，</w:t>
            </w:r>
            <w:r>
              <w:rPr>
                <w:color w:val="000000" w:themeColor="text1"/>
                <w:sz w:val="24"/>
                <w14:textFill>
                  <w14:solidFill>
                    <w14:schemeClr w14:val="tx1"/>
                  </w14:solidFill>
                </w14:textFill>
              </w:rPr>
              <w:t>2014</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31</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）《甘肃省主体功能区规划》，</w:t>
            </w:r>
            <w:r>
              <w:rPr>
                <w:color w:val="000000" w:themeColor="text1"/>
                <w:sz w:val="24"/>
                <w14:textFill>
                  <w14:solidFill>
                    <w14:schemeClr w14:val="tx1"/>
                  </w14:solidFill>
                </w14:textFill>
              </w:rPr>
              <w:t>2012</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7</w:t>
            </w:r>
            <w:r>
              <w:rPr>
                <w:rFonts w:hint="eastAsia"/>
                <w:color w:val="000000" w:themeColor="text1"/>
                <w:sz w:val="24"/>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6</w:t>
            </w:r>
            <w:r>
              <w:rPr>
                <w:color w:val="000000" w:themeColor="text1"/>
                <w:sz w:val="24"/>
                <w14:textFill>
                  <w14:solidFill>
                    <w14:schemeClr w14:val="tx1"/>
                  </w14:solidFill>
                </w14:textFill>
              </w:rPr>
              <w:t>）《新疆维吾尔自治区主体功能区规划》；</w:t>
            </w:r>
            <w:r>
              <w:rPr>
                <w:rFonts w:hint="eastAsia"/>
                <w:color w:val="000000" w:themeColor="text1"/>
                <w:sz w:val="24"/>
                <w14:textFill>
                  <w14:solidFill>
                    <w14:schemeClr w14:val="tx1"/>
                  </w14:solidFill>
                </w14:textFill>
              </w:rPr>
              <w:t>2016年10月24日；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（7）《甘肃省生态功能区划》，</w:t>
            </w:r>
            <w:r>
              <w:rPr>
                <w:color w:val="000000" w:themeColor="text1"/>
                <w:sz w:val="24"/>
                <w14:textFill>
                  <w14:solidFill>
                    <w14:schemeClr w14:val="tx1"/>
                  </w14:solidFill>
                </w14:textFill>
              </w:rPr>
              <w:t>2004</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10</w:t>
            </w:r>
            <w:r>
              <w:rPr>
                <w:rFonts w:hint="eastAsia"/>
                <w:color w:val="000000" w:themeColor="text1"/>
                <w:sz w:val="24"/>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8</w:t>
            </w:r>
            <w:r>
              <w:rPr>
                <w:color w:val="000000" w:themeColor="text1"/>
                <w:sz w:val="24"/>
                <w14:textFill>
                  <w14:solidFill>
                    <w14:schemeClr w14:val="tx1"/>
                  </w14:solidFill>
                </w14:textFill>
              </w:rPr>
              <w:t>）《新疆生态功能区划》(新疆维吾尔自治区人民政府、新疆维吾尔自治区环保局，2012)；</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9</w:t>
            </w:r>
            <w:r>
              <w:rPr>
                <w:rFonts w:hint="eastAsia"/>
                <w:color w:val="000000" w:themeColor="text1"/>
                <w:sz w:val="24"/>
                <w14:textFill>
                  <w14:solidFill>
                    <w14:schemeClr w14:val="tx1"/>
                  </w14:solidFill>
                </w14:textFill>
              </w:rPr>
              <w:t>）《青海省水功能区划（</w:t>
            </w:r>
            <w:r>
              <w:rPr>
                <w:color w:val="000000" w:themeColor="text1"/>
                <w:sz w:val="24"/>
                <w14:textFill>
                  <w14:solidFill>
                    <w14:schemeClr w14:val="tx1"/>
                  </w14:solidFill>
                </w14:textFill>
              </w:rPr>
              <w:t>2015</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2020</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2014</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31</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（10）《甘肃省地表水功能区划（</w:t>
            </w:r>
            <w:r>
              <w:rPr>
                <w:color w:val="000000" w:themeColor="text1"/>
                <w:sz w:val="24"/>
                <w14:textFill>
                  <w14:solidFill>
                    <w14:schemeClr w14:val="tx1"/>
                  </w14:solidFill>
                </w14:textFill>
              </w:rPr>
              <w:t>2012</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2030</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2012</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8</w:t>
            </w:r>
            <w:r>
              <w:rPr>
                <w:rFonts w:hint="eastAsia"/>
                <w:color w:val="000000" w:themeColor="text1"/>
                <w:sz w:val="24"/>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11</w:t>
            </w:r>
            <w:r>
              <w:rPr>
                <w:color w:val="000000" w:themeColor="text1"/>
                <w:sz w:val="24"/>
                <w14:textFill>
                  <w14:solidFill>
                    <w14:schemeClr w14:val="tx1"/>
                  </w14:solidFill>
                </w14:textFill>
              </w:rPr>
              <w:t>）《新疆水环境功能区划》(新疆维吾尔自治区人民政府、新疆维吾尔自治区环保局，2005.11)；</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12</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《青海省湿地保护条例》，</w:t>
            </w:r>
            <w:r>
              <w:rPr>
                <w:color w:val="000000" w:themeColor="text1"/>
                <w:sz w:val="24"/>
                <w14:textFill>
                  <w14:solidFill>
                    <w14:schemeClr w14:val="tx1"/>
                  </w14:solidFill>
                </w14:textFill>
              </w:rPr>
              <w:t>2013</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9</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3</w:t>
            </w:r>
            <w:r>
              <w:rPr>
                <w:rFonts w:hint="eastAsia"/>
                <w:color w:val="000000" w:themeColor="text1"/>
                <w:sz w:val="24"/>
                <w14:textFill>
                  <w14:solidFill>
                    <w14:schemeClr w14:val="tx1"/>
                  </w14:solidFill>
                </w14:textFill>
              </w:rPr>
              <w:t>）《青海省生态文明建设促进条例》，</w:t>
            </w:r>
            <w:r>
              <w:rPr>
                <w:color w:val="000000" w:themeColor="text1"/>
                <w:sz w:val="24"/>
                <w14:textFill>
                  <w14:solidFill>
                    <w14:schemeClr w14:val="tx1"/>
                  </w14:solidFill>
                </w14:textFill>
              </w:rPr>
              <w:t>2015</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）《青海省饮用水水源保护条例》，</w:t>
            </w:r>
            <w:r>
              <w:rPr>
                <w:color w:val="000000" w:themeColor="text1"/>
                <w:sz w:val="24"/>
                <w14:textFill>
                  <w14:solidFill>
                    <w14:schemeClr w14:val="tx1"/>
                  </w14:solidFill>
                </w14:textFill>
              </w:rPr>
              <w:t>2012</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6</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）《青海省矿产资源管理条例》，</w:t>
            </w:r>
            <w:r>
              <w:rPr>
                <w:color w:val="000000" w:themeColor="text1"/>
                <w:sz w:val="24"/>
                <w14:textFill>
                  <w14:solidFill>
                    <w14:schemeClr w14:val="tx1"/>
                  </w14:solidFill>
                </w14:textFill>
              </w:rPr>
              <w:t>2000</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）《甘肃省辐射污染防治条例》，</w:t>
            </w:r>
            <w:r>
              <w:rPr>
                <w:color w:val="000000" w:themeColor="text1"/>
                <w:sz w:val="24"/>
                <w14:textFill>
                  <w14:solidFill>
                    <w14:schemeClr w14:val="tx1"/>
                  </w14:solidFill>
                </w14:textFill>
              </w:rPr>
              <w:t>2015</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7</w:t>
            </w:r>
            <w:r>
              <w:rPr>
                <w:color w:val="000000" w:themeColor="text1"/>
                <w:sz w:val="24"/>
                <w14:textFill>
                  <w14:solidFill>
                    <w14:schemeClr w14:val="tx1"/>
                  </w14:solidFill>
                </w14:textFill>
              </w:rPr>
              <w:t>）《新疆维吾尔自治区辐射污染防治办法》，新疆维吾尔自治区人民政府第192号令，2015年7月1日实施。</w:t>
            </w:r>
          </w:p>
          <w:p>
            <w:pPr>
              <w:autoSpaceDE w:val="0"/>
              <w:autoSpaceDN w:val="0"/>
              <w:adjustRightInd w:val="0"/>
              <w:spacing w:line="360" w:lineRule="auto"/>
              <w:ind w:firstLine="480" w:firstLineChars="200"/>
              <w:rPr>
                <w:color w:val="000000" w:themeColor="text1"/>
                <w14:textFill>
                  <w14:solidFill>
                    <w14:schemeClr w14:val="tx1"/>
                  </w14:solidFill>
                </w14:textFill>
              </w:rPr>
            </w:pP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8</w:t>
            </w:r>
            <w:r>
              <w:rPr>
                <w:rFonts w:hint="eastAsia"/>
                <w:color w:val="000000" w:themeColor="text1"/>
                <w:sz w:val="24"/>
                <w14:textFill>
                  <w14:solidFill>
                    <w14:schemeClr w14:val="tx1"/>
                  </w14:solidFill>
                </w14:textFill>
              </w:rPr>
              <w:t>）《青海省国家重点生态功能区产业准入负面清单（试行）》，</w:t>
            </w:r>
            <w:r>
              <w:rPr>
                <w:color w:val="000000" w:themeColor="text1"/>
                <w:sz w:val="24"/>
                <w14:textFill>
                  <w14:solidFill>
                    <w14:schemeClr w14:val="tx1"/>
                  </w14:solidFill>
                </w14:textFill>
              </w:rPr>
              <w:t>2017</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18</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9</w:t>
            </w:r>
            <w:r>
              <w:rPr>
                <w:rFonts w:hint="eastAsia"/>
                <w:color w:val="000000" w:themeColor="text1"/>
                <w:sz w:val="24"/>
                <w14:textFill>
                  <w14:solidFill>
                    <w14:schemeClr w14:val="tx1"/>
                  </w14:solidFill>
                </w14:textFill>
              </w:rPr>
              <w:t>）《甘肃省国家重点生态功能区产业准入负面清单（试行）》，</w:t>
            </w:r>
            <w:r>
              <w:rPr>
                <w:color w:val="000000" w:themeColor="text1"/>
                <w:sz w:val="24"/>
                <w14:textFill>
                  <w14:solidFill>
                    <w14:schemeClr w14:val="tx1"/>
                  </w14:solidFill>
                </w14:textFill>
              </w:rPr>
              <w:t>2017</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8</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22</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20</w:t>
            </w:r>
            <w:r>
              <w:rPr>
                <w:color w:val="000000" w:themeColor="text1"/>
                <w:sz w:val="24"/>
                <w14:textFill>
                  <w14:solidFill>
                    <w14:schemeClr w14:val="tx1"/>
                  </w14:solidFill>
                </w14:textFill>
              </w:rPr>
              <w:t>）《新疆维吾尔自治区17个新增纳入国家重点生态功能区县(市)产业准入负面清单（试行）》（新发改规划</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2017</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1796号，2017年12月30日）；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1</w:t>
            </w:r>
            <w:r>
              <w:rPr>
                <w:color w:val="000000" w:themeColor="text1"/>
                <w:sz w:val="24"/>
                <w14:textFill>
                  <w14:solidFill>
                    <w14:schemeClr w14:val="tx1"/>
                  </w14:solidFill>
                </w14:textFill>
              </w:rPr>
              <w:t>）《新疆维吾尔自治区28个国家重点生态功能区县(市)产业准入负面清单（试行）》（新发改规划</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2017</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891号，2017年6月29日）；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）《青海省矿产资源总体规划（</w:t>
            </w:r>
            <w:r>
              <w:rPr>
                <w:color w:val="000000" w:themeColor="text1"/>
                <w:sz w:val="24"/>
                <w14:textFill>
                  <w14:solidFill>
                    <w14:schemeClr w14:val="tx1"/>
                  </w14:solidFill>
                </w14:textFill>
              </w:rPr>
              <w:t>2016</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2020</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2017</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24</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3</w:t>
            </w:r>
            <w:r>
              <w:rPr>
                <w:rFonts w:hint="eastAsia"/>
                <w:color w:val="000000" w:themeColor="text1"/>
                <w:sz w:val="24"/>
                <w14:textFill>
                  <w14:solidFill>
                    <w14:schemeClr w14:val="tx1"/>
                  </w14:solidFill>
                </w14:textFill>
              </w:rPr>
              <w:t>）《甘肃省矿产资源总体规划（2016～2020年）》，2017年9月13日；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）《新疆维吾尔自治区矿产资源总体规划（</w:t>
            </w:r>
            <w:r>
              <w:rPr>
                <w:color w:val="000000" w:themeColor="text1"/>
                <w:sz w:val="24"/>
                <w14:textFill>
                  <w14:solidFill>
                    <w14:schemeClr w14:val="tx1"/>
                  </w14:solidFill>
                </w14:textFill>
              </w:rPr>
              <w:t>2016-2020</w:t>
            </w:r>
            <w:r>
              <w:rPr>
                <w:rFonts w:hint="eastAsia"/>
                <w:color w:val="000000" w:themeColor="text1"/>
                <w:sz w:val="24"/>
                <w14:textFill>
                  <w14:solidFill>
                    <w14:schemeClr w14:val="tx1"/>
                  </w14:solidFill>
                </w14:textFill>
              </w:rPr>
              <w:t>）》，2017年9月26日；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）《青海省人民政府关于实施“三线一单”生态环境分区管控的通知》（青政[2020]77号），2020年10月20日；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）《甘肃省人民政府关于实施“三线一单”生态环境分区管控的意见》（甘政发[2020]68号），</w:t>
            </w:r>
            <w:r>
              <w:rPr>
                <w:color w:val="000000" w:themeColor="text1"/>
                <w:sz w:val="24"/>
                <w14:textFill>
                  <w14:solidFill>
                    <w14:schemeClr w14:val="tx1"/>
                  </w14:solidFill>
                </w14:textFill>
              </w:rPr>
              <w:t>2020</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12</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29</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7</w:t>
            </w:r>
            <w:r>
              <w:rPr>
                <w:rFonts w:hint="eastAsia"/>
                <w:color w:val="000000" w:themeColor="text1"/>
                <w:sz w:val="24"/>
                <w14:textFill>
                  <w14:solidFill>
                    <w14:schemeClr w14:val="tx1"/>
                  </w14:solidFill>
                </w14:textFill>
              </w:rPr>
              <w:t>）《关于印发新疆维吾尔自治区“三线一单”生态环境分区管控的通知》（新政发[2021]8号），2021年2月21日；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8</w:t>
            </w:r>
            <w:r>
              <w:rPr>
                <w:rFonts w:hint="eastAsia"/>
                <w:color w:val="000000" w:themeColor="text1"/>
                <w:sz w:val="24"/>
                <w14:textFill>
                  <w14:solidFill>
                    <w14:schemeClr w14:val="tx1"/>
                  </w14:solidFill>
                </w14:textFill>
              </w:rPr>
              <w:t>）《青海省矿产资源勘查开发环境保护与生态修复管理规定》，</w:t>
            </w:r>
            <w:r>
              <w:rPr>
                <w:color w:val="000000" w:themeColor="text1"/>
                <w:sz w:val="24"/>
                <w14:textFill>
                  <w14:solidFill>
                    <w14:schemeClr w14:val="tx1"/>
                  </w14:solidFill>
                </w14:textFill>
              </w:rPr>
              <w:t>2011</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7</w:t>
            </w:r>
            <w:r>
              <w:rPr>
                <w:rFonts w:hint="eastAsia"/>
                <w:color w:val="000000" w:themeColor="text1"/>
                <w:sz w:val="24"/>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9</w:t>
            </w:r>
            <w:r>
              <w:rPr>
                <w:rFonts w:hint="eastAsia"/>
                <w:color w:val="000000" w:themeColor="text1"/>
                <w:sz w:val="24"/>
                <w14:textFill>
                  <w14:solidFill>
                    <w14:schemeClr w14:val="tx1"/>
                  </w14:solidFill>
                </w14:textFill>
              </w:rPr>
              <w:t>）《甘肃祁连山国家级自然保护区管理条例》，</w:t>
            </w:r>
            <w:r>
              <w:rPr>
                <w:color w:val="000000" w:themeColor="text1"/>
                <w:sz w:val="24"/>
                <w14:textFill>
                  <w14:solidFill>
                    <w14:schemeClr w14:val="tx1"/>
                  </w14:solidFill>
                </w14:textFill>
              </w:rPr>
              <w:t>2017</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11</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30</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14:textFill>
                  <w14:solidFill>
                    <w14:schemeClr w14:val="tx1"/>
                  </w14:solidFill>
                </w14:textFill>
              </w:rPr>
            </w:pP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30</w:t>
            </w:r>
            <w:r>
              <w:rPr>
                <w:rFonts w:hint="eastAsia"/>
                <w:color w:val="000000" w:themeColor="text1"/>
                <w:sz w:val="24"/>
                <w14:textFill>
                  <w14:solidFill>
                    <w14:schemeClr w14:val="tx1"/>
                  </w14:solidFill>
                </w14:textFill>
              </w:rPr>
              <w:t>）《甘肃省生态保护与建设规划（</w:t>
            </w:r>
            <w:r>
              <w:rPr>
                <w:color w:val="000000" w:themeColor="text1"/>
                <w:sz w:val="24"/>
                <w14:textFill>
                  <w14:solidFill>
                    <w14:schemeClr w14:val="tx1"/>
                  </w14:solidFill>
                </w14:textFill>
              </w:rPr>
              <w:t>2014</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2020</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2015</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4</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7</w:t>
            </w:r>
            <w:r>
              <w:rPr>
                <w:rFonts w:hint="eastAsia"/>
                <w:color w:val="000000" w:themeColor="text1"/>
                <w:sz w:val="24"/>
                <w14:textFill>
                  <w14:solidFill>
                    <w14:schemeClr w14:val="tx1"/>
                  </w14:solidFill>
                </w14:textFill>
              </w:rPr>
              <w:t>日</w:t>
            </w:r>
            <w:r>
              <w:rPr>
                <w:rFonts w:hint="eastAsia" w:ascii="宋体" w:hAnsi="宋体" w:cs="宋体"/>
                <w:color w:val="000000" w:themeColor="text1"/>
                <w:kern w:val="0"/>
                <w:sz w:val="24"/>
                <w:lang w:bidi="ar"/>
                <w14:textFill>
                  <w14:solidFill>
                    <w14:schemeClr w14:val="tx1"/>
                  </w14:solidFill>
                </w14:textFill>
              </w:rPr>
              <w:t>；</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（3</w:t>
            </w:r>
            <w:r>
              <w:rPr>
                <w:rFonts w:hint="eastAsia"/>
                <w:color w:val="000000" w:themeColor="text1"/>
                <w:sz w:val="24"/>
                <w:lang w:val="en-US" w:eastAsia="zh-CN"/>
                <w14:textFill>
                  <w14:solidFill>
                    <w14:schemeClr w14:val="tx1"/>
                  </w14:solidFill>
                </w14:textFill>
              </w:rPr>
              <w:t>1</w:t>
            </w:r>
            <w:r>
              <w:rPr>
                <w:color w:val="000000" w:themeColor="text1"/>
                <w:sz w:val="24"/>
                <w14:textFill>
                  <w14:solidFill>
                    <w14:schemeClr w14:val="tx1"/>
                  </w14:solidFill>
                </w14:textFill>
              </w:rPr>
              <w:t>）《关于修改〈自治区实施中华人民共和国野生动物保护法办法〉的决定》（新疆维吾尔自治区人大常委会，1997年1月22日）；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r>
              <w:rPr>
                <w:rFonts w:hint="eastAsia"/>
                <w:color w:val="000000" w:themeColor="text1"/>
                <w:sz w:val="24"/>
                <w:lang w:val="en-US" w:eastAsia="zh-CN"/>
                <w14:textFill>
                  <w14:solidFill>
                    <w14:schemeClr w14:val="tx1"/>
                  </w14:solidFill>
                </w14:textFill>
              </w:rPr>
              <w:t>2</w:t>
            </w:r>
            <w:r>
              <w:rPr>
                <w:color w:val="000000" w:themeColor="text1"/>
                <w:sz w:val="24"/>
                <w14:textFill>
                  <w14:solidFill>
                    <w14:schemeClr w14:val="tx1"/>
                  </w14:solidFill>
                </w14:textFill>
              </w:rPr>
              <w:t>）《新疆维吾尔自治区野生植物保护条例》(新疆维吾尔自治区人民代表大会常务委员会，2006.9.29)；</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r>
              <w:rPr>
                <w:rFonts w:hint="eastAsia"/>
                <w:color w:val="000000" w:themeColor="text1"/>
                <w:sz w:val="24"/>
                <w:lang w:val="en-US" w:eastAsia="zh-CN"/>
                <w14:textFill>
                  <w14:solidFill>
                    <w14:schemeClr w14:val="tx1"/>
                  </w14:solidFill>
                </w14:textFill>
              </w:rPr>
              <w:t>3</w:t>
            </w:r>
            <w:r>
              <w:rPr>
                <w:color w:val="000000" w:themeColor="text1"/>
                <w:sz w:val="24"/>
                <w14:textFill>
                  <w14:solidFill>
                    <w14:schemeClr w14:val="tx1"/>
                  </w14:solidFill>
                </w14:textFill>
              </w:rPr>
              <w:t>）《新疆维吾尔自治区实施&lt;中华人民共和国土地管理法&gt;办法》(新疆维吾尔自治区人大常委会，1999.10.1)；</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r>
              <w:rPr>
                <w:rFonts w:hint="eastAsia"/>
                <w:color w:val="000000" w:themeColor="text1"/>
                <w:sz w:val="24"/>
                <w:lang w:val="en-US" w:eastAsia="zh-CN"/>
                <w14:textFill>
                  <w14:solidFill>
                    <w14:schemeClr w14:val="tx1"/>
                  </w14:solidFill>
                </w14:textFill>
              </w:rPr>
              <w:t>4</w:t>
            </w:r>
            <w:r>
              <w:rPr>
                <w:color w:val="000000" w:themeColor="text1"/>
                <w:sz w:val="24"/>
                <w14:textFill>
                  <w14:solidFill>
                    <w14:schemeClr w14:val="tx1"/>
                  </w14:solidFill>
                </w14:textFill>
              </w:rPr>
              <w:t>）《新疆维吾尔自治区草原管理费征收管理办法》(新疆维吾尔自治区人民政府，新政函[1992]247号批准，新政发[1997]97号修订，1997.11.20)；</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r>
              <w:rPr>
                <w:rFonts w:hint="eastAsia"/>
                <w:color w:val="000000" w:themeColor="text1"/>
                <w:sz w:val="24"/>
                <w:lang w:val="en-US" w:eastAsia="zh-CN"/>
                <w14:textFill>
                  <w14:solidFill>
                    <w14:schemeClr w14:val="tx1"/>
                  </w14:solidFill>
                </w14:textFill>
              </w:rPr>
              <w:t>5</w:t>
            </w:r>
            <w:r>
              <w:rPr>
                <w:color w:val="000000" w:themeColor="text1"/>
                <w:sz w:val="24"/>
                <w14:textFill>
                  <w14:solidFill>
                    <w14:schemeClr w14:val="tx1"/>
                  </w14:solidFill>
                </w14:textFill>
              </w:rPr>
              <w:t>）《新疆维吾尔自治区实施&lt;草原法&gt;细则》（新疆维吾尔自治区人大常委会，1991.12.11）；</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r>
              <w:rPr>
                <w:rFonts w:hint="eastAsia"/>
                <w:color w:val="000000" w:themeColor="text1"/>
                <w:sz w:val="24"/>
                <w:lang w:val="en-US" w:eastAsia="zh-CN"/>
                <w14:textFill>
                  <w14:solidFill>
                    <w14:schemeClr w14:val="tx1"/>
                  </w14:solidFill>
                </w14:textFill>
              </w:rPr>
              <w:t>6</w:t>
            </w:r>
            <w:r>
              <w:rPr>
                <w:color w:val="000000" w:themeColor="text1"/>
                <w:sz w:val="24"/>
                <w14:textFill>
                  <w14:solidFill>
                    <w14:schemeClr w14:val="tx1"/>
                  </w14:solidFill>
                </w14:textFill>
              </w:rPr>
              <w:t>）《新疆维吾尔自治区重点保护野生植物名录（第一批）》（新政办发[2007]175 号）</w:t>
            </w:r>
            <w:r>
              <w:rPr>
                <w:rFonts w:hint="eastAsia"/>
                <w:color w:val="000000" w:themeColor="text1"/>
                <w:sz w:val="24"/>
                <w14:textFill>
                  <w14:solidFill>
                    <w14:schemeClr w14:val="tx1"/>
                  </w14:solidFill>
                </w14:textFill>
              </w:rPr>
              <w:t>。</w:t>
            </w:r>
          </w:p>
          <w:p>
            <w:pPr>
              <w:autoSpaceDE w:val="0"/>
              <w:autoSpaceDN w:val="0"/>
              <w:adjustRightInd w:val="0"/>
              <w:spacing w:line="360" w:lineRule="auto"/>
              <w:rPr>
                <w:b/>
                <w:bCs/>
                <w:color w:val="000000" w:themeColor="text1"/>
                <w:sz w:val="24"/>
                <w:lang w:val="zh-CN"/>
                <w14:textFill>
                  <w14:solidFill>
                    <w14:schemeClr w14:val="tx1"/>
                  </w14:solidFill>
                </w14:textFill>
              </w:rPr>
            </w:pPr>
            <w:r>
              <w:rPr>
                <w:rFonts w:hint="eastAsia"/>
                <w:b/>
                <w:bCs/>
                <w:color w:val="000000" w:themeColor="text1"/>
                <w:sz w:val="24"/>
                <w:lang w:val="zh-CN"/>
                <w14:textFill>
                  <w14:solidFill>
                    <w14:schemeClr w14:val="tx1"/>
                  </w14:solidFill>
                </w14:textFill>
              </w:rPr>
              <w:t>3、</w:t>
            </w:r>
            <w:r>
              <w:rPr>
                <w:b/>
                <w:bCs/>
                <w:color w:val="000000" w:themeColor="text1"/>
                <w:sz w:val="24"/>
                <w:lang w:val="zh-CN"/>
                <w14:textFill>
                  <w14:solidFill>
                    <w14:schemeClr w14:val="tx1"/>
                  </w14:solidFill>
                </w14:textFill>
              </w:rPr>
              <w:t>技术导则及规范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（1）《建设项目环境影响评价技术导则—总纲》（HJ2.1-2016）；</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（2）《环境影响评价技术导则—大气环境》（HJ2.2-2018）；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（3）《环境影响评价技术导则—地表水环境》（HJ2.3-2018）；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（4）《环境影响评价技术导则—地下水环境》（HJ610-2016）；</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（5）《环境影响评价技术导则—声环境》（HJ2.4-2009）；</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（6）《环境影响评价技术导则—生态影响》（HJ19-2011）；</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（7）《建设项目环境风险评价技术导则》（HJ169-2018）；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（8）《环境影响评价技术导则 土壤环境（试行）》（HJ964-2018）；</w:t>
            </w:r>
          </w:p>
          <w:p>
            <w:pPr>
              <w:spacing w:line="360" w:lineRule="auto"/>
              <w:ind w:firstLine="480" w:firstLineChars="200"/>
              <w:rPr>
                <w:rFonts w:eastAsia="黑体"/>
                <w:color w:val="000000" w:themeColor="text1"/>
                <w:w w:val="95"/>
                <w:sz w:val="24"/>
                <w14:textFill>
                  <w14:solidFill>
                    <w14:schemeClr w14:val="tx1"/>
                  </w14:solidFill>
                </w14:textFill>
              </w:rPr>
            </w:pPr>
            <w:r>
              <w:rPr>
                <w:rFonts w:hint="eastAsia"/>
                <w:color w:val="000000" w:themeColor="text1"/>
                <w:sz w:val="24"/>
                <w14:textFill>
                  <w14:solidFill>
                    <w14:schemeClr w14:val="tx1"/>
                  </w14:solidFill>
                </w14:textFill>
              </w:rPr>
              <w:t>（9）《环境影响评价技术导则 铀矿冶》（HJ1015.1-2019）。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92" w:hRule="atLeast"/>
          <w:jc w:val="center"/>
        </w:trPr>
        <w:tc>
          <w:tcPr>
            <w:tcW w:w="329" w:type="pct"/>
            <w:tcBorders>
              <w:right w:val="single" w:color="auto" w:sz="4" w:space="0"/>
            </w:tcBorders>
            <w:vAlign w:val="center"/>
          </w:tcPr>
          <w:p>
            <w:pPr>
              <w:spacing w:line="360" w:lineRule="auto"/>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相关文件</w:t>
            </w:r>
          </w:p>
        </w:tc>
        <w:tc>
          <w:tcPr>
            <w:tcW w:w="4670" w:type="pct"/>
            <w:tcBorders>
              <w:left w:val="single" w:color="auto" w:sz="4" w:space="0"/>
            </w:tcBorders>
            <w:vAlign w:val="center"/>
          </w:tcPr>
          <w:p>
            <w:pPr>
              <w:spacing w:line="360" w:lineRule="auto"/>
              <w:ind w:firstLine="480" w:firstLineChars="200"/>
              <w:rPr>
                <w:rFonts w:hint="eastAsia"/>
                <w:color w:val="000000" w:themeColor="text1"/>
                <w:sz w:val="24"/>
                <w14:textFill>
                  <w14:solidFill>
                    <w14:schemeClr w14:val="tx1"/>
                  </w14:solidFill>
                </w14:textFill>
              </w:rPr>
            </w:pPr>
          </w:p>
          <w:p>
            <w:pPr>
              <w:spacing w:line="360" w:lineRule="auto"/>
              <w:ind w:firstLine="480" w:firstLineChars="200"/>
              <w:rPr>
                <w:rFonts w:hint="eastAsia"/>
                <w:color w:val="000000" w:themeColor="text1"/>
                <w:sz w:val="24"/>
                <w14:textFill>
                  <w14:solidFill>
                    <w14:schemeClr w14:val="tx1"/>
                  </w14:solidFill>
                </w14:textFill>
              </w:rPr>
            </w:pPr>
          </w:p>
          <w:p>
            <w:pPr>
              <w:spacing w:line="360" w:lineRule="auto"/>
              <w:ind w:firstLine="480" w:firstLineChars="200"/>
              <w:rPr>
                <w:rFonts w:hint="eastAsia"/>
                <w:color w:val="000000" w:themeColor="text1"/>
                <w:sz w:val="24"/>
                <w14:textFill>
                  <w14:solidFill>
                    <w14:schemeClr w14:val="tx1"/>
                  </w14:solidFill>
                </w14:textFill>
              </w:rPr>
            </w:pPr>
          </w:p>
          <w:p>
            <w:pPr>
              <w:spacing w:line="360" w:lineRule="auto"/>
              <w:ind w:firstLine="480" w:firstLineChars="200"/>
              <w:rPr>
                <w:rFonts w:hint="eastAsia"/>
                <w:color w:val="000000" w:themeColor="text1"/>
                <w:sz w:val="24"/>
                <w14:textFill>
                  <w14:solidFill>
                    <w14:schemeClr w14:val="tx1"/>
                  </w14:solidFill>
                </w14:textFill>
              </w:rPr>
            </w:pP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（1）中国核工业地质局下达的铀矿地质项目任务书</w:t>
            </w:r>
            <w:r>
              <w:rPr>
                <w:rFonts w:hint="eastAsia"/>
                <w:color w:val="000000" w:themeColor="text1"/>
                <w:sz w:val="24"/>
                <w:lang w:eastAsia="zh-CN"/>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（2）建设单位提供的</w:t>
            </w:r>
            <w:r>
              <w:rPr>
                <w:rFonts w:hint="eastAsia"/>
                <w:color w:val="000000" w:themeColor="text1"/>
                <w:sz w:val="24"/>
                <w:lang w:val="en-US" w:eastAsia="zh-CN"/>
                <w14:textFill>
                  <w14:solidFill>
                    <w14:schemeClr w14:val="tx1"/>
                  </w14:solidFill>
                </w14:textFill>
              </w:rPr>
              <w:t>项目工作方案</w:t>
            </w:r>
            <w:r>
              <w:rPr>
                <w:rFonts w:hint="eastAsia"/>
                <w:color w:val="000000" w:themeColor="text1"/>
                <w:sz w:val="24"/>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）环评阶段收集、调查的自然保护区、风景名胜区等相关资料、图件等。</w:t>
            </w:r>
          </w:p>
          <w:p>
            <w:pPr>
              <w:spacing w:line="360" w:lineRule="auto"/>
              <w:ind w:firstLine="480" w:firstLineChars="200"/>
              <w:rPr>
                <w:rFonts w:hint="eastAsia"/>
                <w:color w:val="000000" w:themeColor="text1"/>
                <w:sz w:val="24"/>
                <w14:textFill>
                  <w14:solidFill>
                    <w14:schemeClr w14:val="tx1"/>
                  </w14:solidFill>
                </w14:textFill>
              </w:rPr>
            </w:pPr>
          </w:p>
          <w:p>
            <w:pPr>
              <w:spacing w:line="360" w:lineRule="auto"/>
              <w:ind w:firstLine="480" w:firstLineChars="200"/>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14:textFill>
                  <w14:solidFill>
                    <w14:schemeClr w14:val="tx1"/>
                  </w14:solidFill>
                </w14:textFill>
              </w:rPr>
            </w:pPr>
          </w:p>
          <w:p>
            <w:pPr>
              <w:spacing w:line="360" w:lineRule="auto"/>
              <w:ind w:firstLine="480" w:firstLineChars="200"/>
              <w:rPr>
                <w:rFonts w:hint="eastAsia"/>
                <w:color w:val="000000" w:themeColor="text1"/>
                <w:sz w:val="24"/>
                <w14:textFill>
                  <w14:solidFill>
                    <w14:schemeClr w14:val="tx1"/>
                  </w14:solidFill>
                </w14:textFill>
              </w:rPr>
            </w:pPr>
          </w:p>
          <w:p>
            <w:pPr>
              <w:spacing w:line="360" w:lineRule="auto"/>
              <w:ind w:firstLine="480" w:firstLineChars="200"/>
              <w:rPr>
                <w:rFonts w:hint="eastAsia"/>
                <w:color w:val="000000" w:themeColor="text1"/>
                <w:sz w:val="24"/>
                <w14:textFill>
                  <w14:solidFill>
                    <w14:schemeClr w14:val="tx1"/>
                  </w14:solidFill>
                </w14:textFill>
              </w:rPr>
            </w:pPr>
          </w:p>
          <w:p>
            <w:pPr>
              <w:spacing w:line="360" w:lineRule="auto"/>
              <w:ind w:firstLine="480" w:firstLineChars="200"/>
              <w:rPr>
                <w:rFonts w:hint="eastAsia"/>
                <w:color w:val="000000" w:themeColor="text1"/>
                <w:sz w:val="24"/>
                <w14:textFill>
                  <w14:solidFill>
                    <w14:schemeClr w14:val="tx1"/>
                  </w14:solidFill>
                </w14:textFill>
              </w:rPr>
            </w:pPr>
          </w:p>
          <w:p>
            <w:pPr>
              <w:spacing w:line="360" w:lineRule="auto"/>
              <w:ind w:firstLine="480" w:firstLineChars="200"/>
              <w:rPr>
                <w:color w:val="000000" w:themeColor="text1"/>
                <w:sz w:val="24"/>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bookmarkStart w:id="3" w:name="_Toc3795898"/>
      <w:r>
        <w:rPr>
          <w:rFonts w:hint="eastAsia" w:eastAsia="黑体"/>
          <w:color w:val="000000" w:themeColor="text1"/>
          <w:w w:val="95"/>
          <w:sz w:val="32"/>
          <w14:textFill>
            <w14:solidFill>
              <w14:schemeClr w14:val="tx1"/>
            </w14:solidFill>
          </w14:textFill>
        </w:rPr>
        <w:t>三、</w:t>
      </w:r>
      <w:r>
        <w:rPr>
          <w:rFonts w:eastAsia="黑体"/>
          <w:color w:val="000000" w:themeColor="text1"/>
          <w:w w:val="95"/>
          <w:sz w:val="32"/>
          <w14:textFill>
            <w14:solidFill>
              <w14:schemeClr w14:val="tx1"/>
            </w14:solidFill>
          </w14:textFill>
        </w:rPr>
        <w:t>建设项目所在地自然环境简况</w:t>
      </w:r>
      <w:bookmarkEnd w:id="3"/>
    </w:p>
    <w:tbl>
      <w:tblPr>
        <w:tblStyle w:val="12"/>
        <w:tblW w:w="4913"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95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170" w:hRule="atLeast"/>
          <w:jc w:val="center"/>
        </w:trPr>
        <w:tc>
          <w:tcPr>
            <w:tcW w:w="5000" w:type="pct"/>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自然环境简况(地形、地貌、地质、气候、气象、水文、植被、生物多样性等)：</w:t>
            </w:r>
          </w:p>
          <w:p>
            <w:pPr>
              <w:autoSpaceDE w:val="0"/>
              <w:autoSpaceDN w:val="0"/>
              <w:spacing w:line="360" w:lineRule="auto"/>
              <w:ind w:firstLine="480" w:firstLineChars="200"/>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1、</w:t>
            </w:r>
            <w:r>
              <w:rPr>
                <w:rFonts w:eastAsia="黑体"/>
                <w:color w:val="000000" w:themeColor="text1"/>
                <w:sz w:val="24"/>
                <w14:textFill>
                  <w14:solidFill>
                    <w14:schemeClr w14:val="tx1"/>
                  </w14:solidFill>
                </w14:textFill>
              </w:rPr>
              <w:t>地理位置</w:t>
            </w:r>
          </w:p>
          <w:p>
            <w:pPr>
              <w:spacing w:line="360" w:lineRule="auto"/>
              <w:ind w:firstLine="480" w:firstLineChars="200"/>
              <w:rPr>
                <w:color w:val="000000" w:themeColor="text1"/>
                <w:sz w:val="24"/>
                <w14:textFill>
                  <w14:solidFill>
                    <w14:schemeClr w14:val="tx1"/>
                  </w14:solidFill>
                </w14:textFill>
              </w:rPr>
            </w:pPr>
            <w:r>
              <w:rPr>
                <w:rFonts w:hint="eastAsia"/>
                <w:bCs/>
                <w:color w:val="000000" w:themeColor="text1"/>
                <w:sz w:val="24"/>
                <w:szCs w:val="20"/>
                <w:lang w:val="en-US" w:eastAsia="zh-CN"/>
                <w14:textFill>
                  <w14:solidFill>
                    <w14:schemeClr w14:val="tx1"/>
                  </w14:solidFill>
                </w14:textFill>
              </w:rPr>
              <w:t>勘查区</w:t>
            </w:r>
            <w:r>
              <w:rPr>
                <w:rFonts w:hint="eastAsia"/>
                <w:bCs/>
                <w:color w:val="000000" w:themeColor="text1"/>
                <w:sz w:val="24"/>
                <w:szCs w:val="20"/>
                <w14:textFill>
                  <w14:solidFill>
                    <w14:schemeClr w14:val="tx1"/>
                  </w14:solidFill>
                </w14:textFill>
              </w:rPr>
              <w:t>位于柴达木盆地，其行政区划隶属于海西蒙古族藏族自治州（包括：德令哈市、格尔木市、茫崖市、乌兰县、都兰县、</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"https://baike.baidu.com/item/%E5%A4%A7%E6%9F%B4%E6%97%A6%E8%A1%8C%E6%94%BF%E5%8C%BA/7878519" \t "https://baike.baidu.com/item/_blank" </w:instrText>
            </w:r>
            <w:r>
              <w:rPr>
                <w:color w:val="000000" w:themeColor="text1"/>
                <w14:textFill>
                  <w14:solidFill>
                    <w14:schemeClr w14:val="tx1"/>
                  </w14:solidFill>
                </w14:textFill>
              </w:rPr>
              <w:fldChar w:fldCharType="separate"/>
            </w:r>
            <w:r>
              <w:rPr>
                <w:rFonts w:hint="eastAsia"/>
                <w:bCs/>
                <w:color w:val="000000" w:themeColor="text1"/>
                <w:sz w:val="24"/>
                <w:szCs w:val="20"/>
                <w14:textFill>
                  <w14:solidFill>
                    <w14:schemeClr w14:val="tx1"/>
                  </w14:solidFill>
                </w14:textFill>
              </w:rPr>
              <w:t>大柴旦行政区</w:t>
            </w:r>
            <w:r>
              <w:rPr>
                <w:rFonts w:hint="eastAsia"/>
                <w:bCs/>
                <w:color w:val="000000" w:themeColor="text1"/>
                <w:sz w:val="24"/>
                <w:szCs w:val="20"/>
                <w14:textFill>
                  <w14:solidFill>
                    <w14:schemeClr w14:val="tx1"/>
                  </w14:solidFill>
                </w14:textFill>
              </w:rPr>
              <w:fldChar w:fldCharType="end"/>
            </w:r>
            <w:r>
              <w:rPr>
                <w:rFonts w:hint="eastAsia"/>
                <w:bCs/>
                <w:color w:val="000000" w:themeColor="text1"/>
                <w:sz w:val="24"/>
                <w:szCs w:val="20"/>
                <w14:textFill>
                  <w14:solidFill>
                    <w14:schemeClr w14:val="tx1"/>
                  </w14:solidFill>
                </w14:textFill>
              </w:rPr>
              <w:t>）、新疆维吾尔自治区若羌县管辖和</w:t>
            </w:r>
            <w:r>
              <w:rPr>
                <w:rFonts w:hint="eastAsia"/>
                <w:bCs/>
                <w:color w:val="000000" w:themeColor="text1"/>
                <w:sz w:val="24"/>
                <w:szCs w:val="20"/>
                <w:lang w:eastAsia="zh-CN"/>
                <w14:textFill>
                  <w14:solidFill>
                    <w14:schemeClr w14:val="tx1"/>
                  </w14:solidFill>
                </w14:textFill>
              </w:rPr>
              <w:t>甘肃省酒泉市阿克塞哈萨克族自治县</w:t>
            </w:r>
            <w:r>
              <w:rPr>
                <w:rFonts w:hint="eastAsia"/>
                <w:bCs/>
                <w:color w:val="000000" w:themeColor="text1"/>
                <w:sz w:val="24"/>
                <w:szCs w:val="20"/>
                <w14:textFill>
                  <w14:solidFill>
                    <w14:schemeClr w14:val="tx1"/>
                  </w14:solidFill>
                </w14:textFill>
              </w:rPr>
              <w:t>管辖。柴达木盆地为高原型盆地，地处青海省西北部，是一个被昆仑山、阿尔金山、祁连山等山脉环抱的封闭盆地。</w:t>
            </w:r>
          </w:p>
          <w:p>
            <w:pPr>
              <w:autoSpaceDE w:val="0"/>
              <w:autoSpaceDN w:val="0"/>
              <w:spacing w:line="360" w:lineRule="auto"/>
              <w:ind w:firstLine="480" w:firstLineChars="200"/>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2、地形、地貌</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柴达木盆地是我国第三大内陆盆地，其周边为祁连南山、阿尔金山、东昆仑山环绕。盆地周缘山势苍莽，平均海拔在4000m以上，是我国地势最高的盆地，属于山间高原盆地。陡峻的昆仑山雄踞于盆地南缘，长年积雪的阿尔金山耸立于西缘，壮丽的祁连山蜿蜒于盆地东北缘。盆地地势由西北向东南微倾，海拔自3000m渐降至2600m左右。地貌呈同心环状分布，自边缘至中心，洪积砾石扇形地（戈壁）、冲积一洪积粉砂质平原、湖积一冲积粉砂粘土质平原、湖积淤泥盐土平原有规律地依次递变，地势低洼处盐湖与沼泽广布</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见</w:t>
            </w:r>
            <w:r>
              <w:rPr>
                <w:color w:val="000000" w:themeColor="text1"/>
                <w:sz w:val="24"/>
                <w14:textFill>
                  <w14:solidFill>
                    <w14:schemeClr w14:val="tx1"/>
                  </w14:solidFill>
                </w14:textFill>
              </w:rPr>
              <w:t>图</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1</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本项目</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区</w:t>
            </w:r>
            <w:r>
              <w:rPr>
                <w:color w:val="000000" w:themeColor="text1"/>
                <w:sz w:val="24"/>
                <w14:textFill>
                  <w14:solidFill>
                    <w14:schemeClr w14:val="tx1"/>
                  </w14:solidFill>
                </w14:textFill>
              </w:rPr>
              <w:t>多为戈壁滩、沙漠、中低山和少量沼泽（照片</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-1、照片</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-2、照片</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-3、照片</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-4）。</w:t>
            </w:r>
          </w:p>
          <w:p>
            <w:pPr>
              <w:autoSpaceDE w:val="0"/>
              <w:autoSpaceDN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0" distR="0">
                  <wp:extent cx="6069965" cy="2771775"/>
                  <wp:effectExtent l="0" t="0" r="635" b="9525"/>
                  <wp:docPr id="12" name="图片 2" descr="C:\Users\CB-203\Desktop\1-2  柴达木盆地地貌分布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descr="C:\Users\CB-203\Desktop\1-2  柴达木盆地地貌分布图.jpg"/>
                          <pic:cNvPicPr>
                            <a:picLocks noChangeAspect="1" noChangeArrowheads="1"/>
                          </pic:cNvPicPr>
                        </pic:nvPicPr>
                        <pic:blipFill>
                          <a:blip r:embed="rId11"/>
                          <a:srcRect/>
                          <a:stretch>
                            <a:fillRect/>
                          </a:stretch>
                        </pic:blipFill>
                        <pic:spPr>
                          <a:xfrm>
                            <a:off x="0" y="0"/>
                            <a:ext cx="6069965" cy="2771775"/>
                          </a:xfrm>
                          <a:prstGeom prst="rect">
                            <a:avLst/>
                          </a:prstGeom>
                          <a:noFill/>
                          <a:ln w="9525">
                            <a:noFill/>
                            <a:miter lim="800000"/>
                            <a:headEnd/>
                            <a:tailEnd/>
                          </a:ln>
                        </pic:spPr>
                      </pic:pic>
                    </a:graphicData>
                  </a:graphic>
                </wp:inline>
              </w:drawing>
            </w:r>
          </w:p>
          <w:p>
            <w:pPr>
              <w:pStyle w:val="26"/>
              <w:spacing w:line="300" w:lineRule="atLeast"/>
              <w:ind w:firstLine="0" w:firstLineChars="0"/>
              <w:jc w:val="center"/>
              <w:rPr>
                <w:color w:val="000000" w:themeColor="text1"/>
                <w:sz w:val="18"/>
                <w:szCs w:val="18"/>
                <w14:textFill>
                  <w14:solidFill>
                    <w14:schemeClr w14:val="tx1"/>
                  </w14:solidFill>
                </w14:textFill>
              </w:rPr>
            </w:pPr>
            <w:r>
              <w:rPr>
                <w:rFonts w:hint="eastAsia"/>
                <w:color w:val="000000" w:themeColor="text1"/>
                <w:sz w:val="24"/>
                <w14:textFill>
                  <w14:solidFill>
                    <w14:schemeClr w14:val="tx1"/>
                  </w14:solidFill>
                </w14:textFill>
              </w:rPr>
              <w:t>注：</w:t>
            </w:r>
            <w:r>
              <w:rPr>
                <w:color w:val="000000" w:themeColor="text1"/>
                <w:sz w:val="18"/>
                <w:szCs w:val="18"/>
                <w14:textFill>
                  <w14:solidFill>
                    <w14:schemeClr w14:val="tx1"/>
                  </w14:solidFill>
                </w14:textFill>
              </w:rPr>
              <w:t>1-</w:t>
            </w:r>
            <w:r>
              <w:rPr>
                <w:rFonts w:hAnsi="宋体"/>
                <w:color w:val="000000" w:themeColor="text1"/>
                <w:sz w:val="18"/>
                <w:szCs w:val="18"/>
                <w14:textFill>
                  <w14:solidFill>
                    <w14:schemeClr w14:val="tx1"/>
                  </w14:solidFill>
                </w14:textFill>
              </w:rPr>
              <w:t>冰川、雪线；</w:t>
            </w:r>
            <w:r>
              <w:rPr>
                <w:color w:val="000000" w:themeColor="text1"/>
                <w:sz w:val="18"/>
                <w:szCs w:val="18"/>
                <w14:textFill>
                  <w14:solidFill>
                    <w14:schemeClr w14:val="tx1"/>
                  </w14:solidFill>
                </w14:textFill>
              </w:rPr>
              <w:t>2-</w:t>
            </w:r>
            <w:r>
              <w:rPr>
                <w:rFonts w:hAnsi="宋体"/>
                <w:color w:val="000000" w:themeColor="text1"/>
                <w:sz w:val="18"/>
                <w:szCs w:val="18"/>
                <w14:textFill>
                  <w14:solidFill>
                    <w14:schemeClr w14:val="tx1"/>
                  </w14:solidFill>
                </w14:textFill>
              </w:rPr>
              <w:t>高山区；</w:t>
            </w:r>
            <w:r>
              <w:rPr>
                <w:color w:val="000000" w:themeColor="text1"/>
                <w:sz w:val="18"/>
                <w:szCs w:val="18"/>
                <w14:textFill>
                  <w14:solidFill>
                    <w14:schemeClr w14:val="tx1"/>
                  </w14:solidFill>
                </w14:textFill>
              </w:rPr>
              <w:t>3-</w:t>
            </w:r>
            <w:r>
              <w:rPr>
                <w:rFonts w:hAnsi="宋体"/>
                <w:color w:val="000000" w:themeColor="text1"/>
                <w:sz w:val="18"/>
                <w:szCs w:val="18"/>
                <w14:textFill>
                  <w14:solidFill>
                    <w14:schemeClr w14:val="tx1"/>
                  </w14:solidFill>
                </w14:textFill>
              </w:rPr>
              <w:t>森林；</w:t>
            </w:r>
            <w:r>
              <w:rPr>
                <w:color w:val="000000" w:themeColor="text1"/>
                <w:sz w:val="18"/>
                <w:szCs w:val="18"/>
                <w14:textFill>
                  <w14:solidFill>
                    <w14:schemeClr w14:val="tx1"/>
                  </w14:solidFill>
                </w14:textFill>
              </w:rPr>
              <w:t>4-</w:t>
            </w:r>
            <w:r>
              <w:rPr>
                <w:rFonts w:hAnsi="宋体"/>
                <w:color w:val="000000" w:themeColor="text1"/>
                <w:sz w:val="18"/>
                <w:szCs w:val="18"/>
                <w14:textFill>
                  <w14:solidFill>
                    <w14:schemeClr w14:val="tx1"/>
                  </w14:solidFill>
                </w14:textFill>
              </w:rPr>
              <w:t>城镇；</w:t>
            </w:r>
            <w:r>
              <w:rPr>
                <w:color w:val="000000" w:themeColor="text1"/>
                <w:sz w:val="18"/>
                <w:szCs w:val="18"/>
                <w14:textFill>
                  <w14:solidFill>
                    <w14:schemeClr w14:val="tx1"/>
                  </w14:solidFill>
                </w14:textFill>
              </w:rPr>
              <w:t>5-</w:t>
            </w:r>
            <w:r>
              <w:rPr>
                <w:rFonts w:hAnsi="宋体"/>
                <w:color w:val="000000" w:themeColor="text1"/>
                <w:sz w:val="18"/>
                <w:szCs w:val="18"/>
                <w14:textFill>
                  <w14:solidFill>
                    <w14:schemeClr w14:val="tx1"/>
                  </w14:solidFill>
                </w14:textFill>
              </w:rPr>
              <w:t>湖泊；</w:t>
            </w:r>
            <w:r>
              <w:rPr>
                <w:color w:val="000000" w:themeColor="text1"/>
                <w:sz w:val="18"/>
                <w:szCs w:val="18"/>
                <w14:textFill>
                  <w14:solidFill>
                    <w14:schemeClr w14:val="tx1"/>
                  </w14:solidFill>
                </w14:textFill>
              </w:rPr>
              <w:t>6-</w:t>
            </w:r>
            <w:r>
              <w:rPr>
                <w:rFonts w:hAnsi="宋体"/>
                <w:color w:val="000000" w:themeColor="text1"/>
                <w:sz w:val="18"/>
                <w:szCs w:val="18"/>
                <w14:textFill>
                  <w14:solidFill>
                    <w14:schemeClr w14:val="tx1"/>
                  </w14:solidFill>
                </w14:textFill>
              </w:rPr>
              <w:t>沙漠；</w:t>
            </w:r>
            <w:r>
              <w:rPr>
                <w:color w:val="000000" w:themeColor="text1"/>
                <w:sz w:val="18"/>
                <w:szCs w:val="18"/>
                <w14:textFill>
                  <w14:solidFill>
                    <w14:schemeClr w14:val="tx1"/>
                  </w14:solidFill>
                </w14:textFill>
              </w:rPr>
              <w:t>7-</w:t>
            </w:r>
            <w:r>
              <w:rPr>
                <w:rFonts w:hAnsi="宋体"/>
                <w:color w:val="000000" w:themeColor="text1"/>
                <w:sz w:val="18"/>
                <w:szCs w:val="18"/>
                <w14:textFill>
                  <w14:solidFill>
                    <w14:schemeClr w14:val="tx1"/>
                  </w14:solidFill>
                </w14:textFill>
              </w:rPr>
              <w:t>新月形沙丘；</w:t>
            </w:r>
            <w:r>
              <w:rPr>
                <w:color w:val="000000" w:themeColor="text1"/>
                <w:sz w:val="18"/>
                <w:szCs w:val="18"/>
                <w14:textFill>
                  <w14:solidFill>
                    <w14:schemeClr w14:val="tx1"/>
                  </w14:solidFill>
                </w14:textFill>
              </w:rPr>
              <w:t>8-</w:t>
            </w:r>
            <w:r>
              <w:rPr>
                <w:rFonts w:hAnsi="宋体"/>
                <w:color w:val="000000" w:themeColor="text1"/>
                <w:sz w:val="18"/>
                <w:szCs w:val="18"/>
                <w14:textFill>
                  <w14:solidFill>
                    <w14:schemeClr w14:val="tx1"/>
                  </w14:solidFill>
                </w14:textFill>
              </w:rPr>
              <w:t>沼泽；</w:t>
            </w:r>
            <w:r>
              <w:rPr>
                <w:color w:val="000000" w:themeColor="text1"/>
                <w:sz w:val="18"/>
                <w:szCs w:val="18"/>
                <w14:textFill>
                  <w14:solidFill>
                    <w14:schemeClr w14:val="tx1"/>
                  </w14:solidFill>
                </w14:textFill>
              </w:rPr>
              <w:t>9-</w:t>
            </w:r>
            <w:r>
              <w:rPr>
                <w:rFonts w:hAnsi="宋体"/>
                <w:color w:val="000000" w:themeColor="text1"/>
                <w:sz w:val="18"/>
                <w:szCs w:val="18"/>
                <w14:textFill>
                  <w14:solidFill>
                    <w14:schemeClr w14:val="tx1"/>
                  </w14:solidFill>
                </w14:textFill>
              </w:rPr>
              <w:t>低山区；</w:t>
            </w:r>
            <w:r>
              <w:rPr>
                <w:color w:val="000000" w:themeColor="text1"/>
                <w:sz w:val="18"/>
                <w:szCs w:val="18"/>
                <w14:textFill>
                  <w14:solidFill>
                    <w14:schemeClr w14:val="tx1"/>
                  </w14:solidFill>
                </w14:textFill>
              </w:rPr>
              <w:t>10 –</w:t>
            </w:r>
            <w:r>
              <w:rPr>
                <w:rFonts w:hAnsi="宋体"/>
                <w:color w:val="000000" w:themeColor="text1"/>
                <w:sz w:val="18"/>
                <w:szCs w:val="18"/>
                <w14:textFill>
                  <w14:solidFill>
                    <w14:schemeClr w14:val="tx1"/>
                  </w14:solidFill>
                </w14:textFill>
              </w:rPr>
              <w:t>中山区</w:t>
            </w:r>
          </w:p>
          <w:p>
            <w:pPr>
              <w:autoSpaceDE w:val="0"/>
              <w:autoSpaceDN w:val="0"/>
              <w:spacing w:line="360" w:lineRule="auto"/>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图3-1  柴达木盆地地形、地貌分布图</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6"/>
              <w:gridCol w:w="47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6" w:type="dxa"/>
                </w:tcPr>
                <w:p>
                  <w:pPr>
                    <w:autoSpaceDE w:val="0"/>
                    <w:autoSpaceDN w:val="0"/>
                    <w:spacing w:line="360" w:lineRule="auto"/>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0" distR="0">
                        <wp:extent cx="2883535" cy="2160270"/>
                        <wp:effectExtent l="0" t="0" r="12065" b="11430"/>
                        <wp:docPr id="4" name="图片 59414" descr="C:\Users\86187\AppData\Local\Temp\WeChat Files\c8043111ad026a9716646617f0b6e1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9414" descr="C:\Users\86187\AppData\Local\Temp\WeChat Files\c8043111ad026a9716646617f0b6e1e.jpg"/>
                                <pic:cNvPicPr>
                                  <a:picLocks noChangeAspect="1" noChangeArrowheads="1"/>
                                </pic:cNvPicPr>
                              </pic:nvPicPr>
                              <pic:blipFill>
                                <a:blip r:embed="rId12"/>
                                <a:srcRect/>
                                <a:stretch>
                                  <a:fillRect/>
                                </a:stretch>
                              </pic:blipFill>
                              <pic:spPr>
                                <a:xfrm>
                                  <a:off x="0" y="0"/>
                                  <a:ext cx="2883535" cy="2160270"/>
                                </a:xfrm>
                                <a:prstGeom prst="rect">
                                  <a:avLst/>
                                </a:prstGeom>
                                <a:noFill/>
                                <a:ln w="9525">
                                  <a:noFill/>
                                  <a:miter lim="800000"/>
                                  <a:headEnd/>
                                  <a:tailEnd/>
                                </a:ln>
                              </pic:spPr>
                            </pic:pic>
                          </a:graphicData>
                        </a:graphic>
                      </wp:inline>
                    </w:drawing>
                  </w:r>
                </w:p>
              </w:tc>
              <w:tc>
                <w:tcPr>
                  <w:tcW w:w="4787" w:type="dxa"/>
                </w:tcPr>
                <w:p>
                  <w:pPr>
                    <w:autoSpaceDE w:val="0"/>
                    <w:autoSpaceDN w:val="0"/>
                    <w:spacing w:line="360" w:lineRule="auto"/>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0" distR="0">
                        <wp:extent cx="2883535" cy="2160270"/>
                        <wp:effectExtent l="0" t="0" r="12065" b="11430"/>
                        <wp:docPr id="5" name="图片 59413" descr="C:\Users\86187\AppData\Local\Temp\WeChat Files\26f63c897c00da4882c47aba0c2e1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9413" descr="C:\Users\86187\AppData\Local\Temp\WeChat Files\26f63c897c00da4882c47aba0c2e159.jpg"/>
                                <pic:cNvPicPr>
                                  <a:picLocks noChangeAspect="1" noChangeArrowheads="1"/>
                                </pic:cNvPicPr>
                              </pic:nvPicPr>
                              <pic:blipFill>
                                <a:blip r:embed="rId13"/>
                                <a:srcRect/>
                                <a:stretch>
                                  <a:fillRect/>
                                </a:stretch>
                              </pic:blipFill>
                              <pic:spPr>
                                <a:xfrm>
                                  <a:off x="0" y="0"/>
                                  <a:ext cx="2883535" cy="216027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trPr>
              <w:tc>
                <w:tcPr>
                  <w:tcW w:w="4786" w:type="dxa"/>
                </w:tcPr>
                <w:p>
                  <w:pPr>
                    <w:autoSpaceDE w:val="0"/>
                    <w:autoSpaceDN w:val="0"/>
                    <w:spacing w:line="360" w:lineRule="auto"/>
                    <w:jc w:val="center"/>
                    <w:rPr>
                      <w:color w:val="000000" w:themeColor="text1"/>
                      <w:sz w:val="21"/>
                      <w:szCs w:val="21"/>
                      <w14:textFill>
                        <w14:solidFill>
                          <w14:schemeClr w14:val="tx1"/>
                        </w14:solidFill>
                      </w14:textFill>
                    </w:rPr>
                  </w:pPr>
                  <w:r>
                    <w:rPr>
                      <w:rFonts w:hAnsi="宋体"/>
                      <w:bCs/>
                      <w:color w:val="000000" w:themeColor="text1"/>
                      <w:sz w:val="21"/>
                      <w:szCs w:val="21"/>
                      <w14:textFill>
                        <w14:solidFill>
                          <w14:schemeClr w14:val="tx1"/>
                        </w14:solidFill>
                      </w14:textFill>
                    </w:rPr>
                    <w:t>照片</w:t>
                  </w:r>
                  <w:r>
                    <w:rPr>
                      <w:rFonts w:hint="eastAsia" w:hAnsi="宋体"/>
                      <w:bCs/>
                      <w:color w:val="000000" w:themeColor="text1"/>
                      <w:sz w:val="21"/>
                      <w:szCs w:val="21"/>
                      <w14:textFill>
                        <w14:solidFill>
                          <w14:schemeClr w14:val="tx1"/>
                        </w14:solidFill>
                      </w14:textFill>
                    </w:rPr>
                    <w:t>3</w:t>
                  </w:r>
                  <w:r>
                    <w:rPr>
                      <w:rFonts w:hAnsi="宋体"/>
                      <w:bCs/>
                      <w:color w:val="000000" w:themeColor="text1"/>
                      <w:sz w:val="21"/>
                      <w:szCs w:val="21"/>
                      <w14:textFill>
                        <w14:solidFill>
                          <w14:schemeClr w14:val="tx1"/>
                        </w14:solidFill>
                      </w14:textFill>
                    </w:rPr>
                    <w:t>-1  阿拉尔</w:t>
                  </w:r>
                  <w:r>
                    <w:rPr>
                      <w:rFonts w:hint="eastAsia" w:hAnsi="宋体"/>
                      <w:bCs/>
                      <w:color w:val="000000" w:themeColor="text1"/>
                      <w:sz w:val="21"/>
                      <w:szCs w:val="21"/>
                      <w14:textFill>
                        <w14:solidFill>
                          <w14:schemeClr w14:val="tx1"/>
                        </w14:solidFill>
                      </w14:textFill>
                    </w:rPr>
                    <w:t>七个泉</w:t>
                  </w:r>
                  <w:r>
                    <w:rPr>
                      <w:rFonts w:hAnsi="宋体"/>
                      <w:bCs/>
                      <w:color w:val="000000" w:themeColor="text1"/>
                      <w:sz w:val="21"/>
                      <w:szCs w:val="21"/>
                      <w14:textFill>
                        <w14:solidFill>
                          <w14:schemeClr w14:val="tx1"/>
                        </w14:solidFill>
                      </w14:textFill>
                    </w:rPr>
                    <w:t>地</w:t>
                  </w:r>
                  <w:r>
                    <w:rPr>
                      <w:rFonts w:hint="eastAsia" w:hAnsi="宋体"/>
                      <w:bCs/>
                      <w:color w:val="000000" w:themeColor="text1"/>
                      <w:sz w:val="21"/>
                      <w:szCs w:val="21"/>
                      <w14:textFill>
                        <w14:solidFill>
                          <w14:schemeClr w14:val="tx1"/>
                        </w14:solidFill>
                      </w14:textFill>
                    </w:rPr>
                    <w:t>段</w:t>
                  </w:r>
                  <w:r>
                    <w:rPr>
                      <w:rFonts w:hAnsi="宋体"/>
                      <w:bCs/>
                      <w:color w:val="000000" w:themeColor="text1"/>
                      <w:sz w:val="21"/>
                      <w:szCs w:val="21"/>
                      <w14:textFill>
                        <w14:solidFill>
                          <w14:schemeClr w14:val="tx1"/>
                        </w14:solidFill>
                      </w14:textFill>
                    </w:rPr>
                    <w:t>戈壁滩地貌</w:t>
                  </w:r>
                </w:p>
              </w:tc>
              <w:tc>
                <w:tcPr>
                  <w:tcW w:w="4787" w:type="dxa"/>
                </w:tcPr>
                <w:p>
                  <w:pPr>
                    <w:autoSpaceDE w:val="0"/>
                    <w:autoSpaceDN w:val="0"/>
                    <w:spacing w:line="360" w:lineRule="auto"/>
                    <w:jc w:val="center"/>
                    <w:rPr>
                      <w:color w:val="000000" w:themeColor="text1"/>
                      <w:sz w:val="21"/>
                      <w:szCs w:val="21"/>
                      <w14:textFill>
                        <w14:solidFill>
                          <w14:schemeClr w14:val="tx1"/>
                        </w14:solidFill>
                      </w14:textFill>
                    </w:rPr>
                  </w:pPr>
                  <w:r>
                    <w:rPr>
                      <w:rFonts w:hAnsi="宋体"/>
                      <w:bCs/>
                      <w:color w:val="000000" w:themeColor="text1"/>
                      <w:sz w:val="21"/>
                      <w:szCs w:val="21"/>
                      <w14:textFill>
                        <w14:solidFill>
                          <w14:schemeClr w14:val="tx1"/>
                        </w14:solidFill>
                      </w14:textFill>
                    </w:rPr>
                    <w:t>照片</w:t>
                  </w:r>
                  <w:r>
                    <w:rPr>
                      <w:rFonts w:hint="eastAsia" w:hAnsi="宋体"/>
                      <w:bCs/>
                      <w:color w:val="000000" w:themeColor="text1"/>
                      <w:sz w:val="21"/>
                      <w:szCs w:val="21"/>
                      <w14:textFill>
                        <w14:solidFill>
                          <w14:schemeClr w14:val="tx1"/>
                        </w14:solidFill>
                      </w14:textFill>
                    </w:rPr>
                    <w:t>3</w:t>
                  </w:r>
                  <w:r>
                    <w:rPr>
                      <w:rFonts w:hAnsi="宋体"/>
                      <w:bCs/>
                      <w:color w:val="000000" w:themeColor="text1"/>
                      <w:sz w:val="21"/>
                      <w:szCs w:val="21"/>
                      <w14:textFill>
                        <w14:solidFill>
                          <w14:schemeClr w14:val="tx1"/>
                        </w14:solidFill>
                      </w14:textFill>
                    </w:rPr>
                    <w:t>-2  阿拉尔地区</w:t>
                  </w:r>
                  <w:r>
                    <w:rPr>
                      <w:rFonts w:hint="eastAsia" w:hAnsi="宋体"/>
                      <w:bCs/>
                      <w:color w:val="000000" w:themeColor="text1"/>
                      <w:sz w:val="21"/>
                      <w:szCs w:val="21"/>
                      <w14:textFill>
                        <w14:solidFill>
                          <w14:schemeClr w14:val="tx1"/>
                        </w14:solidFill>
                      </w14:textFill>
                    </w:rPr>
                    <w:t>英东</w:t>
                  </w:r>
                  <w:r>
                    <w:rPr>
                      <w:rFonts w:hAnsi="宋体"/>
                      <w:bCs/>
                      <w:color w:val="000000" w:themeColor="text1"/>
                      <w:sz w:val="21"/>
                      <w:szCs w:val="21"/>
                      <w14:textFill>
                        <w14:solidFill>
                          <w14:schemeClr w14:val="tx1"/>
                        </w14:solidFill>
                      </w14:textFill>
                    </w:rPr>
                    <w:t>地</w:t>
                  </w:r>
                  <w:r>
                    <w:rPr>
                      <w:rFonts w:hint="eastAsia" w:hAnsi="宋体"/>
                      <w:bCs/>
                      <w:color w:val="000000" w:themeColor="text1"/>
                      <w:sz w:val="21"/>
                      <w:szCs w:val="21"/>
                      <w14:textFill>
                        <w14:solidFill>
                          <w14:schemeClr w14:val="tx1"/>
                        </w14:solidFill>
                      </w14:textFill>
                    </w:rPr>
                    <w:t>段</w:t>
                  </w:r>
                  <w:r>
                    <w:rPr>
                      <w:rFonts w:hAnsi="宋体"/>
                      <w:bCs/>
                      <w:color w:val="000000" w:themeColor="text1"/>
                      <w:sz w:val="21"/>
                      <w:szCs w:val="21"/>
                      <w14:textFill>
                        <w14:solidFill>
                          <w14:schemeClr w14:val="tx1"/>
                        </w14:solidFill>
                      </w14:textFill>
                    </w:rPr>
                    <w:t>中高山地貌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786" w:type="dxa"/>
                </w:tcPr>
                <w:p>
                  <w:pPr>
                    <w:autoSpaceDE w:val="0"/>
                    <w:autoSpaceDN w:val="0"/>
                    <w:spacing w:line="360" w:lineRule="auto"/>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0" distR="0">
                        <wp:extent cx="2883535" cy="2160270"/>
                        <wp:effectExtent l="0" t="0" r="12065" b="11430"/>
                        <wp:docPr id="6" name="图片 7" descr="C:\Users\86187\AppData\Local\Temp\WeChat Files\23f38fc1be9d3d5eef2eb4e884148c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descr="C:\Users\86187\AppData\Local\Temp\WeChat Files\23f38fc1be9d3d5eef2eb4e884148c7.jpg"/>
                                <pic:cNvPicPr>
                                  <a:picLocks noChangeAspect="1" noChangeArrowheads="1"/>
                                </pic:cNvPicPr>
                              </pic:nvPicPr>
                              <pic:blipFill>
                                <a:blip r:embed="rId14"/>
                                <a:srcRect/>
                                <a:stretch>
                                  <a:fillRect/>
                                </a:stretch>
                              </pic:blipFill>
                              <pic:spPr>
                                <a:xfrm>
                                  <a:off x="0" y="0"/>
                                  <a:ext cx="2883535" cy="2160270"/>
                                </a:xfrm>
                                <a:prstGeom prst="rect">
                                  <a:avLst/>
                                </a:prstGeom>
                                <a:noFill/>
                                <a:ln w="9525">
                                  <a:noFill/>
                                  <a:miter lim="800000"/>
                                  <a:headEnd/>
                                  <a:tailEnd/>
                                </a:ln>
                              </pic:spPr>
                            </pic:pic>
                          </a:graphicData>
                        </a:graphic>
                      </wp:inline>
                    </w:drawing>
                  </w:r>
                </w:p>
              </w:tc>
              <w:tc>
                <w:tcPr>
                  <w:tcW w:w="4787" w:type="dxa"/>
                </w:tcPr>
                <w:p>
                  <w:pPr>
                    <w:autoSpaceDE w:val="0"/>
                    <w:autoSpaceDN w:val="0"/>
                    <w:spacing w:line="360" w:lineRule="auto"/>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0" distR="0">
                        <wp:extent cx="2883535" cy="2160270"/>
                        <wp:effectExtent l="0" t="0" r="12065" b="11430"/>
                        <wp:docPr id="7" name="图片 25" descr="C:\Users\86187\AppData\Local\Temp\WeChat Files\3ff8ca41f1f44438807dfee380d786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5" descr="C:\Users\86187\AppData\Local\Temp\WeChat Files\3ff8ca41f1f44438807dfee380d786e.jpg"/>
                                <pic:cNvPicPr>
                                  <a:picLocks noChangeAspect="1" noChangeArrowheads="1"/>
                                </pic:cNvPicPr>
                              </pic:nvPicPr>
                              <pic:blipFill>
                                <a:blip r:embed="rId15"/>
                                <a:srcRect/>
                                <a:stretch>
                                  <a:fillRect/>
                                </a:stretch>
                              </pic:blipFill>
                              <pic:spPr>
                                <a:xfrm>
                                  <a:off x="0" y="0"/>
                                  <a:ext cx="2883535" cy="216027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4786" w:type="dxa"/>
                </w:tcPr>
                <w:p>
                  <w:pPr>
                    <w:autoSpaceDE w:val="0"/>
                    <w:autoSpaceDN w:val="0"/>
                    <w:spacing w:line="360" w:lineRule="auto"/>
                    <w:jc w:val="center"/>
                    <w:rPr>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照片3-3  柴南缘阿拉尔地区沼泽地貌</w:t>
                  </w:r>
                </w:p>
              </w:tc>
              <w:tc>
                <w:tcPr>
                  <w:tcW w:w="4787" w:type="dxa"/>
                </w:tcPr>
                <w:p>
                  <w:pPr>
                    <w:autoSpaceDE w:val="0"/>
                    <w:autoSpaceDN w:val="0"/>
                    <w:spacing w:line="360" w:lineRule="auto"/>
                    <w:jc w:val="center"/>
                    <w:rPr>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照片3-4  柴南缘霍北地区沙漠地貌</w:t>
                  </w:r>
                </w:p>
              </w:tc>
            </w:tr>
          </w:tbl>
          <w:p>
            <w:pPr>
              <w:autoSpaceDE w:val="0"/>
              <w:autoSpaceDN w:val="0"/>
              <w:spacing w:line="360" w:lineRule="auto"/>
              <w:ind w:firstLine="480" w:firstLineChars="200"/>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3、地质</w:t>
            </w:r>
          </w:p>
          <w:p>
            <w:pPr>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w:t>
            </w:r>
            <w:r>
              <w:rPr>
                <w:bCs/>
                <w:color w:val="000000" w:themeColor="text1"/>
                <w:sz w:val="24"/>
                <w14:textFill>
                  <w14:solidFill>
                    <w14:schemeClr w14:val="tx1"/>
                  </w14:solidFill>
                </w14:textFill>
              </w:rPr>
              <w:t>构造位置</w:t>
            </w:r>
          </w:p>
          <w:p>
            <w:pPr>
              <w:adjustRightInd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柴达木盆地围限于阿尔金断裂、柴北缘断裂、东昆北断裂之间，东端被鄂拉山造山带限定，属于塔里木－中朝板块，是由中朝地块分裂出来的微型古陆，夹持在秦祁昆古生代地槽褶皱带之间。在塔里木－中朝板块的北侧为西伯利亚板块和哈萨克斯坦板块，南侧为羌塘－华南板块、冈底斯板块和印度板块</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见</w:t>
            </w:r>
            <w:r>
              <w:rPr>
                <w:color w:val="000000" w:themeColor="text1"/>
                <w:sz w:val="24"/>
                <w14:textFill>
                  <w14:solidFill>
                    <w14:schemeClr w14:val="tx1"/>
                  </w14:solidFill>
                </w14:textFill>
              </w:rPr>
              <w:t>图3-</w:t>
            </w:r>
            <w:r>
              <w:rPr>
                <w:rFonts w:hint="eastAsia"/>
                <w:color w:val="000000" w:themeColor="text1"/>
                <w:sz w:val="24"/>
                <w14:textFill>
                  <w14:solidFill>
                    <w14:schemeClr w14:val="tx1"/>
                  </w14:solidFill>
                </w14:textFill>
              </w:rPr>
              <w:t>2</w:t>
            </w:r>
            <w:r>
              <w:rPr>
                <w:color w:val="000000" w:themeColor="text1"/>
                <w:sz w:val="24"/>
                <w14:textFill>
                  <w14:solidFill>
                    <w14:schemeClr w14:val="tx1"/>
                  </w14:solidFill>
                </w14:textFill>
              </w:rPr>
              <w:t>。柴达木盆地构造演化与上述板块间复杂的拉张裂解、俯冲消减和碰撞闭合作用密切相关。</w:t>
            </w:r>
          </w:p>
          <w:p>
            <w:pPr>
              <w:pStyle w:val="2"/>
              <w:adjustRightInd w:val="0"/>
              <w:snapToGrid w:val="0"/>
              <w:spacing w:line="360" w:lineRule="auto"/>
              <w:jc w:val="cente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4946650" cy="4023360"/>
                  <wp:effectExtent l="0" t="0" r="6350" b="2540"/>
                  <wp:docPr id="59406" name="图片 6" descr="C:\Users\CB-203\Desktop\2.23修改\2-1中国西北地区板块构造简图\大地构造.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6" name="图片 6" descr="C:\Users\CB-203\Desktop\2.23修改\2-1中国西北地区板块构造简图\大地构造.jpg"/>
                          <pic:cNvPicPr>
                            <a:picLocks noChangeAspect="1" noChangeArrowheads="1"/>
                          </pic:cNvPicPr>
                        </pic:nvPicPr>
                        <pic:blipFill>
                          <a:blip r:embed="rId16" cstate="print"/>
                          <a:srcRect/>
                          <a:stretch>
                            <a:fillRect/>
                          </a:stretch>
                        </pic:blipFill>
                        <pic:spPr>
                          <a:xfrm>
                            <a:off x="0" y="0"/>
                            <a:ext cx="4996292" cy="4063481"/>
                          </a:xfrm>
                          <a:prstGeom prst="rect">
                            <a:avLst/>
                          </a:prstGeom>
                          <a:noFill/>
                          <a:ln w="9525">
                            <a:noFill/>
                            <a:miter lim="800000"/>
                            <a:headEnd/>
                            <a:tailEnd/>
                          </a:ln>
                        </pic:spPr>
                      </pic:pic>
                    </a:graphicData>
                  </a:graphic>
                </wp:inline>
              </w:drawing>
            </w:r>
          </w:p>
          <w:p>
            <w:pPr>
              <w:autoSpaceDE w:val="0"/>
              <w:autoSpaceDN w:val="0"/>
              <w:spacing w:line="360" w:lineRule="auto"/>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图3-2  中国西北地区板块构造简图</w:t>
            </w:r>
          </w:p>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1-盆地区域位置；2-主缝合带；3-次级消减带；4-走滑断裂带；5-盆地或地块</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rFonts w:hAnsi="宋体"/>
                <w:color w:val="000000" w:themeColor="text1"/>
                <w:sz w:val="24"/>
                <w14:textFill>
                  <w14:solidFill>
                    <w14:schemeClr w14:val="tx1"/>
                  </w14:solidFill>
                </w14:textFill>
              </w:rPr>
              <w:t>构造单元划分</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color w:val="000000" w:themeColor="text1"/>
                <w:sz w:val="24"/>
                <w14:textFill>
                  <w14:solidFill>
                    <w14:schemeClr w14:val="tx1"/>
                  </w14:solidFill>
                </w14:textFill>
              </w:rPr>
              <w:t>柴达木盆地受祁连山、昆仑山和阿尔金山三大山系影响，构造运动既有继承性，又有新生性，构造的叠加与改造使得变形复杂，并且沉降中心随时间变化有明显的迁移现象。柴达木盆地划分为柴西坳陷、柴北缘坳陷和三湖坳陷共3个一级构造单元、13个二级构造单元</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见</w:t>
            </w:r>
            <w:r>
              <w:rPr>
                <w:color w:val="000000" w:themeColor="text1"/>
                <w:sz w:val="24"/>
                <w14:textFill>
                  <w14:solidFill>
                    <w14:schemeClr w14:val="tx1"/>
                  </w14:solidFill>
                </w14:textFill>
              </w:rPr>
              <w:t>表3-1。</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w:t>
            </w:r>
            <w:r>
              <w:rPr>
                <w:color w:val="000000" w:themeColor="text1"/>
                <w:sz w:val="24"/>
                <w14:textFill>
                  <w14:solidFill>
                    <w14:schemeClr w14:val="tx1"/>
                  </w14:solidFill>
                </w14:textFill>
              </w:rPr>
              <w:t>柴西坳陷</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color w:val="000000" w:themeColor="text1"/>
                <w:sz w:val="24"/>
                <w14:textFill>
                  <w14:solidFill>
                    <w14:schemeClr w14:val="tx1"/>
                  </w14:solidFill>
                </w14:textFill>
              </w:rPr>
              <w:t>位于盆地西南部，北界为阿尔金山，盆山之间深层以断裂接触、浅层为超覆接触；西南界为祁漫塔格山，盆地之间以断裂接触为主，在切克里克西部及甘森南部存在明显的逆掩推覆现象。东北以鄂东、陵间断裂为界与柴北缘坳陷分隔。东部以黄东断裂为界与三湖坳陷相隔。</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w:t>
            </w:r>
            <w:r>
              <w:rPr>
                <w:color w:val="000000" w:themeColor="text1"/>
                <w:sz w:val="24"/>
                <w14:textFill>
                  <w14:solidFill>
                    <w14:schemeClr w14:val="tx1"/>
                  </w14:solidFill>
                </w14:textFill>
              </w:rPr>
              <w:t>柴北缘坳陷</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color w:val="000000" w:themeColor="text1"/>
                <w:sz w:val="24"/>
                <w14:textFill>
                  <w14:solidFill>
                    <w14:schemeClr w14:val="tx1"/>
                  </w14:solidFill>
                </w14:textFill>
              </w:rPr>
              <w:t>位于柴达木盆地北部，西北与阿尔金山相连；北与大、小赛什腾山和宗务隆山相邻，盆山之间以断裂接触为主，局部见逆掩推覆现象；南以鄂东、陵间和埃南断裂为界分别与柴西坳陷、三湖坳陷相隔。</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w:t>
            </w:r>
            <w:r>
              <w:rPr>
                <w:color w:val="000000" w:themeColor="text1"/>
                <w:sz w:val="24"/>
                <w14:textFill>
                  <w14:solidFill>
                    <w14:schemeClr w14:val="tx1"/>
                  </w14:solidFill>
                </w14:textFill>
              </w:rPr>
              <w:t>三湖坳陷</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color w:val="000000" w:themeColor="text1"/>
                <w:sz w:val="24"/>
                <w14:textFill>
                  <w14:solidFill>
                    <w14:schemeClr w14:val="tx1"/>
                  </w14:solidFill>
                </w14:textFill>
              </w:rPr>
              <w:t>东北以埃南断裂为界，南以昆仑山为界，盆山间以高角度断裂接触；西部以黄东断裂为界与柴西坳陷相隔。三湖坳陷以基底稳定、盖层变形弱，主要发育于喜山晚期。地层以第四系和第三系为主，第三系西厚东薄，第四系沉积中心和沉降中心均在三湖附近，最大厚度约3000m。</w:t>
            </w:r>
          </w:p>
          <w:p>
            <w:pPr>
              <w:autoSpaceDE w:val="0"/>
              <w:autoSpaceDN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表3-</w:t>
            </w:r>
            <w:r>
              <w:rPr>
                <w:rFonts w:hint="eastAsia"/>
                <w:color w:val="000000" w:themeColor="text1"/>
                <w:sz w:val="24"/>
                <w:lang w:val="en-US" w:eastAsia="zh-CN"/>
                <w14:textFill>
                  <w14:solidFill>
                    <w14:schemeClr w14:val="tx1"/>
                  </w14:solidFill>
                </w14:textFill>
              </w:rPr>
              <w:t>1</w:t>
            </w:r>
            <w:r>
              <w:rPr>
                <w:rFonts w:hint="eastAsia"/>
                <w:color w:val="000000" w:themeColor="text1"/>
                <w:sz w:val="24"/>
                <w14:textFill>
                  <w14:solidFill>
                    <w14:schemeClr w14:val="tx1"/>
                  </w14:solidFill>
                </w14:textFill>
              </w:rPr>
              <w:t xml:space="preserve">  柴达木盆地构造单元划分表</w:t>
            </w:r>
          </w:p>
          <w:tbl>
            <w:tblPr>
              <w:tblStyle w:val="1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312"/>
              <w:gridCol w:w="3646"/>
              <w:gridCol w:w="274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一级单元</w:t>
                  </w: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二级单元</w:t>
                  </w:r>
                </w:p>
              </w:tc>
              <w:tc>
                <w:tcPr>
                  <w:tcW w:w="1415"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面积（km</w:t>
                  </w:r>
                  <w:r>
                    <w:rPr>
                      <w:color w:val="000000" w:themeColor="text1"/>
                      <w:szCs w:val="21"/>
                      <w:vertAlign w:val="superscript"/>
                      <w14:textFill>
                        <w14:solidFill>
                          <w14:schemeClr w14:val="tx1"/>
                        </w14:solidFill>
                      </w14:textFill>
                    </w:rPr>
                    <w:t>2</w:t>
                  </w:r>
                  <w:r>
                    <w:rPr>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restar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柴西坳陷</w:t>
                  </w: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昆北断陷</w:t>
                  </w:r>
                </w:p>
              </w:tc>
              <w:tc>
                <w:tcPr>
                  <w:tcW w:w="1415" w:type="pct"/>
                  <w:vMerge w:val="restar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35536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尕斯断陷</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茫崖凹陷</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大风山凸起</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一里坪凹陷</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restar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柴北缘坳陷</w:t>
                  </w: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赛昆断陷</w:t>
                  </w:r>
                </w:p>
              </w:tc>
              <w:tc>
                <w:tcPr>
                  <w:tcW w:w="1415" w:type="pct"/>
                  <w:vMerge w:val="restar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45328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苏干湖凹陷</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马海-大红沟凸起</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鱼卡-大柴旦断陷</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德令哈断陷</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restar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三湖坳陷</w:t>
                  </w: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三湖北斜坡</w:t>
                  </w:r>
                </w:p>
              </w:tc>
              <w:tc>
                <w:tcPr>
                  <w:tcW w:w="1415" w:type="pct"/>
                  <w:vMerge w:val="restar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50903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三湖中央凹陷</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6"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c>
                <w:tcPr>
                  <w:tcW w:w="1878" w:type="pct"/>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三湖南斜坡</w:t>
                  </w:r>
                </w:p>
              </w:tc>
              <w:tc>
                <w:tcPr>
                  <w:tcW w:w="1415" w:type="pct"/>
                  <w:vMerge w:val="continue"/>
                  <w:tcBorders>
                    <w:tl2br w:val="nil"/>
                    <w:tr2bl w:val="nil"/>
                  </w:tcBorders>
                  <w:vAlign w:val="center"/>
                </w:tcPr>
                <w:p>
                  <w:pPr>
                    <w:adjustRightInd w:val="0"/>
                    <w:snapToGrid w:val="0"/>
                    <w:spacing w:line="240" w:lineRule="atLeast"/>
                    <w:jc w:val="center"/>
                    <w:rPr>
                      <w:color w:val="000000" w:themeColor="text1"/>
                      <w:szCs w:val="21"/>
                      <w14:textFill>
                        <w14:solidFill>
                          <w14:schemeClr w14:val="tx1"/>
                        </w14:solidFill>
                      </w14:textFill>
                    </w:rPr>
                  </w:pPr>
                </w:p>
              </w:tc>
            </w:tr>
          </w:tbl>
          <w:p>
            <w:pPr>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w:t>
            </w:r>
            <w:r>
              <w:rPr>
                <w:rFonts w:hint="eastAsia" w:hAnsi="宋体"/>
                <w:color w:val="000000" w:themeColor="text1"/>
                <w:sz w:val="24"/>
                <w14:textFill>
                  <w14:solidFill>
                    <w14:schemeClr w14:val="tx1"/>
                  </w14:solidFill>
                </w14:textFill>
              </w:rPr>
              <w:t>水文地质特征</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color w:val="000000" w:themeColor="text1"/>
                <w:sz w:val="24"/>
                <w14:textFill>
                  <w14:solidFill>
                    <w14:schemeClr w14:val="tx1"/>
                  </w14:solidFill>
                </w14:textFill>
              </w:rPr>
              <w:t>柴达木盆地是一个独立的水文地质单元，它主要受盆地的地形地貌、地层结构、气象水文等条件的控制。在地质构造演化上，盆地主要经历了早－中侏罗世伸展断陷阶段、晚侏罗世－白垩纪挤压隆升阶段、古近纪－上新世早期弱断陷－坳陷阶段段、上新世晚期－第四纪挤压反转阶段等四个演化阶段。从盆地的发展和演化历史来看，盆地自身具有完整独立的地下水补给、径流、排泄系统。</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依据柴达木盆地地形地貌、大地构造、水文地质特征、气候、地表水系等差异，在地下水系统环境和结构分析的基础上，将柴达木盆地地下水系统划分为1个一级水文地质单元、</w:t>
            </w:r>
            <w:r>
              <w:rPr>
                <w:color w:val="000000" w:themeColor="text1"/>
                <w:sz w:val="24"/>
                <w14:textFill>
                  <w14:solidFill>
                    <w14:schemeClr w14:val="tx1"/>
                  </w14:solidFill>
                </w14:textFill>
              </w:rPr>
              <w:t>6</w:t>
            </w:r>
            <w:r>
              <w:rPr>
                <w:rFonts w:hint="eastAsia"/>
                <w:color w:val="000000" w:themeColor="text1"/>
                <w:sz w:val="24"/>
                <w14:textFill>
                  <w14:solidFill>
                    <w14:schemeClr w14:val="tx1"/>
                  </w14:solidFill>
                </w14:textFill>
              </w:rPr>
              <w:t>个二级水文地质单元</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见</w:t>
            </w:r>
            <w:r>
              <w:rPr>
                <w:rFonts w:hint="eastAsia"/>
                <w:color w:val="000000" w:themeColor="text1"/>
                <w:sz w:val="24"/>
                <w14:textFill>
                  <w14:solidFill>
                    <w14:schemeClr w14:val="tx1"/>
                  </w14:solidFill>
                </w14:textFill>
              </w:rPr>
              <w:t>图3</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p>
          <w:p>
            <w:pPr>
              <w:pStyle w:val="2"/>
              <w:adjustRightInd w:val="0"/>
              <w:snapToGrid w:val="0"/>
              <w:spacing w:before="156" w:beforeLines="50"/>
              <w:jc w:val="center"/>
              <w:rPr>
                <w:rFonts w:eastAsia="仿宋_GB2312"/>
                <w:color w:val="000000" w:themeColor="text1"/>
                <w14:textFill>
                  <w14:solidFill>
                    <w14:schemeClr w14:val="tx1"/>
                  </w14:solidFill>
                </w14:textFill>
              </w:rPr>
            </w:pPr>
            <w:r>
              <w:rPr>
                <w:rFonts w:eastAsia="仿宋_GB2312"/>
                <w:color w:val="000000" w:themeColor="text1"/>
                <w14:textFill>
                  <w14:solidFill>
                    <w14:schemeClr w14:val="tx1"/>
                  </w14:solidFill>
                </w14:textFill>
              </w:rPr>
              <w:drawing>
                <wp:inline distT="0" distB="0" distL="0" distR="0">
                  <wp:extent cx="5570855" cy="2941320"/>
                  <wp:effectExtent l="0" t="0" r="4445" b="5080"/>
                  <wp:docPr id="48" name="图片 48" descr="C:\Users\Administrator\Desktop\2022年立项参考\1-插图\2-8水文地质单元\水文地质单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C:\Users\Administrator\Desktop\2022年立项参考\1-插图\2-8水文地质单元\水文地质单元.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573245" cy="2942300"/>
                          </a:xfrm>
                          <a:prstGeom prst="rect">
                            <a:avLst/>
                          </a:prstGeom>
                          <a:noFill/>
                          <a:ln>
                            <a:noFill/>
                          </a:ln>
                        </pic:spPr>
                      </pic:pic>
                    </a:graphicData>
                  </a:graphic>
                </wp:inline>
              </w:drawing>
            </w:r>
          </w:p>
          <w:p>
            <w:pPr>
              <w:autoSpaceDE w:val="0"/>
              <w:autoSpaceDN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图3-3  柴达木盆地水文地质单元分区图</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eastAsiaTheme="minorEastAsia"/>
                <w:color w:val="000000" w:themeColor="text1"/>
                <w:sz w:val="24"/>
                <w14:textFill>
                  <w14:solidFill>
                    <w14:schemeClr w14:val="tx1"/>
                  </w14:solidFill>
                </w14:textFill>
              </w:rPr>
              <w:t>柴达木盆地具有相对独立、完整的水循环体系，与相邻地下水系统之间没有物质和能量交换，具有独立性。按柴达木盆地的分布范围，将整个盆地划为一级水文地质单元，称作柴达木盆地一级水文地质单元（Ⅰ）。同时，受新构造运动影响</w:t>
            </w:r>
            <w:r>
              <w:rPr>
                <w:rFonts w:hint="eastAsia" w:eastAsiaTheme="minorEastAsia"/>
                <w:color w:val="000000" w:themeColor="text1"/>
                <w:sz w:val="24"/>
                <w14:textFill>
                  <w14:solidFill>
                    <w14:schemeClr w14:val="tx1"/>
                  </w14:solidFill>
                </w14:textFill>
              </w:rPr>
              <w:t>，</w:t>
            </w:r>
            <w:r>
              <w:rPr>
                <w:rFonts w:eastAsiaTheme="minorEastAsia"/>
                <w:color w:val="000000" w:themeColor="text1"/>
                <w:sz w:val="24"/>
                <w14:textFill>
                  <w14:solidFill>
                    <w14:schemeClr w14:val="tx1"/>
                  </w14:solidFill>
                </w14:textFill>
              </w:rPr>
              <w:t>阿尔金山褶皱断块隆升和盆地内第三系褶皱隆起</w:t>
            </w:r>
            <w:r>
              <w:rPr>
                <w:rFonts w:hint="eastAsia" w:eastAsiaTheme="minorEastAsia"/>
                <w:color w:val="000000" w:themeColor="text1"/>
                <w:sz w:val="24"/>
                <w14:textFill>
                  <w14:solidFill>
                    <w14:schemeClr w14:val="tx1"/>
                  </w14:solidFill>
                </w14:textFill>
              </w:rPr>
              <w:t>，</w:t>
            </w:r>
            <w:r>
              <w:rPr>
                <w:rFonts w:eastAsiaTheme="minorEastAsia"/>
                <w:color w:val="000000" w:themeColor="text1"/>
                <w:sz w:val="24"/>
                <w14:textFill>
                  <w14:solidFill>
                    <w14:schemeClr w14:val="tx1"/>
                  </w14:solidFill>
                </w14:textFill>
              </w:rPr>
              <w:t>在盆地中形成了阿拉尔(Ⅱ</w:t>
            </w:r>
            <w:r>
              <w:rPr>
                <w:rFonts w:eastAsiaTheme="minorEastAsia"/>
                <w:color w:val="000000" w:themeColor="text1"/>
                <w:sz w:val="24"/>
                <w:vertAlign w:val="subscript"/>
                <w14:textFill>
                  <w14:solidFill>
                    <w14:schemeClr w14:val="tx1"/>
                  </w14:solidFill>
                </w14:textFill>
              </w:rPr>
              <w:t>1</w:t>
            </w:r>
            <w:r>
              <w:rPr>
                <w:rFonts w:eastAsiaTheme="minorEastAsia"/>
                <w:color w:val="000000" w:themeColor="text1"/>
                <w:sz w:val="24"/>
                <w14:textFill>
                  <w14:solidFill>
                    <w14:schemeClr w14:val="tx1"/>
                  </w14:solidFill>
                </w14:textFill>
              </w:rPr>
              <w:t>)、大浪滩(Ⅱ</w:t>
            </w:r>
            <w:r>
              <w:rPr>
                <w:rFonts w:eastAsiaTheme="minorEastAsia"/>
                <w:color w:val="000000" w:themeColor="text1"/>
                <w:sz w:val="24"/>
                <w:vertAlign w:val="subscript"/>
                <w14:textFill>
                  <w14:solidFill>
                    <w14:schemeClr w14:val="tx1"/>
                  </w14:solidFill>
                </w14:textFill>
              </w:rPr>
              <w:t>2</w:t>
            </w:r>
            <w:r>
              <w:rPr>
                <w:rFonts w:eastAsiaTheme="minorEastAsia"/>
                <w:color w:val="000000" w:themeColor="text1"/>
                <w:sz w:val="24"/>
                <w14:textFill>
                  <w14:solidFill>
                    <w14:schemeClr w14:val="tx1"/>
                  </w14:solidFill>
                </w14:textFill>
              </w:rPr>
              <w:t>)、</w:t>
            </w:r>
            <w:bookmarkStart w:id="4" w:name="_Hlk39153846"/>
            <w:r>
              <w:rPr>
                <w:rFonts w:eastAsiaTheme="minorEastAsia"/>
                <w:color w:val="000000" w:themeColor="text1"/>
                <w:sz w:val="24"/>
                <w14:textFill>
                  <w14:solidFill>
                    <w14:schemeClr w14:val="tx1"/>
                  </w14:solidFill>
                </w14:textFill>
              </w:rPr>
              <w:t>柴达木大门口前缘(Ⅱ</w:t>
            </w:r>
            <w:r>
              <w:rPr>
                <w:rFonts w:eastAsiaTheme="minorEastAsia"/>
                <w:color w:val="000000" w:themeColor="text1"/>
                <w:sz w:val="24"/>
                <w:vertAlign w:val="subscript"/>
                <w14:textFill>
                  <w14:solidFill>
                    <w14:schemeClr w14:val="tx1"/>
                  </w14:solidFill>
                </w14:textFill>
              </w:rPr>
              <w:t>3</w:t>
            </w:r>
            <w:r>
              <w:rPr>
                <w:rFonts w:eastAsiaTheme="minorEastAsia"/>
                <w:color w:val="000000" w:themeColor="text1"/>
                <w:sz w:val="24"/>
                <w14:textFill>
                  <w14:solidFill>
                    <w14:schemeClr w14:val="tx1"/>
                  </w14:solidFill>
                </w14:textFill>
              </w:rPr>
              <w:t>)、石圈滩-俄博梁(Ⅱ</w:t>
            </w:r>
            <w:r>
              <w:rPr>
                <w:rFonts w:eastAsiaTheme="minorEastAsia"/>
                <w:color w:val="000000" w:themeColor="text1"/>
                <w:sz w:val="24"/>
                <w:vertAlign w:val="subscript"/>
                <w14:textFill>
                  <w14:solidFill>
                    <w14:schemeClr w14:val="tx1"/>
                  </w14:solidFill>
                </w14:textFill>
              </w:rPr>
              <w:t>4</w:t>
            </w:r>
            <w:r>
              <w:rPr>
                <w:rFonts w:eastAsiaTheme="minorEastAsia"/>
                <w:color w:val="000000" w:themeColor="text1"/>
                <w:sz w:val="24"/>
                <w14:textFill>
                  <w14:solidFill>
                    <w14:schemeClr w14:val="tx1"/>
                  </w14:solidFill>
                </w14:textFill>
              </w:rPr>
              <w:t>)、花海子(Ⅱ</w:t>
            </w:r>
            <w:r>
              <w:rPr>
                <w:rFonts w:eastAsiaTheme="minorEastAsia"/>
                <w:color w:val="000000" w:themeColor="text1"/>
                <w:sz w:val="24"/>
                <w:vertAlign w:val="subscript"/>
                <w14:textFill>
                  <w14:solidFill>
                    <w14:schemeClr w14:val="tx1"/>
                  </w14:solidFill>
                </w14:textFill>
              </w:rPr>
              <w:t>5</w:t>
            </w:r>
            <w:r>
              <w:rPr>
                <w:rFonts w:eastAsiaTheme="minorEastAsia"/>
                <w:color w:val="000000" w:themeColor="text1"/>
                <w:sz w:val="24"/>
                <w14:textFill>
                  <w14:solidFill>
                    <w14:schemeClr w14:val="tx1"/>
                  </w14:solidFill>
                </w14:textFill>
              </w:rPr>
              <w:t>)和马海(Ⅱ</w:t>
            </w:r>
            <w:r>
              <w:rPr>
                <w:rFonts w:eastAsiaTheme="minorEastAsia"/>
                <w:color w:val="000000" w:themeColor="text1"/>
                <w:sz w:val="24"/>
                <w:vertAlign w:val="subscript"/>
                <w14:textFill>
                  <w14:solidFill>
                    <w14:schemeClr w14:val="tx1"/>
                  </w14:solidFill>
                </w14:textFill>
              </w:rPr>
              <w:t>6</w:t>
            </w:r>
            <w:r>
              <w:rPr>
                <w:rFonts w:eastAsiaTheme="minorEastAsia"/>
                <w:color w:val="000000" w:themeColor="text1"/>
                <w:sz w:val="24"/>
                <w14:textFill>
                  <w14:solidFill>
                    <w14:schemeClr w14:val="tx1"/>
                  </w14:solidFill>
                </w14:textFill>
              </w:rPr>
              <w:t>)</w:t>
            </w:r>
            <w:bookmarkEnd w:id="4"/>
            <w:r>
              <w:rPr>
                <w:rFonts w:eastAsiaTheme="minorEastAsia"/>
                <w:color w:val="000000" w:themeColor="text1"/>
                <w:sz w:val="24"/>
                <w14:textFill>
                  <w14:solidFill>
                    <w14:schemeClr w14:val="tx1"/>
                  </w14:solidFill>
                </w14:textFill>
              </w:rPr>
              <w:t>等6个山前凹陷</w:t>
            </w:r>
            <w:r>
              <w:rPr>
                <w:rFonts w:hint="eastAsia" w:eastAsiaTheme="minorEastAsia"/>
                <w:color w:val="000000" w:themeColor="text1"/>
                <w:sz w:val="24"/>
                <w14:textFill>
                  <w14:solidFill>
                    <w14:schemeClr w14:val="tx1"/>
                  </w14:solidFill>
                </w14:textFill>
              </w:rPr>
              <w:t>，</w:t>
            </w:r>
            <w:r>
              <w:rPr>
                <w:rFonts w:eastAsiaTheme="minorEastAsia"/>
                <w:color w:val="000000" w:themeColor="text1"/>
                <w:sz w:val="24"/>
                <w14:textFill>
                  <w14:solidFill>
                    <w14:schemeClr w14:val="tx1"/>
                  </w14:solidFill>
                </w14:textFill>
              </w:rPr>
              <w:t>构成独立的水流域次一级水文地质单元。</w:t>
            </w:r>
          </w:p>
          <w:p>
            <w:pPr>
              <w:autoSpaceDE w:val="0"/>
              <w:autoSpaceDN w:val="0"/>
              <w:spacing w:line="360" w:lineRule="auto"/>
              <w:ind w:firstLine="480" w:firstLineChars="200"/>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4、矿产资源</w:t>
            </w:r>
          </w:p>
          <w:p>
            <w:pPr>
              <w:autoSpaceDE w:val="0"/>
              <w:autoSpaceDN w:val="0"/>
              <w:spacing w:line="360" w:lineRule="auto"/>
              <w:ind w:firstLine="480" w:firstLineChars="200"/>
              <w:rPr>
                <w:rFonts w:eastAsia="黑体"/>
                <w:color w:val="000000" w:themeColor="text1"/>
                <w:sz w:val="24"/>
                <w14:textFill>
                  <w14:solidFill>
                    <w14:schemeClr w14:val="tx1"/>
                  </w14:solidFill>
                </w14:textFill>
              </w:rPr>
            </w:pPr>
            <w:r>
              <w:rPr>
                <w:rFonts w:hAnsi="宋体"/>
                <w:color w:val="000000" w:themeColor="text1"/>
                <w:sz w:val="24"/>
                <w14:textFill>
                  <w14:solidFill>
                    <w14:schemeClr w14:val="tx1"/>
                  </w14:solidFill>
                </w14:textFill>
              </w:rPr>
              <w:t>柴达木盆地素有</w:t>
            </w:r>
            <w:r>
              <w:rPr>
                <w:color w:val="000000" w:themeColor="text1"/>
                <w:sz w:val="24"/>
                <w14:textFill>
                  <w14:solidFill>
                    <w14:schemeClr w14:val="tx1"/>
                  </w14:solidFill>
                </w14:textFill>
              </w:rPr>
              <w:t>“</w:t>
            </w:r>
            <w:r>
              <w:rPr>
                <w:rFonts w:hAnsi="宋体"/>
                <w:color w:val="000000" w:themeColor="text1"/>
                <w:sz w:val="24"/>
                <w14:textFill>
                  <w14:solidFill>
                    <w14:schemeClr w14:val="tx1"/>
                  </w14:solidFill>
                </w14:textFill>
              </w:rPr>
              <w:t>聚宝盆</w:t>
            </w:r>
            <w:r>
              <w:rPr>
                <w:color w:val="000000" w:themeColor="text1"/>
                <w:sz w:val="24"/>
                <w14:textFill>
                  <w14:solidFill>
                    <w14:schemeClr w14:val="tx1"/>
                  </w14:solidFill>
                </w14:textFill>
              </w:rPr>
              <w:t>”</w:t>
            </w:r>
            <w:r>
              <w:rPr>
                <w:rFonts w:hAnsi="宋体"/>
                <w:color w:val="000000" w:themeColor="text1"/>
                <w:sz w:val="24"/>
                <w14:textFill>
                  <w14:solidFill>
                    <w14:schemeClr w14:val="tx1"/>
                  </w14:solidFill>
                </w14:textFill>
              </w:rPr>
              <w:t>之称，矿产资源极为丰富。据统计，柴达木盆地现已发现矿产</w:t>
            </w:r>
            <w:r>
              <w:rPr>
                <w:color w:val="000000" w:themeColor="text1"/>
                <w:sz w:val="24"/>
                <w14:textFill>
                  <w14:solidFill>
                    <w14:schemeClr w14:val="tx1"/>
                  </w14:solidFill>
                </w14:textFill>
              </w:rPr>
              <w:t>86</w:t>
            </w:r>
            <w:r>
              <w:rPr>
                <w:rFonts w:hAnsi="宋体"/>
                <w:color w:val="000000" w:themeColor="text1"/>
                <w:sz w:val="24"/>
                <w14:textFill>
                  <w14:solidFill>
                    <w14:schemeClr w14:val="tx1"/>
                  </w14:solidFill>
                </w14:textFill>
              </w:rPr>
              <w:t>种，矿产地</w:t>
            </w:r>
            <w:r>
              <w:rPr>
                <w:color w:val="000000" w:themeColor="text1"/>
                <w:sz w:val="24"/>
                <w14:textFill>
                  <w14:solidFill>
                    <w14:schemeClr w14:val="tx1"/>
                  </w14:solidFill>
                </w14:textFill>
              </w:rPr>
              <w:t>1050</w:t>
            </w:r>
            <w:r>
              <w:rPr>
                <w:rFonts w:hAnsi="宋体"/>
                <w:color w:val="000000" w:themeColor="text1"/>
                <w:sz w:val="24"/>
                <w14:textFill>
                  <w14:solidFill>
                    <w14:schemeClr w14:val="tx1"/>
                  </w14:solidFill>
                </w14:textFill>
              </w:rPr>
              <w:t>处，探明储量的矿产</w:t>
            </w:r>
            <w:r>
              <w:rPr>
                <w:color w:val="000000" w:themeColor="text1"/>
                <w:sz w:val="24"/>
                <w14:textFill>
                  <w14:solidFill>
                    <w14:schemeClr w14:val="tx1"/>
                  </w14:solidFill>
                </w14:textFill>
              </w:rPr>
              <w:t>57</w:t>
            </w:r>
            <w:r>
              <w:rPr>
                <w:rFonts w:hAnsi="宋体"/>
                <w:color w:val="000000" w:themeColor="text1"/>
                <w:sz w:val="24"/>
                <w14:textFill>
                  <w14:solidFill>
                    <w14:schemeClr w14:val="tx1"/>
                  </w14:solidFill>
                </w14:textFill>
              </w:rPr>
              <w:t>种，矿产地</w:t>
            </w:r>
            <w:r>
              <w:rPr>
                <w:color w:val="000000" w:themeColor="text1"/>
                <w:sz w:val="24"/>
                <w14:textFill>
                  <w14:solidFill>
                    <w14:schemeClr w14:val="tx1"/>
                  </w14:solidFill>
                </w14:textFill>
              </w:rPr>
              <w:t>281</w:t>
            </w:r>
            <w:r>
              <w:rPr>
                <w:rFonts w:hAnsi="宋体"/>
                <w:color w:val="000000" w:themeColor="text1"/>
                <w:sz w:val="24"/>
                <w14:textFill>
                  <w14:solidFill>
                    <w14:schemeClr w14:val="tx1"/>
                  </w14:solidFill>
                </w14:textFill>
              </w:rPr>
              <w:t>处，其中大型矿床</w:t>
            </w:r>
            <w:r>
              <w:rPr>
                <w:color w:val="000000" w:themeColor="text1"/>
                <w:sz w:val="24"/>
                <w14:textFill>
                  <w14:solidFill>
                    <w14:schemeClr w14:val="tx1"/>
                  </w14:solidFill>
                </w14:textFill>
              </w:rPr>
              <w:t>72</w:t>
            </w:r>
            <w:r>
              <w:rPr>
                <w:rFonts w:hAnsi="宋体"/>
                <w:color w:val="000000" w:themeColor="text1"/>
                <w:sz w:val="24"/>
                <w14:textFill>
                  <w14:solidFill>
                    <w14:schemeClr w14:val="tx1"/>
                  </w14:solidFill>
                </w14:textFill>
              </w:rPr>
              <w:t>处，中型矿床</w:t>
            </w:r>
            <w:r>
              <w:rPr>
                <w:color w:val="000000" w:themeColor="text1"/>
                <w:sz w:val="24"/>
                <w14:textFill>
                  <w14:solidFill>
                    <w14:schemeClr w14:val="tx1"/>
                  </w14:solidFill>
                </w14:textFill>
              </w:rPr>
              <w:t>61</w:t>
            </w:r>
            <w:r>
              <w:rPr>
                <w:rFonts w:hAnsi="宋体"/>
                <w:color w:val="000000" w:themeColor="text1"/>
                <w:sz w:val="24"/>
                <w14:textFill>
                  <w14:solidFill>
                    <w14:schemeClr w14:val="tx1"/>
                  </w14:solidFill>
                </w14:textFill>
              </w:rPr>
              <w:t>处。主要矿产有石油、天然气、煤、湖盐、钾盐、硼、锂、镁盐、锶、溴、碘、芒硝、自然硫、铁、铅、锌、金、银、钴、铀、石棉、石灰岩、硅灰石等，有</w:t>
            </w:r>
            <w:r>
              <w:rPr>
                <w:color w:val="000000" w:themeColor="text1"/>
                <w:sz w:val="24"/>
                <w14:textFill>
                  <w14:solidFill>
                    <w14:schemeClr w14:val="tx1"/>
                  </w14:solidFill>
                </w14:textFill>
              </w:rPr>
              <w:t>32</w:t>
            </w:r>
            <w:r>
              <w:rPr>
                <w:rFonts w:hAnsi="宋体"/>
                <w:color w:val="000000" w:themeColor="text1"/>
                <w:sz w:val="24"/>
                <w14:textFill>
                  <w14:solidFill>
                    <w14:schemeClr w14:val="tx1"/>
                  </w14:solidFill>
                </w14:textFill>
              </w:rPr>
              <w:t>种矿种储量列全国前</w:t>
            </w:r>
            <w:r>
              <w:rPr>
                <w:color w:val="000000" w:themeColor="text1"/>
                <w:sz w:val="24"/>
                <w14:textFill>
                  <w14:solidFill>
                    <w14:schemeClr w14:val="tx1"/>
                  </w14:solidFill>
                </w14:textFill>
              </w:rPr>
              <w:t>10</w:t>
            </w:r>
            <w:r>
              <w:rPr>
                <w:rFonts w:hAnsi="宋体"/>
                <w:color w:val="000000" w:themeColor="text1"/>
                <w:sz w:val="24"/>
                <w14:textFill>
                  <w14:solidFill>
                    <w14:schemeClr w14:val="tx1"/>
                  </w14:solidFill>
                </w14:textFill>
              </w:rPr>
              <w:t>位，其中钾盐、锂、镁盐、锶、芒硝、石棉、化肥用蛇纹岩矿藏储量居全国首位，溴、碘储量居全国第二位。矿产资源具有储量大、品位高、类型全、分布集中、资源组合好等特点。</w:t>
            </w:r>
          </w:p>
          <w:p>
            <w:pPr>
              <w:autoSpaceDE w:val="0"/>
              <w:autoSpaceDN w:val="0"/>
              <w:spacing w:line="360" w:lineRule="auto"/>
              <w:ind w:firstLine="480" w:firstLineChars="200"/>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5、气候气象</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eastAsiaTheme="minorEastAsia"/>
                <w:color w:val="000000" w:themeColor="text1"/>
                <w:sz w:val="24"/>
                <w14:textFill>
                  <w14:solidFill>
                    <w14:schemeClr w14:val="tx1"/>
                  </w14:solidFill>
                </w14:textFill>
              </w:rPr>
              <w:t>柴达木盆地属高原大陆性气候，气候干燥寒冷，少雨多风，冬季漫长，夏季短促，日温差变化大，四季不分明。</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hint="eastAsia" w:eastAsiaTheme="minorEastAsia"/>
                <w:color w:val="000000" w:themeColor="text1"/>
                <w:sz w:val="24"/>
                <w14:textFill>
                  <w14:solidFill>
                    <w14:schemeClr w14:val="tx1"/>
                  </w14:solidFill>
                </w14:textFill>
              </w:rPr>
              <w:t>（1）</w:t>
            </w:r>
            <w:r>
              <w:rPr>
                <w:rFonts w:eastAsiaTheme="minorEastAsia"/>
                <w:color w:val="000000" w:themeColor="text1"/>
                <w:sz w:val="24"/>
                <w14:textFill>
                  <w14:solidFill>
                    <w14:schemeClr w14:val="tx1"/>
                  </w14:solidFill>
                </w14:textFill>
              </w:rPr>
              <w:t>气温</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eastAsiaTheme="minorEastAsia"/>
                <w:color w:val="000000" w:themeColor="text1"/>
                <w:sz w:val="24"/>
                <w14:textFill>
                  <w14:solidFill>
                    <w14:schemeClr w14:val="tx1"/>
                  </w14:solidFill>
                </w14:textFill>
              </w:rPr>
              <w:t>区域多数站平均气温为2.1～5.3℃，盆地年平均气温为3.4℃，1月份月气温最低，7月份气温最高。区域多站极端最低气温为-27.0～-34.2℃，盆地极端最低气温出现在大柴旦，为-34.2℃（1989年1月13日）；区域多站极端最高气温为32.2～35.9℃，盆地极端最高气温出现在冷湖，为35.9℃（1999年8月1日）。</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hint="eastAsia" w:eastAsiaTheme="minorEastAsia"/>
                <w:color w:val="000000" w:themeColor="text1"/>
                <w:sz w:val="24"/>
                <w14:textFill>
                  <w14:solidFill>
                    <w14:schemeClr w14:val="tx1"/>
                  </w14:solidFill>
                </w14:textFill>
              </w:rPr>
              <w:t>（2）</w:t>
            </w:r>
            <w:r>
              <w:rPr>
                <w:rFonts w:eastAsiaTheme="minorEastAsia"/>
                <w:color w:val="000000" w:themeColor="text1"/>
                <w:sz w:val="24"/>
                <w14:textFill>
                  <w14:solidFill>
                    <w14:schemeClr w14:val="tx1"/>
                  </w14:solidFill>
                </w14:textFill>
              </w:rPr>
              <w:t>降水</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eastAsiaTheme="minorEastAsia"/>
                <w:color w:val="000000" w:themeColor="text1"/>
                <w:sz w:val="24"/>
                <w14:textFill>
                  <w14:solidFill>
                    <w14:schemeClr w14:val="tx1"/>
                  </w14:solidFill>
                </w14:textFill>
              </w:rPr>
              <w:t>盆地年平均降雨量为95.8mm，年降雨量总体分布为东南部多，西北部少，年平均降雨量自东南部的202.6mm递减到西北部的17.1mm。日降雨极值出现在德令哈，日降雨达84mm（1977 年8月1日）；年平均降雨日数为74.0d，平均降雨日数自东南部的105.2d递减到西北部的36.7d；平均年降雨日数、最多（少）年降雨日数的空间分布与年降雨量的空间分布一致，呈盆地东南部多西北部少。</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hint="eastAsia" w:eastAsiaTheme="minorEastAsia"/>
                <w:color w:val="000000" w:themeColor="text1"/>
                <w:sz w:val="24"/>
                <w14:textFill>
                  <w14:solidFill>
                    <w14:schemeClr w14:val="tx1"/>
                  </w14:solidFill>
                </w14:textFill>
              </w:rPr>
              <w:t>（3）</w:t>
            </w:r>
            <w:r>
              <w:rPr>
                <w:rFonts w:eastAsiaTheme="minorEastAsia"/>
                <w:color w:val="000000" w:themeColor="text1"/>
                <w:sz w:val="24"/>
                <w14:textFill>
                  <w14:solidFill>
                    <w14:schemeClr w14:val="tx1"/>
                  </w14:solidFill>
                </w14:textFill>
              </w:rPr>
              <w:t>风</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eastAsiaTheme="minorEastAsia"/>
                <w:color w:val="000000" w:themeColor="text1"/>
                <w:sz w:val="24"/>
                <w14:textFill>
                  <w14:solidFill>
                    <w14:schemeClr w14:val="tx1"/>
                  </w14:solidFill>
                </w14:textFill>
              </w:rPr>
              <w:t>盆地内大风日数多，西部地区8级以上大风年平均114～117天，东部地区79～86天，中部地区30～53天。据大柴旦气象站气象数据统计结果，该站多年平均风速2.6m/s，最大风速可达24m/s，年大风天数在22～101d之间，W和NW风频最高，主导风向为W-NW。据格尔木气象站气象数据统计结果，该站多年平均风速2.4m/s，最大风速可达24.7m/s，W风向频率最高，年风频为22.1%，SW-WSW-W及WSW-W-WNW 风频分别为45.2%和 45.1%。</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hint="eastAsia" w:eastAsiaTheme="minorEastAsia"/>
                <w:color w:val="000000" w:themeColor="text1"/>
                <w:sz w:val="24"/>
                <w14:textFill>
                  <w14:solidFill>
                    <w14:schemeClr w14:val="tx1"/>
                  </w14:solidFill>
                </w14:textFill>
              </w:rPr>
              <w:t>（4）</w:t>
            </w:r>
            <w:r>
              <w:rPr>
                <w:rFonts w:eastAsiaTheme="minorEastAsia"/>
                <w:color w:val="000000" w:themeColor="text1"/>
                <w:sz w:val="24"/>
                <w14:textFill>
                  <w14:solidFill>
                    <w14:schemeClr w14:val="tx1"/>
                  </w14:solidFill>
                </w14:textFill>
              </w:rPr>
              <w:t>日照</w:t>
            </w:r>
          </w:p>
          <w:p>
            <w:pPr>
              <w:autoSpaceDE w:val="0"/>
              <w:autoSpaceDN w:val="0"/>
              <w:spacing w:line="360" w:lineRule="auto"/>
              <w:ind w:firstLine="480" w:firstLineChars="200"/>
              <w:rPr>
                <w:rFonts w:eastAsiaTheme="minorEastAsia"/>
                <w:color w:val="000000" w:themeColor="text1"/>
                <w:sz w:val="24"/>
                <w14:textFill>
                  <w14:solidFill>
                    <w14:schemeClr w14:val="tx1"/>
                  </w14:solidFill>
                </w14:textFill>
              </w:rPr>
            </w:pPr>
            <w:r>
              <w:rPr>
                <w:rFonts w:eastAsiaTheme="minorEastAsia"/>
                <w:color w:val="000000" w:themeColor="text1"/>
                <w:sz w:val="24"/>
                <w14:textFill>
                  <w14:solidFill>
                    <w14:schemeClr w14:val="tx1"/>
                  </w14:solidFill>
                </w14:textFill>
              </w:rPr>
              <w:t>区域多站年日照时数在3055.6h～3436.3h，盆地年平均日照时数为3186.9h，阳光辐射量达628.9～741.3 千卡/cm</w:t>
            </w:r>
            <w:r>
              <w:rPr>
                <w:rFonts w:eastAsiaTheme="minorEastAsia"/>
                <w:color w:val="000000" w:themeColor="text1"/>
                <w:sz w:val="24"/>
                <w:vertAlign w:val="superscript"/>
                <w14:textFill>
                  <w14:solidFill>
                    <w14:schemeClr w14:val="tx1"/>
                  </w14:solidFill>
                </w14:textFill>
              </w:rPr>
              <w:t>2</w:t>
            </w:r>
            <w:r>
              <w:rPr>
                <w:rFonts w:eastAsiaTheme="minorEastAsia"/>
                <w:color w:val="000000" w:themeColor="text1"/>
                <w:sz w:val="24"/>
                <w14:textFill>
                  <w14:solidFill>
                    <w14:schemeClr w14:val="tx1"/>
                  </w14:solidFill>
                </w14:textFill>
              </w:rPr>
              <w:t>。柴达木盆地境内无霜期在78～131天之间，海拔3600</w:t>
            </w:r>
            <w:r>
              <w:rPr>
                <w:rFonts w:hint="eastAsia" w:eastAsiaTheme="minorEastAsia"/>
                <w:color w:val="000000" w:themeColor="text1"/>
                <w:sz w:val="24"/>
                <w14:textFill>
                  <w14:solidFill>
                    <w14:schemeClr w14:val="tx1"/>
                  </w14:solidFill>
                </w14:textFill>
              </w:rPr>
              <w:t>m</w:t>
            </w:r>
            <w:r>
              <w:rPr>
                <w:rFonts w:eastAsiaTheme="minorEastAsia"/>
                <w:color w:val="000000" w:themeColor="text1"/>
                <w:sz w:val="24"/>
                <w14:textFill>
                  <w14:solidFill>
                    <w14:schemeClr w14:val="tx1"/>
                  </w14:solidFill>
                </w14:textFill>
              </w:rPr>
              <w:t>以上地区，无绝对无霜期。</w:t>
            </w:r>
          </w:p>
          <w:p>
            <w:pPr>
              <w:autoSpaceDE w:val="0"/>
              <w:autoSpaceDN w:val="0"/>
              <w:spacing w:line="360" w:lineRule="auto"/>
              <w:ind w:firstLine="480" w:firstLineChars="200"/>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t>6、水文</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柴达木水系总流域面积23.71万</w:t>
            </w:r>
            <w:r>
              <w:rPr>
                <w:color w:val="000000" w:themeColor="text1"/>
                <w:sz w:val="24"/>
                <w14:textFill>
                  <w14:solidFill>
                    <w14:schemeClr w14:val="tx1"/>
                  </w14:solidFill>
                </w14:textFill>
              </w:rPr>
              <w:t>km</w:t>
            </w:r>
            <w:r>
              <w:rPr>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盆地的河流属于内陆河流域，主要由山区的融雪水与降水补给而形成，发源于盆地周围的山地，河流短小，向盆地内部流动，构成向心水系，呈辐合状向盆地中心汇聚，下游多为湖泊或潜没于沙漠戈壁中。柴达木盆地四周汇入盆地的大小河流有</w:t>
            </w:r>
            <w:r>
              <w:rPr>
                <w:color w:val="000000" w:themeColor="text1"/>
                <w:sz w:val="24"/>
                <w14:textFill>
                  <w14:solidFill>
                    <w14:schemeClr w14:val="tx1"/>
                  </w14:solidFill>
                </w14:textFill>
              </w:rPr>
              <w:t>70</w:t>
            </w:r>
            <w:r>
              <w:rPr>
                <w:rFonts w:hint="eastAsia"/>
                <w:color w:val="000000" w:themeColor="text1"/>
                <w:sz w:val="24"/>
                <w14:textFill>
                  <w14:solidFill>
                    <w14:schemeClr w14:val="tx1"/>
                  </w14:solidFill>
                </w14:textFill>
              </w:rPr>
              <w:t>多条，其中常年有水的河流有</w:t>
            </w:r>
            <w:r>
              <w:rPr>
                <w:color w:val="000000" w:themeColor="text1"/>
                <w:sz w:val="24"/>
                <w14:textFill>
                  <w14:solidFill>
                    <w14:schemeClr w14:val="tx1"/>
                  </w14:solidFill>
                </w14:textFill>
              </w:rPr>
              <w:t>40</w:t>
            </w:r>
            <w:r>
              <w:rPr>
                <w:rFonts w:hint="eastAsia"/>
                <w:color w:val="000000" w:themeColor="text1"/>
                <w:sz w:val="24"/>
                <w14:textFill>
                  <w14:solidFill>
                    <w14:schemeClr w14:val="tx1"/>
                  </w14:solidFill>
                </w14:textFill>
              </w:rPr>
              <w:t>余条，分别注入盆地中心的</w:t>
            </w:r>
            <w:r>
              <w:rPr>
                <w:color w:val="000000" w:themeColor="text1"/>
                <w:sz w:val="24"/>
                <w14:textFill>
                  <w14:solidFill>
                    <w14:schemeClr w14:val="tx1"/>
                  </w14:solidFill>
                </w14:textFill>
              </w:rPr>
              <w:t>12</w:t>
            </w:r>
            <w:r>
              <w:rPr>
                <w:rFonts w:hint="eastAsia"/>
                <w:color w:val="000000" w:themeColor="text1"/>
                <w:sz w:val="24"/>
                <w14:textFill>
                  <w14:solidFill>
                    <w14:schemeClr w14:val="tx1"/>
                  </w14:solidFill>
                </w14:textFill>
              </w:rPr>
              <w:t>个湖泊（图</w:t>
            </w:r>
            <w:r>
              <w:rPr>
                <w:color w:val="000000" w:themeColor="text1"/>
                <w:sz w:val="24"/>
                <w14:textFill>
                  <w14:solidFill>
                    <w14:schemeClr w14:val="tx1"/>
                  </w14:solidFill>
                </w14:textFill>
              </w:rPr>
              <w:t>10</w:t>
            </w:r>
            <w:r>
              <w:rPr>
                <w:rFonts w:hint="eastAsia"/>
                <w:color w:val="000000" w:themeColor="text1"/>
                <w:sz w:val="24"/>
                <w14:textFill>
                  <w14:solidFill>
                    <w14:schemeClr w14:val="tx1"/>
                  </w14:solidFill>
                </w14:textFill>
              </w:rPr>
              <w:t>）。盆地内大的水系包括发源于昆仑山的都兰河、柴达木河、格尔木河、阿拉尔河等，和发育于祁连山水系的巴音河、塔塔棱河、鱼卡河等；盆内有大小湖泊共有</w:t>
            </w:r>
            <w:r>
              <w:rPr>
                <w:color w:val="000000" w:themeColor="text1"/>
                <w:sz w:val="24"/>
                <w14:textFill>
                  <w14:solidFill>
                    <w14:schemeClr w14:val="tx1"/>
                  </w14:solidFill>
                </w14:textFill>
              </w:rPr>
              <w:t>32</w:t>
            </w:r>
            <w:r>
              <w:rPr>
                <w:rFonts w:hint="eastAsia"/>
                <w:color w:val="000000" w:themeColor="text1"/>
                <w:sz w:val="24"/>
                <w14:textFill>
                  <w14:solidFill>
                    <w14:schemeClr w14:val="tx1"/>
                  </w14:solidFill>
                </w14:textFill>
              </w:rPr>
              <w:t>个，其中淡水湖</w:t>
            </w:r>
            <w:r>
              <w:rPr>
                <w:color w:val="000000" w:themeColor="text1"/>
                <w:sz w:val="24"/>
                <w14:textFill>
                  <w14:solidFill>
                    <w14:schemeClr w14:val="tx1"/>
                  </w14:solidFill>
                </w14:textFill>
              </w:rPr>
              <w:t>2</w:t>
            </w:r>
            <w:r>
              <w:rPr>
                <w:rFonts w:hint="eastAsia"/>
                <w:color w:val="000000" w:themeColor="text1"/>
                <w:sz w:val="24"/>
                <w14:textFill>
                  <w14:solidFill>
                    <w14:schemeClr w14:val="tx1"/>
                  </w14:solidFill>
                </w14:textFill>
              </w:rPr>
              <w:t>个，半咸水湖</w:t>
            </w:r>
            <w:r>
              <w:rPr>
                <w:color w:val="000000" w:themeColor="text1"/>
                <w:sz w:val="24"/>
                <w14:textFill>
                  <w14:solidFill>
                    <w14:schemeClr w14:val="tx1"/>
                  </w14:solidFill>
                </w14:textFill>
              </w:rPr>
              <w:t>6</w:t>
            </w:r>
            <w:r>
              <w:rPr>
                <w:rFonts w:hint="eastAsia"/>
                <w:color w:val="000000" w:themeColor="text1"/>
                <w:sz w:val="24"/>
                <w14:textFill>
                  <w14:solidFill>
                    <w14:schemeClr w14:val="tx1"/>
                  </w14:solidFill>
                </w14:textFill>
              </w:rPr>
              <w:t>个，盐湖</w:t>
            </w:r>
            <w:r>
              <w:rPr>
                <w:color w:val="000000" w:themeColor="text1"/>
                <w:sz w:val="24"/>
                <w14:textFill>
                  <w14:solidFill>
                    <w14:schemeClr w14:val="tx1"/>
                  </w14:solidFill>
                </w14:textFill>
              </w:rPr>
              <w:t>24</w:t>
            </w:r>
            <w:r>
              <w:rPr>
                <w:rFonts w:hint="eastAsia"/>
                <w:color w:val="000000" w:themeColor="text1"/>
                <w:sz w:val="24"/>
                <w14:textFill>
                  <w14:solidFill>
                    <w14:schemeClr w14:val="tx1"/>
                  </w14:solidFill>
                </w14:textFill>
              </w:rPr>
              <w:t>个，还有一些已经干涸无水的“干盐湖”，较大的有台吉乃尔湖、达布逊湖、霍布逊湖等。年径流超过</w:t>
            </w:r>
            <w:r>
              <w:rPr>
                <w:color w:val="000000" w:themeColor="text1"/>
                <w:sz w:val="24"/>
                <w14:textFill>
                  <w14:solidFill>
                    <w14:schemeClr w14:val="tx1"/>
                  </w14:solidFill>
                </w14:textFill>
              </w:rPr>
              <w:t>1.0</w:t>
            </w:r>
            <w:r>
              <w:rPr>
                <w:rFonts w:hint="eastAsia"/>
                <w:color w:val="000000" w:themeColor="text1"/>
                <w:sz w:val="24"/>
                <w14:textFill>
                  <w14:solidFill>
                    <w14:schemeClr w14:val="tx1"/>
                  </w14:solidFill>
                </w14:textFill>
              </w:rPr>
              <w:t>亿</w:t>
            </w:r>
            <w:r>
              <w:rPr>
                <w:color w:val="000000" w:themeColor="text1"/>
                <w:sz w:val="24"/>
                <w14:textFill>
                  <w14:solidFill>
                    <w14:schemeClr w14:val="tx1"/>
                  </w14:solidFill>
                </w14:textFill>
              </w:rPr>
              <w:t>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的河流有</w:t>
            </w:r>
            <w:r>
              <w:rPr>
                <w:color w:val="000000" w:themeColor="text1"/>
                <w:sz w:val="24"/>
                <w14:textFill>
                  <w14:solidFill>
                    <w14:schemeClr w14:val="tx1"/>
                  </w14:solidFill>
                </w14:textFill>
              </w:rPr>
              <w:t>8</w:t>
            </w:r>
            <w:r>
              <w:rPr>
                <w:rFonts w:hint="eastAsia"/>
                <w:color w:val="000000" w:themeColor="text1"/>
                <w:sz w:val="24"/>
                <w14:textFill>
                  <w14:solidFill>
                    <w14:schemeClr w14:val="tx1"/>
                  </w14:solidFill>
                </w14:textFill>
              </w:rPr>
              <w:t>条，分别为：那林格勒河（那河）、格尔木河等。另外，从新疆流入柴达木盆地的斯巴利克河和阿达滩河，其年径流亦超过</w:t>
            </w:r>
            <w:r>
              <w:rPr>
                <w:color w:val="000000" w:themeColor="text1"/>
                <w:sz w:val="24"/>
                <w14:textFill>
                  <w14:solidFill>
                    <w14:schemeClr w14:val="tx1"/>
                  </w14:solidFill>
                </w14:textFill>
              </w:rPr>
              <w:t>1.0</w:t>
            </w:r>
            <w:r>
              <w:rPr>
                <w:rFonts w:hint="eastAsia"/>
                <w:color w:val="000000" w:themeColor="text1"/>
                <w:sz w:val="24"/>
                <w14:textFill>
                  <w14:solidFill>
                    <w14:schemeClr w14:val="tx1"/>
                  </w14:solidFill>
                </w14:textFill>
              </w:rPr>
              <w:t>亿</w:t>
            </w:r>
            <w:r>
              <w:rPr>
                <w:color w:val="000000" w:themeColor="text1"/>
                <w:sz w:val="24"/>
                <w14:textFill>
                  <w14:solidFill>
                    <w14:schemeClr w14:val="tx1"/>
                  </w14:solidFill>
                </w14:textFill>
              </w:rPr>
              <w:t>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，在流入盆地前均已潜入地下，在盆地内溢出，形成泉集河。同时，柴达木盆地也是我国盐湖分布最多的区域之一。盆地内共有大于</w:t>
            </w:r>
            <w:r>
              <w:rPr>
                <w:color w:val="000000" w:themeColor="text1"/>
                <w:sz w:val="24"/>
                <w14:textFill>
                  <w14:solidFill>
                    <w14:schemeClr w14:val="tx1"/>
                  </w14:solidFill>
                </w14:textFill>
              </w:rPr>
              <w:t>1km</w:t>
            </w:r>
            <w:r>
              <w:rPr>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的湖泊</w:t>
            </w:r>
            <w:r>
              <w:rPr>
                <w:color w:val="000000" w:themeColor="text1"/>
                <w:sz w:val="24"/>
                <w14:textFill>
                  <w14:solidFill>
                    <w14:schemeClr w14:val="tx1"/>
                  </w14:solidFill>
                </w14:textFill>
              </w:rPr>
              <w:t>47</w:t>
            </w:r>
            <w:r>
              <w:rPr>
                <w:rFonts w:hint="eastAsia"/>
                <w:color w:val="000000" w:themeColor="text1"/>
                <w:sz w:val="24"/>
                <w14:textFill>
                  <w14:solidFill>
                    <w14:schemeClr w14:val="tx1"/>
                  </w14:solidFill>
                </w14:textFill>
              </w:rPr>
              <w:t>个，盐湖资源储量最大，淡水湖主要分布在昆仑山北麓海拔</w:t>
            </w:r>
            <w:r>
              <w:rPr>
                <w:color w:val="000000" w:themeColor="text1"/>
                <w:sz w:val="24"/>
                <w14:textFill>
                  <w14:solidFill>
                    <w14:schemeClr w14:val="tx1"/>
                  </w14:solidFill>
                </w14:textFill>
              </w:rPr>
              <w:t>4000m</w:t>
            </w:r>
            <w:r>
              <w:rPr>
                <w:rFonts w:hint="eastAsia"/>
                <w:color w:val="000000" w:themeColor="text1"/>
                <w:sz w:val="24"/>
                <w14:textFill>
                  <w14:solidFill>
                    <w14:schemeClr w14:val="tx1"/>
                  </w14:solidFill>
                </w14:textFill>
              </w:rPr>
              <w:t>以上的径流形成区。区域</w:t>
            </w:r>
            <w:r>
              <w:rPr>
                <w:rFonts w:hint="eastAsia"/>
                <w:color w:val="000000" w:themeColor="text1"/>
                <w:sz w:val="24"/>
                <w:lang w:val="en-US" w:eastAsia="zh-CN"/>
                <w14:textFill>
                  <w14:solidFill>
                    <w14:schemeClr w14:val="tx1"/>
                  </w14:solidFill>
                </w14:textFill>
              </w:rPr>
              <w:t>地表</w:t>
            </w:r>
            <w:r>
              <w:rPr>
                <w:rFonts w:hint="eastAsia"/>
                <w:color w:val="000000" w:themeColor="text1"/>
                <w:sz w:val="24"/>
                <w14:textFill>
                  <w14:solidFill>
                    <w14:schemeClr w14:val="tx1"/>
                  </w14:solidFill>
                </w14:textFill>
              </w:rPr>
              <w:t>水系图</w:t>
            </w:r>
            <w:r>
              <w:rPr>
                <w:rFonts w:hint="eastAsia"/>
                <w:color w:val="000000" w:themeColor="text1"/>
                <w:sz w:val="24"/>
                <w:lang w:val="en-US" w:eastAsia="zh-CN"/>
                <w14:textFill>
                  <w14:solidFill>
                    <w14:schemeClr w14:val="tx1"/>
                  </w14:solidFill>
                </w14:textFill>
              </w:rPr>
              <w:t>见图3-4。</w:t>
            </w:r>
          </w:p>
          <w:p>
            <w:pPr>
              <w:autoSpaceDE w:val="0"/>
              <w:autoSpaceDN w:val="0"/>
              <w:spacing w:line="360" w:lineRule="auto"/>
              <w:rPr>
                <w:rFonts w:eastAsia="黑体"/>
                <w:color w:val="000000" w:themeColor="text1"/>
                <w:sz w:val="24"/>
                <w14:textFill>
                  <w14:solidFill>
                    <w14:schemeClr w14:val="tx1"/>
                  </w14:solidFill>
                </w14:textFill>
              </w:rPr>
            </w:pPr>
            <w:r>
              <w:rPr>
                <w:color w:val="000000" w:themeColor="text1"/>
                <w14:textFill>
                  <w14:solidFill>
                    <w14:schemeClr w14:val="tx1"/>
                  </w14:solidFill>
                </w14:textFill>
              </w:rPr>
              <w:drawing>
                <wp:inline distT="0" distB="0" distL="114300" distR="114300">
                  <wp:extent cx="6182360" cy="3502025"/>
                  <wp:effectExtent l="0" t="0" r="2540" b="3175"/>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8"/>
                          <a:stretch>
                            <a:fillRect/>
                          </a:stretch>
                        </pic:blipFill>
                        <pic:spPr>
                          <a:xfrm>
                            <a:off x="0" y="0"/>
                            <a:ext cx="6182360" cy="3502025"/>
                          </a:xfrm>
                          <a:prstGeom prst="rect">
                            <a:avLst/>
                          </a:prstGeom>
                          <a:noFill/>
                          <a:ln>
                            <a:noFill/>
                          </a:ln>
                        </pic:spPr>
                      </pic:pic>
                    </a:graphicData>
                  </a:graphic>
                </wp:inline>
              </w:drawing>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图3-4  区域</w:t>
            </w:r>
            <w:r>
              <w:rPr>
                <w:rFonts w:hint="eastAsia"/>
                <w:color w:val="000000" w:themeColor="text1"/>
                <w:sz w:val="24"/>
                <w:lang w:val="en-US" w:eastAsia="zh-CN"/>
                <w14:textFill>
                  <w14:solidFill>
                    <w14:schemeClr w14:val="tx1"/>
                  </w14:solidFill>
                </w14:textFill>
              </w:rPr>
              <w:t>地表</w:t>
            </w:r>
            <w:r>
              <w:rPr>
                <w:rFonts w:hint="eastAsia"/>
                <w:color w:val="000000" w:themeColor="text1"/>
                <w:sz w:val="24"/>
                <w14:textFill>
                  <w14:solidFill>
                    <w14:schemeClr w14:val="tx1"/>
                  </w14:solidFill>
                </w14:textFill>
              </w:rPr>
              <w:t>水系图</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（1）河流</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那林格勒河（那河）：位于柴达木盆地西南部，是柴达木盆地最大的内陆河流，发源于昆仑山脉阿尔格山的雪莲山，源头海拔5598m，冰川面积达572.79km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，储量约572.79亿m</w:t>
            </w:r>
            <w:r>
              <w:rPr>
                <w:rFonts w:hint="eastAsia"/>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。主要支流有红水河和库拉克阿拉干河两大支流，南支红水河为最大支流。红水河源头地区两侧高山常年有积雪，并有冰川分布，源头有太阳湖等海子呈串联状分布，湖区海拔4890m～5020m，湖区面积仅100km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河长356km。北支库拉克阿拉干河源头海拔5000m左右，最高峰海拔5960m，常年有积雪，并有冰川分布，河长184km。那河自多喀克河口以上河段为上游，长约165.5km，多喀克河口至出山口长约40.5km河段为中游，出山口以下为下游，长约194km，那河总河长约400km，河道平均比降8.1‰，出山口以上集水面积22300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，多年平均流量为 41.6m</w:t>
            </w:r>
            <w:r>
              <w:rPr>
                <w:rFonts w:hint="eastAsia"/>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/s，多年平均径流量13.12亿m</w:t>
            </w:r>
            <w:r>
              <w:rPr>
                <w:rFonts w:hint="eastAsia"/>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那河自出山口以后，在冲洪积扇前缘大量渗漏，流量随流程渗漏量增加而逐渐减少，地下水进入冲洪积平原后，由于地形坡降变小，经过戈壁带转化为地下水，地下水侧向补给遇到不透水体顶托，地下水大量溢出，支撑其绿洲，多余的水形成河流，沿不透水边界向东流去，形成三条再生河，即东北部的乌图美仁河、查哈美仁河和北部的东台吉乃尔河。乌图美仁河与查哈美仁河汇合后流向为东—东南方向，最终注入西达布逊湖。东台吉乃尔河由西向东—北东径流，呈分散辐射状形成多条支流，东部支流汇入东台吉乃尔湖、中部支流汇入鸭湖、西部支流汇入西台吉乃尔湖，西台湖水位达到一定水位后，开始注入一里坪。</w:t>
            </w:r>
          </w:p>
          <w:p>
            <w:pPr>
              <w:pStyle w:val="2"/>
              <w:spacing w:before="10" w:line="360" w:lineRule="auto"/>
              <w:ind w:firstLine="480" w:firstLineChars="200"/>
              <w:rPr>
                <w:rFonts w:ascii="Times New Roman" w:hAnsi="Times New Roman" w:cs="Times New Roman"/>
                <w:color w:val="000000" w:themeColor="text1"/>
                <w:lang w:val="en-US" w:bidi="ar-SA"/>
                <w14:textFill>
                  <w14:solidFill>
                    <w14:schemeClr w14:val="tx1"/>
                  </w14:solidFill>
                </w14:textFill>
              </w:rPr>
            </w:pPr>
            <w:r>
              <w:rPr>
                <w:rFonts w:hint="eastAsia" w:ascii="Times New Roman" w:hAnsi="Times New Roman" w:cs="Times New Roman"/>
                <w:color w:val="000000" w:themeColor="text1"/>
                <w:lang w:val="en-US" w:bidi="ar-SA"/>
                <w14:textFill>
                  <w14:solidFill>
                    <w14:schemeClr w14:val="tx1"/>
                  </w14:solidFill>
                </w14:textFill>
              </w:rPr>
              <w:t>格尔木河：为柴达木盆地第二大河流，出山口以上流域面积19621km</w:t>
            </w:r>
            <w:r>
              <w:rPr>
                <w:rFonts w:hint="eastAsia" w:ascii="Times New Roman" w:hAnsi="Times New Roman" w:cs="Times New Roman"/>
                <w:color w:val="000000" w:themeColor="text1"/>
                <w:vertAlign w:val="superscript"/>
                <w:lang w:val="en-US" w:bidi="ar-SA"/>
                <w14:textFill>
                  <w14:solidFill>
                    <w14:schemeClr w14:val="tx1"/>
                  </w14:solidFill>
                </w14:textFill>
              </w:rPr>
              <w:t>2</w:t>
            </w:r>
            <w:r>
              <w:rPr>
                <w:rFonts w:hint="eastAsia" w:ascii="Times New Roman" w:hAnsi="Times New Roman" w:cs="Times New Roman"/>
                <w:color w:val="000000" w:themeColor="text1"/>
                <w:lang w:val="en-US" w:bidi="ar-SA"/>
                <w14:textFill>
                  <w14:solidFill>
                    <w14:schemeClr w14:val="tx1"/>
                  </w14:solidFill>
                </w14:textFill>
              </w:rPr>
              <w:t>，全长468km（干流长352km）。发源于昆仑山北麓，由昆仑山内野牛沟河以及秀沟雪水河两条河流汇集而成，源头冰川面积271.3km</w:t>
            </w:r>
            <w:r>
              <w:rPr>
                <w:rFonts w:hint="eastAsia" w:ascii="Times New Roman" w:hAnsi="Times New Roman" w:cs="Times New Roman"/>
                <w:color w:val="000000" w:themeColor="text1"/>
                <w:vertAlign w:val="superscript"/>
                <w:lang w:val="en-US" w:bidi="ar-SA"/>
                <w14:textFill>
                  <w14:solidFill>
                    <w14:schemeClr w14:val="tx1"/>
                  </w14:solidFill>
                </w14:textFill>
              </w:rPr>
              <w:t>2</w:t>
            </w:r>
            <w:r>
              <w:rPr>
                <w:rFonts w:hint="eastAsia" w:ascii="Times New Roman" w:hAnsi="Times New Roman" w:cs="Times New Roman"/>
                <w:color w:val="000000" w:themeColor="text1"/>
                <w:lang w:val="en-US" w:bidi="ar-SA"/>
                <w14:textFill>
                  <w14:solidFill>
                    <w14:schemeClr w14:val="tx1"/>
                  </w14:solidFill>
                </w14:textFill>
              </w:rPr>
              <w:t>，年冰川融水量1.08亿m</w:t>
            </w:r>
            <w:r>
              <w:rPr>
                <w:rFonts w:hint="eastAsia" w:ascii="Times New Roman" w:hAnsi="Times New Roman" w:cs="Times New Roman"/>
                <w:color w:val="000000" w:themeColor="text1"/>
                <w:vertAlign w:val="superscript"/>
                <w:lang w:val="en-US" w:bidi="ar-SA"/>
                <w14:textFill>
                  <w14:solidFill>
                    <w14:schemeClr w14:val="tx1"/>
                  </w14:solidFill>
                </w14:textFill>
              </w:rPr>
              <w:t>3</w:t>
            </w:r>
            <w:r>
              <w:rPr>
                <w:rFonts w:hint="eastAsia" w:ascii="Times New Roman" w:hAnsi="Times New Roman" w:cs="Times New Roman"/>
                <w:color w:val="000000" w:themeColor="text1"/>
                <w:lang w:val="en-US" w:bidi="ar-SA"/>
                <w14:textFill>
                  <w14:solidFill>
                    <w14:schemeClr w14:val="tx1"/>
                  </w14:solidFill>
                </w14:textFill>
              </w:rPr>
              <w:t>，多年平均径流量24.8m</w:t>
            </w:r>
            <w:r>
              <w:rPr>
                <w:rFonts w:hint="eastAsia" w:ascii="Times New Roman" w:hAnsi="Times New Roman" w:cs="Times New Roman"/>
                <w:color w:val="000000" w:themeColor="text1"/>
                <w:vertAlign w:val="superscript"/>
                <w:lang w:val="en-US" w:bidi="ar-SA"/>
                <w14:textFill>
                  <w14:solidFill>
                    <w14:schemeClr w14:val="tx1"/>
                  </w14:solidFill>
                </w14:textFill>
              </w:rPr>
              <w:t>3</w:t>
            </w:r>
            <w:r>
              <w:rPr>
                <w:rFonts w:hint="eastAsia" w:ascii="Times New Roman" w:hAnsi="Times New Roman" w:cs="Times New Roman"/>
                <w:color w:val="000000" w:themeColor="text1"/>
                <w:lang w:val="en-US" w:bidi="ar-SA"/>
                <w14:textFill>
                  <w14:solidFill>
                    <w14:schemeClr w14:val="tx1"/>
                  </w14:solidFill>
                </w14:textFill>
              </w:rPr>
              <w:t>/s，水资源总量7.798亿m</w:t>
            </w:r>
            <w:r>
              <w:rPr>
                <w:rFonts w:hint="eastAsia" w:ascii="Times New Roman" w:hAnsi="Times New Roman" w:cs="Times New Roman"/>
                <w:color w:val="000000" w:themeColor="text1"/>
                <w:vertAlign w:val="superscript"/>
                <w:lang w:val="en-US" w:bidi="ar-SA"/>
                <w14:textFill>
                  <w14:solidFill>
                    <w14:schemeClr w14:val="tx1"/>
                  </w14:solidFill>
                </w14:textFill>
              </w:rPr>
              <w:t>3</w:t>
            </w:r>
            <w:r>
              <w:rPr>
                <w:rFonts w:hint="eastAsia" w:ascii="Times New Roman" w:hAnsi="Times New Roman" w:cs="Times New Roman"/>
                <w:color w:val="000000" w:themeColor="text1"/>
                <w:lang w:val="en-US" w:bidi="ar-SA"/>
                <w14:textFill>
                  <w14:solidFill>
                    <w14:schemeClr w14:val="tx1"/>
                  </w14:solidFill>
                </w14:textFill>
              </w:rPr>
              <w:t>，河流最终汇入东达布逊湖。</w:t>
            </w:r>
          </w:p>
          <w:p>
            <w:pPr>
              <w:pStyle w:val="2"/>
              <w:spacing w:before="10" w:line="360" w:lineRule="auto"/>
              <w:ind w:firstLine="480" w:firstLineChars="200"/>
              <w:rPr>
                <w:rFonts w:ascii="Times New Roman" w:hAnsi="Times New Roman" w:cs="Times New Roman"/>
                <w:color w:val="000000" w:themeColor="text1"/>
                <w:lang w:val="en-US" w:bidi="ar-SA"/>
                <w14:textFill>
                  <w14:solidFill>
                    <w14:schemeClr w14:val="tx1"/>
                  </w14:solidFill>
                </w14:textFill>
              </w:rPr>
            </w:pPr>
            <w:r>
              <w:rPr>
                <w:rFonts w:hint="eastAsia" w:ascii="Times New Roman" w:hAnsi="Times New Roman" w:cs="Times New Roman"/>
                <w:color w:val="000000" w:themeColor="text1"/>
                <w:lang w:val="en-US" w:bidi="ar-SA"/>
                <w14:textFill>
                  <w14:solidFill>
                    <w14:schemeClr w14:val="tx1"/>
                  </w14:solidFill>
                </w14:textFill>
              </w:rPr>
              <w:t>柴达木河：位于盆地东南部，发源于昆仑山布尔汗布达山，有冰川湖泊补给。该河上游由托索河和乌兰乌苏河两支组成，前者为正源，两支汇合后称为洪水川，与清水河汇合后称香日德河。该河经过香日德镇后潜人地下，后又以泉的形式泄出，称柴达木河，最后汇入南霍鲁逊湖。香日德河长231.4km，比降6.76%，流域面积12339km</w:t>
            </w:r>
            <w:r>
              <w:rPr>
                <w:rFonts w:hint="eastAsia" w:ascii="Times New Roman" w:hAnsi="Times New Roman" w:cs="Times New Roman"/>
                <w:color w:val="000000" w:themeColor="text1"/>
                <w:vertAlign w:val="superscript"/>
                <w:lang w:val="en-US" w:bidi="ar-SA"/>
                <w14:textFill>
                  <w14:solidFill>
                    <w14:schemeClr w14:val="tx1"/>
                  </w14:solidFill>
                </w14:textFill>
              </w:rPr>
              <w:t>2</w:t>
            </w:r>
            <w:r>
              <w:rPr>
                <w:rFonts w:hint="eastAsia" w:ascii="Times New Roman" w:hAnsi="Times New Roman" w:cs="Times New Roman"/>
                <w:color w:val="000000" w:themeColor="text1"/>
                <w:lang w:val="en-US" w:bidi="ar-SA"/>
                <w14:textFill>
                  <w14:solidFill>
                    <w14:schemeClr w14:val="tx1"/>
                  </w14:solidFill>
                </w14:textFill>
              </w:rPr>
              <w:t>，年径流量3.96亿m</w:t>
            </w:r>
            <w:r>
              <w:rPr>
                <w:rFonts w:hint="eastAsia" w:ascii="Times New Roman" w:hAnsi="Times New Roman" w:cs="Times New Roman"/>
                <w:color w:val="000000" w:themeColor="text1"/>
                <w:vertAlign w:val="superscript"/>
                <w:lang w:val="en-US" w:bidi="ar-SA"/>
                <w14:textFill>
                  <w14:solidFill>
                    <w14:schemeClr w14:val="tx1"/>
                  </w14:solidFill>
                </w14:textFill>
              </w:rPr>
              <w:t>3</w:t>
            </w:r>
            <w:r>
              <w:rPr>
                <w:rFonts w:hint="eastAsia" w:ascii="Times New Roman" w:hAnsi="Times New Roman" w:cs="Times New Roman"/>
                <w:color w:val="000000" w:themeColor="text1"/>
                <w:lang w:val="en-US" w:bidi="ar-SA"/>
                <w14:textFill>
                  <w14:solidFill>
                    <w14:schemeClr w14:val="tx1"/>
                  </w14:solidFill>
                </w14:textFill>
              </w:rPr>
              <w:t>。</w:t>
            </w:r>
          </w:p>
          <w:p>
            <w:pPr>
              <w:pStyle w:val="2"/>
              <w:spacing w:before="10" w:line="360" w:lineRule="auto"/>
              <w:ind w:firstLine="480" w:firstLineChars="200"/>
              <w:rPr>
                <w:rFonts w:ascii="Times New Roman" w:hAnsi="Times New Roman" w:cs="Times New Roman"/>
                <w:color w:val="000000" w:themeColor="text1"/>
                <w:lang w:val="en-US" w:bidi="ar-SA"/>
                <w14:textFill>
                  <w14:solidFill>
                    <w14:schemeClr w14:val="tx1"/>
                  </w14:solidFill>
                </w14:textFill>
              </w:rPr>
            </w:pPr>
            <w:r>
              <w:rPr>
                <w:rFonts w:hint="eastAsia" w:ascii="Times New Roman" w:hAnsi="Times New Roman" w:cs="Times New Roman"/>
                <w:color w:val="000000" w:themeColor="text1"/>
                <w:lang w:bidi="ar-SA"/>
                <w14:textFill>
                  <w14:solidFill>
                    <w14:schemeClr w14:val="tx1"/>
                  </w14:solidFill>
                </w14:textFill>
              </w:rPr>
              <w:t>铁木里克河：铁木里克河位于柴达木盆地西北部茫崖镇境内。发源于新疆维吾尔自治区，北支斯巴利克河和南支阿达滩河在新、青交界处汇合后潜入荒漠戈壁之下，又以</w:t>
            </w:r>
            <w:r>
              <w:rPr>
                <w:rFonts w:hint="eastAsia" w:ascii="Times New Roman" w:hAnsi="Times New Roman" w:cs="Times New Roman"/>
                <w:color w:val="000000" w:themeColor="text1"/>
                <w:lang w:val="en-US" w:bidi="ar-SA"/>
                <w14:textFill>
                  <w14:solidFill>
                    <w14:schemeClr w14:val="tx1"/>
                  </w14:solidFill>
                </w14:textFill>
              </w:rPr>
              <w:t>大面积沼泽、湿地形式出露地表，并汇成数条相互平行的铁木里克河，东南流向汇入尕斯库勒湖。在青海境内干流长42km，流域面积500多km</w:t>
            </w:r>
            <w:r>
              <w:rPr>
                <w:rFonts w:hint="eastAsia" w:ascii="Times New Roman" w:hAnsi="Times New Roman" w:cs="Times New Roman"/>
                <w:color w:val="000000" w:themeColor="text1"/>
                <w:vertAlign w:val="superscript"/>
                <w:lang w:val="en-US" w:bidi="ar-SA"/>
                <w14:textFill>
                  <w14:solidFill>
                    <w14:schemeClr w14:val="tx1"/>
                  </w14:solidFill>
                </w14:textFill>
              </w:rPr>
              <w:t>2</w:t>
            </w:r>
            <w:r>
              <w:rPr>
                <w:rFonts w:hint="eastAsia" w:ascii="Times New Roman" w:hAnsi="Times New Roman" w:cs="Times New Roman"/>
                <w:color w:val="000000" w:themeColor="text1"/>
                <w:lang w:val="en-US" w:bidi="ar-SA"/>
                <w14:textFill>
                  <w14:solidFill>
                    <w14:schemeClr w14:val="tx1"/>
                  </w14:solidFill>
                </w14:textFill>
              </w:rPr>
              <w:t>，多年平均流量3.28m</w:t>
            </w:r>
            <w:r>
              <w:rPr>
                <w:rFonts w:hint="eastAsia" w:ascii="Times New Roman" w:hAnsi="Times New Roman" w:cs="Times New Roman"/>
                <w:color w:val="000000" w:themeColor="text1"/>
                <w:vertAlign w:val="superscript"/>
                <w:lang w:val="en-US" w:bidi="ar-SA"/>
                <w14:textFill>
                  <w14:solidFill>
                    <w14:schemeClr w14:val="tx1"/>
                  </w14:solidFill>
                </w14:textFill>
              </w:rPr>
              <w:t>3</w:t>
            </w:r>
            <w:r>
              <w:rPr>
                <w:rFonts w:hint="eastAsia" w:ascii="Times New Roman" w:hAnsi="Times New Roman" w:cs="Times New Roman"/>
                <w:color w:val="000000" w:themeColor="text1"/>
                <w:lang w:val="en-US" w:bidi="ar-SA"/>
                <w14:textFill>
                  <w14:solidFill>
                    <w14:schemeClr w14:val="tx1"/>
                  </w14:solidFill>
                </w14:textFill>
              </w:rPr>
              <w:t>/s，年径流量1.03亿立方m</w:t>
            </w:r>
            <w:r>
              <w:rPr>
                <w:rFonts w:hint="eastAsia" w:ascii="Times New Roman" w:hAnsi="Times New Roman" w:cs="Times New Roman"/>
                <w:color w:val="000000" w:themeColor="text1"/>
                <w:vertAlign w:val="superscript"/>
                <w:lang w:val="en-US" w:bidi="ar-SA"/>
                <w14:textFill>
                  <w14:solidFill>
                    <w14:schemeClr w14:val="tx1"/>
                  </w14:solidFill>
                </w14:textFill>
              </w:rPr>
              <w:t>3</w:t>
            </w:r>
            <w:r>
              <w:rPr>
                <w:rFonts w:hint="eastAsia" w:ascii="Times New Roman" w:hAnsi="Times New Roman" w:cs="Times New Roman"/>
                <w:color w:val="000000" w:themeColor="text1"/>
                <w:lang w:val="en-US" w:bidi="ar-SA"/>
                <w14:textFill>
                  <w14:solidFill>
                    <w14:schemeClr w14:val="tx1"/>
                  </w14:solidFill>
                </w14:textFill>
              </w:rPr>
              <w:t>。</w:t>
            </w:r>
          </w:p>
          <w:p>
            <w:pPr>
              <w:pStyle w:val="19"/>
              <w:tabs>
                <w:tab w:val="left" w:pos="1523"/>
              </w:tabs>
              <w:spacing w:before="2" w:line="360" w:lineRule="auto"/>
              <w:ind w:firstLine="48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诺木洪河：地处柴达木盆地南缘，系内陆河流，发源于昆仑山脉的布尔汗布达山，由东南流向西北，流入南霍布逊河。北纬36°12′，东经96°23′，集水面积3273km</w:t>
            </w:r>
            <w:r>
              <w:rPr>
                <w:rFonts w:hint="eastAsia"/>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，河长123km，河道比降13</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1％。在盆地100余条河流中，诺木洪河位居第六，河水补给以冰雪形成的地下水为主，降水次之。</w:t>
            </w:r>
          </w:p>
          <w:p>
            <w:pPr>
              <w:pStyle w:val="2"/>
              <w:spacing w:before="10" w:line="360" w:lineRule="auto"/>
              <w:ind w:firstLine="480" w:firstLineChars="200"/>
              <w:rPr>
                <w:rFonts w:ascii="Times New Roman" w:hAnsi="Times New Roman" w:cs="Times New Roman"/>
                <w:color w:val="000000" w:themeColor="text1"/>
                <w:lang w:bidi="ar-SA"/>
                <w14:textFill>
                  <w14:solidFill>
                    <w14:schemeClr w14:val="tx1"/>
                  </w14:solidFill>
                </w14:textFill>
              </w:rPr>
            </w:pPr>
            <w:r>
              <w:rPr>
                <w:rFonts w:hint="eastAsia" w:ascii="Times New Roman" w:hAnsi="Times New Roman" w:cs="Times New Roman"/>
                <w:color w:val="000000" w:themeColor="text1"/>
                <w:lang w:bidi="ar-SA"/>
                <w14:textFill>
                  <w14:solidFill>
                    <w14:schemeClr w14:val="tx1"/>
                  </w14:solidFill>
                </w14:textFill>
              </w:rPr>
              <w:t>巴音河：发源于祁连山系哈尔科山南坡，属可鲁克湖水系，全长326km，流域面积7462km</w:t>
            </w:r>
            <w:r>
              <w:rPr>
                <w:rFonts w:hint="eastAsia" w:ascii="Times New Roman" w:hAnsi="Times New Roman" w:cs="Times New Roman"/>
                <w:color w:val="000000" w:themeColor="text1"/>
                <w:vertAlign w:val="superscript"/>
                <w:lang w:bidi="ar-SA"/>
                <w14:textFill>
                  <w14:solidFill>
                    <w14:schemeClr w14:val="tx1"/>
                  </w14:solidFill>
                </w14:textFill>
              </w:rPr>
              <w:t>2</w:t>
            </w:r>
            <w:r>
              <w:rPr>
                <w:rFonts w:hint="eastAsia" w:ascii="Times New Roman" w:hAnsi="Times New Roman" w:cs="Times New Roman"/>
                <w:color w:val="000000" w:themeColor="text1"/>
                <w:lang w:bidi="ar-SA"/>
                <w14:textFill>
                  <w14:solidFill>
                    <w14:schemeClr w14:val="tx1"/>
                  </w14:solidFill>
                </w14:textFill>
              </w:rPr>
              <w:t>，落差2004m，比降6.5‰，上游有9条支流，年平均流量10.4m</w:t>
            </w:r>
            <w:r>
              <w:rPr>
                <w:rFonts w:hint="eastAsia" w:ascii="Times New Roman" w:hAnsi="Times New Roman" w:cs="Times New Roman"/>
                <w:color w:val="000000" w:themeColor="text1"/>
                <w:vertAlign w:val="superscript"/>
                <w:lang w:bidi="ar-SA"/>
                <w14:textFill>
                  <w14:solidFill>
                    <w14:schemeClr w14:val="tx1"/>
                  </w14:solidFill>
                </w14:textFill>
              </w:rPr>
              <w:t>3</w:t>
            </w:r>
            <w:r>
              <w:rPr>
                <w:rFonts w:hint="eastAsia" w:ascii="Times New Roman" w:hAnsi="Times New Roman" w:cs="Times New Roman"/>
                <w:color w:val="000000" w:themeColor="text1"/>
                <w:lang w:bidi="ar-SA"/>
                <w14:textFill>
                  <w14:solidFill>
                    <w14:schemeClr w14:val="tx1"/>
                  </w14:solidFill>
                </w14:textFill>
              </w:rPr>
              <w:t>/s，年径流量3.31亿m</w:t>
            </w:r>
            <w:r>
              <w:rPr>
                <w:rFonts w:hint="eastAsia" w:ascii="Times New Roman" w:hAnsi="Times New Roman" w:cs="Times New Roman"/>
                <w:color w:val="000000" w:themeColor="text1"/>
                <w:vertAlign w:val="superscript"/>
                <w:lang w:bidi="ar-SA"/>
                <w14:textFill>
                  <w14:solidFill>
                    <w14:schemeClr w14:val="tx1"/>
                  </w14:solidFill>
                </w14:textFill>
              </w:rPr>
              <w:t>3</w:t>
            </w:r>
            <w:r>
              <w:rPr>
                <w:rFonts w:hint="eastAsia" w:ascii="Times New Roman" w:hAnsi="Times New Roman" w:cs="Times New Roman"/>
                <w:color w:val="000000" w:themeColor="text1"/>
                <w:lang w:bidi="ar-SA"/>
                <w14:textFill>
                  <w14:solidFill>
                    <w14:schemeClr w14:val="tx1"/>
                  </w14:solidFill>
                </w14:textFill>
              </w:rPr>
              <w:t>，流经德令哈盆地后大量渗漏，潜入地下东西分流，向东注入尕海湖、向西在郭里木再次溢出汇流成河流至戈壁，由戈壁到可鲁克湖20余千米的河段坡度减缓、河汊发育，水流排泄不畅，形成芦苇丛生的宽阔沼泽地带。巴音河经可鲁克湖的天然调节后由连通河补给给托素湖。</w:t>
            </w:r>
          </w:p>
          <w:p>
            <w:pPr>
              <w:pStyle w:val="19"/>
              <w:tabs>
                <w:tab w:val="left" w:pos="1523"/>
              </w:tabs>
              <w:spacing w:before="2" w:line="360" w:lineRule="auto"/>
              <w:ind w:firstLine="480"/>
              <w:jc w:val="left"/>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塔塔棱河：发源于祁连山脉中断南支土尔根达坂山，注入柴达木盆地北部的小柴旦湖，为内流河。向西南、西流，汇合成上源喀克吐郭勒河，形成树枝状水系。再西流纳入北来的亚马托河，始称塔塔棱河。后进入峡谷，转向西南流，在达肯达坂西南出山口。此后地势平坦，河水下渗，有些河段成为时令河，有些河段因有泉水补给而常年有水，并分布有沼泽，最后汇入巴嘎柴达木湖。全长214.8km，流域面积4771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（小柴旦以上），年径流量1.16亿m</w:t>
            </w:r>
            <w:r>
              <w:rPr>
                <w:rFonts w:hint="eastAsia"/>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，多年平均径流深25.6mm。径流主要以冰雪融水和地下水补给，中、下游多为季节性河段。</w:t>
            </w:r>
          </w:p>
          <w:p>
            <w:pPr>
              <w:pStyle w:val="19"/>
              <w:tabs>
                <w:tab w:val="left" w:pos="1523"/>
              </w:tabs>
              <w:spacing w:before="2" w:line="360" w:lineRule="auto"/>
              <w:ind w:firstLine="480"/>
              <w:jc w:val="left"/>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鱼卡河：于青海省海西蒙古族藏族自治州大柴旦行政委员会</w:t>
            </w: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HYPERLINK "https://baike.baidu.com/item/%E5%A4%A7%E6%9F%B4%E6%97%A6%E9%95%87/1923970" \t "https://baike.baidu.com/item/%E9%B1%BC%E5%8D%A1%E6%B2%B3/_blank"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大柴旦镇</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喀克吐蒙克山，南西西流至马海滩出山区，逐渐转北西西流，经格尔木农场马海分场时，河道分流多股，主河槽进入马海渠，出马海渠过小兵营注入宗马海湖。在出山口前汇入鱼卡河干流的较大支流有：哈尔昆德、格奇策尔根、巴嘎拜勒旦尔河、伊克拜勒旦尔河和伊克策尔根河，出山口后在小兵营有嗷唠河汇入。鱼卡河集水面积2352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，河道长118.63km，多年平均流量2.88m</w:t>
            </w:r>
            <w:r>
              <w:rPr>
                <w:rFonts w:hint="eastAsia"/>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/S，多年平均含沙量1.29公斤/m</w:t>
            </w:r>
            <w:r>
              <w:rPr>
                <w:rFonts w:hint="eastAsia"/>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p>
          <w:p>
            <w:pPr>
              <w:pStyle w:val="19"/>
              <w:tabs>
                <w:tab w:val="left" w:pos="1523"/>
              </w:tabs>
              <w:spacing w:before="2" w:line="360" w:lineRule="auto"/>
              <w:ind w:firstLine="480"/>
              <w:jc w:val="left"/>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color w:val="000000" w:themeColor="text1"/>
                <w:sz w:val="24"/>
                <w14:textFill>
                  <w14:solidFill>
                    <w14:schemeClr w14:val="tx1"/>
                  </w14:solidFill>
                </w14:textFill>
              </w:rPr>
              <w:t>湖泊</w:t>
            </w:r>
          </w:p>
          <w:p>
            <w:pPr>
              <w:pStyle w:val="2"/>
              <w:spacing w:before="10" w:line="360" w:lineRule="auto"/>
              <w:ind w:firstLine="480" w:firstLineChars="200"/>
              <w:rPr>
                <w:rFonts w:ascii="Times New Roman" w:hAnsi="Times New Roman" w:cs="Times New Roman"/>
                <w:color w:val="000000" w:themeColor="text1"/>
                <w:lang w:bidi="ar-SA"/>
                <w14:textFill>
                  <w14:solidFill>
                    <w14:schemeClr w14:val="tx1"/>
                  </w14:solidFill>
                </w14:textFill>
              </w:rPr>
            </w:pPr>
            <w:r>
              <w:rPr>
                <w:rFonts w:ascii="Times New Roman" w:hAnsi="Times New Roman" w:cs="Times New Roman"/>
                <w:color w:val="000000" w:themeColor="text1"/>
                <w:lang w:bidi="ar-SA"/>
                <w14:textFill>
                  <w14:solidFill>
                    <w14:schemeClr w14:val="tx1"/>
                  </w14:solidFill>
                </w14:textFill>
              </w:rPr>
              <w:t>尕斯库勒湖：位于盆地西部，常年接受西部源自库木库勒盆地的阿拉尔河和铁木里克河的补给。湖表卤水面积103km</w:t>
            </w:r>
            <w:r>
              <w:rPr>
                <w:rFonts w:ascii="Times New Roman" w:hAnsi="Times New Roman" w:cs="Times New Roman"/>
                <w:color w:val="000000" w:themeColor="text1"/>
                <w:vertAlign w:val="superscript"/>
                <w:lang w:bidi="ar-SA"/>
                <w14:textFill>
                  <w14:solidFill>
                    <w14:schemeClr w14:val="tx1"/>
                  </w14:solidFill>
                </w14:textFill>
              </w:rPr>
              <w:t>2</w:t>
            </w:r>
            <w:r>
              <w:rPr>
                <w:rFonts w:ascii="Times New Roman" w:hAnsi="Times New Roman" w:cs="Times New Roman"/>
                <w:color w:val="000000" w:themeColor="text1"/>
                <w:lang w:bidi="ar-SA"/>
                <w14:textFill>
                  <w14:solidFill>
                    <w14:schemeClr w14:val="tx1"/>
                  </w14:solidFill>
                </w14:textFill>
              </w:rPr>
              <w:t>，水深0.65m，湖面海拔2835m；盐湖的东南部为干盐滩，面积140km</w:t>
            </w:r>
            <w:r>
              <w:rPr>
                <w:rFonts w:ascii="Times New Roman" w:hAnsi="Times New Roman" w:cs="Times New Roman"/>
                <w:color w:val="000000" w:themeColor="text1"/>
                <w:vertAlign w:val="superscript"/>
                <w:lang w:bidi="ar-SA"/>
                <w14:textFill>
                  <w14:solidFill>
                    <w14:schemeClr w14:val="tx1"/>
                  </w14:solidFill>
                </w14:textFill>
              </w:rPr>
              <w:t>2</w:t>
            </w:r>
            <w:r>
              <w:rPr>
                <w:rFonts w:ascii="Times New Roman" w:hAnsi="Times New Roman" w:cs="Times New Roman"/>
                <w:color w:val="000000" w:themeColor="text1"/>
                <w:lang w:bidi="ar-SA"/>
                <w14:textFill>
                  <w14:solidFill>
                    <w14:schemeClr w14:val="tx1"/>
                  </w14:solidFill>
                </w14:textFill>
              </w:rPr>
              <w:t>。</w:t>
            </w:r>
          </w:p>
          <w:p>
            <w:pPr>
              <w:pStyle w:val="2"/>
              <w:spacing w:before="10" w:line="360" w:lineRule="auto"/>
              <w:ind w:firstLine="480" w:firstLineChars="200"/>
              <w:rPr>
                <w:rFonts w:ascii="Times New Roman" w:hAnsi="Times New Roman" w:cs="Times New Roman"/>
                <w:color w:val="000000" w:themeColor="text1"/>
                <w:lang w:bidi="ar-SA"/>
                <w14:textFill>
                  <w14:solidFill>
                    <w14:schemeClr w14:val="tx1"/>
                  </w14:solidFill>
                </w14:textFill>
              </w:rPr>
            </w:pPr>
            <w:r>
              <w:rPr>
                <w:rFonts w:ascii="Times New Roman" w:hAnsi="Times New Roman" w:cs="Times New Roman"/>
                <w:color w:val="000000" w:themeColor="text1"/>
                <w:lang w:bidi="ar-SA"/>
                <w14:textFill>
                  <w14:solidFill>
                    <w14:schemeClr w14:val="tx1"/>
                  </w14:solidFill>
                </w14:textFill>
              </w:rPr>
              <w:t>东、西台吉乃尔湖：位于柴达木盆地中西部，东台吉乃尔湖长22km，宽5km，面积116km</w:t>
            </w:r>
            <w:r>
              <w:rPr>
                <w:rFonts w:ascii="Times New Roman" w:hAnsi="Times New Roman" w:cs="Times New Roman"/>
                <w:color w:val="000000" w:themeColor="text1"/>
                <w:vertAlign w:val="superscript"/>
                <w:lang w:bidi="ar-SA"/>
                <w14:textFill>
                  <w14:solidFill>
                    <w14:schemeClr w14:val="tx1"/>
                  </w14:solidFill>
                </w14:textFill>
              </w:rPr>
              <w:t>2</w:t>
            </w:r>
            <w:r>
              <w:rPr>
                <w:rFonts w:ascii="Times New Roman" w:hAnsi="Times New Roman" w:cs="Times New Roman"/>
                <w:color w:val="000000" w:themeColor="text1"/>
                <w:lang w:bidi="ar-SA"/>
                <w14:textFill>
                  <w14:solidFill>
                    <w14:schemeClr w14:val="tx1"/>
                  </w14:solidFill>
                </w14:textFill>
              </w:rPr>
              <w:t>，水深0.6～1.0m，湖面海拔2681m。西台吉乃尔湖长11km，面积82km</w:t>
            </w:r>
            <w:r>
              <w:rPr>
                <w:rFonts w:ascii="Times New Roman" w:hAnsi="Times New Roman" w:cs="Times New Roman"/>
                <w:color w:val="000000" w:themeColor="text1"/>
                <w:vertAlign w:val="superscript"/>
                <w:lang w:bidi="ar-SA"/>
                <w14:textFill>
                  <w14:solidFill>
                    <w14:schemeClr w14:val="tx1"/>
                  </w14:solidFill>
                </w14:textFill>
              </w:rPr>
              <w:t>2</w:t>
            </w:r>
            <w:r>
              <w:rPr>
                <w:rFonts w:ascii="Times New Roman" w:hAnsi="Times New Roman" w:cs="Times New Roman"/>
                <w:color w:val="000000" w:themeColor="text1"/>
                <w:lang w:bidi="ar-SA"/>
                <w14:textFill>
                  <w14:solidFill>
                    <w14:schemeClr w14:val="tx1"/>
                  </w14:solidFill>
                </w14:textFill>
              </w:rPr>
              <w:t>，水深0.3～0.4m，湖面海拔2678m。从西台吉乃尔湖向东60km到东台吉乃尔湖。东台吉乃尔湖与西台吉乃尔湖处于同一盐滩，接受源自昆仑山北坡的那林格勒河补给，湖卤水资源分为湖表卤水和晶间卤水。</w:t>
            </w:r>
          </w:p>
          <w:p>
            <w:pPr>
              <w:pStyle w:val="2"/>
              <w:spacing w:line="360" w:lineRule="auto"/>
              <w:ind w:firstLine="480" w:firstLineChars="200"/>
              <w:rPr>
                <w:rFonts w:ascii="Times New Roman" w:hAnsi="Times New Roman" w:cs="Times New Roman"/>
                <w:color w:val="000000" w:themeColor="text1"/>
                <w:lang w:val="en-US" w:bidi="ar-SA"/>
                <w14:textFill>
                  <w14:solidFill>
                    <w14:schemeClr w14:val="tx1"/>
                  </w14:solidFill>
                </w14:textFill>
              </w:rPr>
            </w:pPr>
            <w:r>
              <w:rPr>
                <w:rFonts w:ascii="Times New Roman" w:hAnsi="Times New Roman" w:cs="Times New Roman"/>
                <w:color w:val="000000" w:themeColor="text1"/>
                <w:lang w:val="en-US" w:bidi="ar-SA"/>
                <w14:textFill>
                  <w14:solidFill>
                    <w14:schemeClr w14:val="tx1"/>
                  </w14:solidFill>
                </w14:textFill>
              </w:rPr>
              <w:t>达布逊湖：蒙古语意即“盐湖”，位于盆地中部，略呈北西—东南向延伸，东西长30km，南北宽4～7.5km。</w:t>
            </w:r>
            <w:r>
              <w:rPr>
                <w:rFonts w:hint="eastAsia" w:ascii="Times New Roman" w:hAnsi="Times New Roman" w:cs="Times New Roman"/>
                <w:color w:val="000000" w:themeColor="text1"/>
                <w:lang w:val="en-US" w:bidi="ar-SA"/>
                <w14:textFill>
                  <w14:solidFill>
                    <w14:schemeClr w14:val="tx1"/>
                  </w14:solidFill>
                </w14:textFill>
              </w:rPr>
              <w:t>湖水面积</w:t>
            </w:r>
            <w:r>
              <w:rPr>
                <w:rFonts w:ascii="Times New Roman" w:hAnsi="Times New Roman" w:cs="Times New Roman"/>
                <w:color w:val="000000" w:themeColor="text1"/>
                <w:lang w:val="en-US" w:bidi="ar-SA"/>
                <w14:textFill>
                  <w14:solidFill>
                    <w14:schemeClr w14:val="tx1"/>
                  </w14:solidFill>
                </w14:textFill>
              </w:rPr>
              <w:t>184～334km</w:t>
            </w:r>
            <w:r>
              <w:rPr>
                <w:rFonts w:ascii="Times New Roman" w:hAnsi="Times New Roman" w:cs="Times New Roman"/>
                <w:color w:val="000000" w:themeColor="text1"/>
                <w:vertAlign w:val="superscript"/>
                <w:lang w:val="en-US" w:bidi="ar-SA"/>
                <w14:textFill>
                  <w14:solidFill>
                    <w14:schemeClr w14:val="tx1"/>
                  </w14:solidFill>
                </w14:textFill>
              </w:rPr>
              <w:t>2</w:t>
            </w:r>
            <w:r>
              <w:rPr>
                <w:rFonts w:ascii="Times New Roman" w:hAnsi="Times New Roman" w:cs="Times New Roman"/>
                <w:color w:val="000000" w:themeColor="text1"/>
                <w:lang w:val="en-US" w:bidi="ar-SA"/>
                <w14:textFill>
                  <w14:solidFill>
                    <w14:schemeClr w14:val="tx1"/>
                  </w14:solidFill>
                </w14:textFill>
              </w:rPr>
              <w:t>，平均水深0.5～1.02m，最大水深1.72m，湖面海拔2675.6m，湖水比重1.195～1.246，矿化度307～338g/L，pH值6.30～7.0，水化学类型属硫酸镁亚型。</w:t>
            </w:r>
          </w:p>
          <w:p>
            <w:pPr>
              <w:autoSpaceDE w:val="0"/>
              <w:autoSpaceDN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察尔汗盐湖：是中国</w:t>
            </w: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HYPERLINK "https://baike.baidu.com/item/%E9%9D%92%E6%B5%B7%E7%9C%81/19428913" \t "https://baike.baidu.com/item/%E5%AF%9F%E5%B0%94%E6%B1%97%E7%9B%90%E6%B9%96/_blank"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青海省</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西部的一个</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"https://baike.baidu.com/item/%E7%9B%90%E6%B9%96/67263" \t "https://baike.baidu.com/item/%E5%AF%9F%E5%B0%94%E6%B1%97%E7%9B%90%E6%B9%96/_blank"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盐湖</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"https://baike.baidu.com/item/%E8%8C%B6%E5%8D%A1%E7%9B%90%E6%B9%96/2072000" \t "https://baike.baidu.com/item/%E5%AF%9F%E5%B0%94%E6%B1%97%E7%9B%90%E6%B9%96/_blank"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茶卡盐湖</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齐名，位于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"https://baike.baidu.com/item/%E6%9F%B4%E8%BE%BE%E6%9C%A8%E7%9B%86%E5%9C%B0/542357" \t "https://baike.baidu.com/item/%E5%AF%9F%E5%B0%94%E6%B1%97%E7%9B%90%E6%B9%96/_blank"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柴达木盆地</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南部，地跨</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"https://baike.baidu.com/item/%E6%A0%BC%E5%B0%94%E6%9C%A8%E5%B8%82/6235137" \t "https://baike.baidu.com/item/%E5%AF%9F%E5%B0%94%E6%B1%97%E7%9B%90%E6%B9%96/_blank"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格尔木市</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和都兰县，由达布逊湖以及南霍布逊、北霍布逊、涩聂等</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"https://baike.baidu.com/item/%E7%9B%90%E6%B1%A0/3645950" \t "https://baike.baidu.com/item/%E5%AF%9F%E5%B0%94%E6%B1%97%E7%9B%90%E6%B9%96/_blank"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盐池</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汇聚而成，总面积5856km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HYPERLINK "https://baike.baidu.com/item/%E6%A0%BC%E5%B0%94%E6%9C%A8%E6%B2%B3/5014378" \t "https://baike.baidu.com/item/%E5%AF%9F%E5%B0%94%E6%B1%97%E7%9B%90%E6%B9%96/_blank"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格尔木河</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、柴达木河等多条</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"https://baike.baidu.com/item/%E5%86%85%E6%B5%81%E6%B2%B3/1612267" \t "https://baike.baidu.com/item/%E5%AF%9F%E5%B0%94%E6%B1%97%E7%9B%90%E6%B9%96/_blank"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内流河</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注入该湖。</w:t>
            </w:r>
          </w:p>
          <w:p>
            <w:pPr>
              <w:autoSpaceDE w:val="0"/>
              <w:autoSpaceDN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托素湖：位于德令哈市西南部，接受可鲁克湖水和来自南部丘陵区的地表水及地下水补给，为咸水湖。湖面略成等边三角形，面积</w:t>
            </w:r>
            <w:r>
              <w:rPr>
                <w:rFonts w:eastAsia="Times New Roman"/>
                <w:color w:val="000000" w:themeColor="text1"/>
                <w:sz w:val="24"/>
                <w14:textFill>
                  <w14:solidFill>
                    <w14:schemeClr w14:val="tx1"/>
                  </w14:solidFill>
                </w14:textFill>
              </w:rPr>
              <w:t>140km</w:t>
            </w:r>
            <w:r>
              <w:rPr>
                <w:rFonts w:eastAsia="Times New Roman"/>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，最大水深</w:t>
            </w:r>
            <w:r>
              <w:rPr>
                <w:rFonts w:eastAsia="Times New Roman"/>
                <w:color w:val="000000" w:themeColor="text1"/>
                <w:sz w:val="24"/>
                <w14:textFill>
                  <w14:solidFill>
                    <w14:schemeClr w14:val="tx1"/>
                  </w14:solidFill>
                </w14:textFill>
              </w:rPr>
              <w:t>25.7m</w:t>
            </w:r>
            <w:r>
              <w:rPr>
                <w:color w:val="000000" w:themeColor="text1"/>
                <w:sz w:val="24"/>
                <w14:textFill>
                  <w14:solidFill>
                    <w14:schemeClr w14:val="tx1"/>
                  </w14:solidFill>
                </w14:textFill>
              </w:rPr>
              <w:t>，湖面海拔</w:t>
            </w:r>
            <w:r>
              <w:rPr>
                <w:rFonts w:eastAsia="Times New Roman"/>
                <w:color w:val="000000" w:themeColor="text1"/>
                <w:sz w:val="24"/>
                <w14:textFill>
                  <w14:solidFill>
                    <w14:schemeClr w14:val="tx1"/>
                  </w14:solidFill>
                </w14:textFill>
              </w:rPr>
              <w:t>2789.4m</w:t>
            </w:r>
            <w:r>
              <w:rPr>
                <w:color w:val="000000" w:themeColor="text1"/>
                <w:sz w:val="24"/>
                <w14:textFill>
                  <w14:solidFill>
                    <w14:schemeClr w14:val="tx1"/>
                  </w14:solidFill>
                </w14:textFill>
              </w:rPr>
              <w:t>，湖中心矿化度</w:t>
            </w:r>
            <w:r>
              <w:rPr>
                <w:rFonts w:eastAsia="Times New Roman"/>
                <w:color w:val="000000" w:themeColor="text1"/>
                <w:sz w:val="24"/>
                <w14:textFill>
                  <w14:solidFill>
                    <w14:schemeClr w14:val="tx1"/>
                  </w14:solidFill>
                </w14:textFill>
              </w:rPr>
              <w:t>30.2g/L</w:t>
            </w:r>
            <w:r>
              <w:rPr>
                <w:color w:val="000000" w:themeColor="text1"/>
                <w:sz w:val="24"/>
                <w14:textFill>
                  <w14:solidFill>
                    <w14:schemeClr w14:val="tx1"/>
                  </w14:solidFill>
                </w14:textFill>
              </w:rPr>
              <w:t>，水化学类型为</w:t>
            </w:r>
            <w:r>
              <w:rPr>
                <w:rFonts w:eastAsia="Times New Roman"/>
                <w:color w:val="000000" w:themeColor="text1"/>
                <w:sz w:val="24"/>
                <w14:textFill>
                  <w14:solidFill>
                    <w14:schemeClr w14:val="tx1"/>
                  </w14:solidFill>
                </w14:textFill>
              </w:rPr>
              <w:t>Cl</w:t>
            </w:r>
            <w:r>
              <w:rPr>
                <w:rFonts w:eastAsia="Times New Roman"/>
                <w:color w:val="000000" w:themeColor="text1"/>
                <w:sz w:val="24"/>
                <w:vertAlign w:val="superscript"/>
                <w14:textFill>
                  <w14:solidFill>
                    <w14:schemeClr w14:val="tx1"/>
                  </w14:solidFill>
                </w14:textFill>
              </w:rPr>
              <w:t>-</w:t>
            </w:r>
            <w:r>
              <w:rPr>
                <w:color w:val="000000" w:themeColor="text1"/>
                <w:sz w:val="24"/>
                <w14:textFill>
                  <w14:solidFill>
                    <w14:schemeClr w14:val="tx1"/>
                  </w14:solidFill>
                </w14:textFill>
              </w:rPr>
              <w:t>型水。</w:t>
            </w:r>
          </w:p>
          <w:p>
            <w:pPr>
              <w:autoSpaceDE w:val="0"/>
              <w:autoSpaceDN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可鲁克湖：位于德令哈市境内南部，是柴达木盆地最大的淡水湖。湖面面积57.96km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，平均水深4m，最大水深13.8m，湖水容量1.67亿m</w:t>
            </w:r>
            <w:r>
              <w:rPr>
                <w:color w:val="000000" w:themeColor="text1"/>
                <w:sz w:val="24"/>
                <w:vertAlign w:val="superscript"/>
                <w14:textFill>
                  <w14:solidFill>
                    <w14:schemeClr w14:val="tx1"/>
                  </w14:solidFill>
                </w14:textFill>
              </w:rPr>
              <w:t>3</w:t>
            </w:r>
            <w:r>
              <w:rPr>
                <w:color w:val="000000" w:themeColor="text1"/>
                <w:sz w:val="24"/>
                <w14:textFill>
                  <w14:solidFill>
                    <w14:schemeClr w14:val="tx1"/>
                  </w14:solidFill>
                </w14:textFill>
              </w:rPr>
              <w:t>，巴音河自东南部流入，湖水自西南部流入托素湖，使两湖泊成为柴达木盆地的兄妹湖。矿化度0.64～0.79g/L，水化学</w:t>
            </w:r>
            <w:r>
              <w:rPr>
                <w:rFonts w:hint="eastAsia"/>
                <w:color w:val="000000" w:themeColor="text1"/>
                <w:sz w:val="24"/>
                <w14:textFill>
                  <w14:solidFill>
                    <w14:schemeClr w14:val="tx1"/>
                  </w14:solidFill>
                </w14:textFill>
              </w:rPr>
              <w:t>类型为Na</w:t>
            </w:r>
            <w:r>
              <w:rPr>
                <w:rFonts w:hint="eastAsia"/>
                <w:color w:val="000000" w:themeColor="text1"/>
                <w:sz w:val="24"/>
                <w:vertAlign w:val="superscript"/>
                <w14:textFill>
                  <w14:solidFill>
                    <w14:schemeClr w14:val="tx1"/>
                  </w14:solidFill>
                </w14:textFill>
              </w:rPr>
              <w:t>+</w:t>
            </w:r>
            <w:r>
              <w:rPr>
                <w:color w:val="000000" w:themeColor="text1"/>
                <w:sz w:val="24"/>
                <w14:textFill>
                  <w14:solidFill>
                    <w14:schemeClr w14:val="tx1"/>
                  </w14:solidFill>
                </w14:textFill>
              </w:rPr>
              <w:t>型水</w:t>
            </w:r>
            <w:r>
              <w:rPr>
                <w:rFonts w:hint="eastAsia"/>
                <w:color w:val="000000" w:themeColor="text1"/>
                <w:sz w:val="24"/>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社会环境简况（人口、生活习性等）</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勘查区</w:t>
            </w:r>
            <w:r>
              <w:rPr>
                <w:color w:val="000000" w:themeColor="text1"/>
                <w:sz w:val="24"/>
                <w14:textFill>
                  <w14:solidFill>
                    <w14:schemeClr w14:val="tx1"/>
                  </w14:solidFill>
                </w14:textFill>
              </w:rPr>
              <w:t>位于柴达木盆地</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其行政区划隶属于海西蒙古族藏族自治州</w:t>
            </w:r>
            <w:r>
              <w:rPr>
                <w:rFonts w:hint="eastAsia"/>
                <w:color w:val="000000" w:themeColor="text1"/>
                <w:sz w:val="24"/>
                <w14:textFill>
                  <w14:solidFill>
                    <w14:schemeClr w14:val="tx1"/>
                  </w14:solidFill>
                </w14:textFill>
              </w:rPr>
              <w:t>（包括：</w:t>
            </w:r>
            <w:r>
              <w:rPr>
                <w:color w:val="000000" w:themeColor="text1"/>
                <w:sz w:val="24"/>
                <w14:textFill>
                  <w14:solidFill>
                    <w14:schemeClr w14:val="tx1"/>
                  </w14:solidFill>
                </w14:textFill>
              </w:rPr>
              <w:t>德令哈市、格尔木市、茫崖市</w:t>
            </w:r>
            <w:r>
              <w:rPr>
                <w:rFonts w:hint="eastAsia"/>
                <w:color w:val="000000" w:themeColor="text1"/>
                <w:sz w:val="24"/>
                <w14:textFill>
                  <w14:solidFill>
                    <w14:schemeClr w14:val="tx1"/>
                  </w14:solidFill>
                </w14:textFill>
              </w:rPr>
              <w:t>、乌兰县、都兰县、</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"https://baike.baidu.com/item/%E5%A4%A7%E6%9F%B4%E6%97%A6%E8%A1%8C%E6%94%BF%E5%8C%BA/7878519"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大柴旦行政区</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新疆维吾尔自治区若羌县管辖</w:t>
            </w:r>
            <w:r>
              <w:rPr>
                <w:rFonts w:hint="eastAsia"/>
                <w:color w:val="000000" w:themeColor="text1"/>
                <w:sz w:val="24"/>
                <w14:textFill>
                  <w14:solidFill>
                    <w14:schemeClr w14:val="tx1"/>
                  </w14:solidFill>
                </w14:textFill>
              </w:rPr>
              <w:t>和</w:t>
            </w:r>
            <w:r>
              <w:rPr>
                <w:rFonts w:hint="eastAsia"/>
                <w:color w:val="000000" w:themeColor="text1"/>
                <w:sz w:val="24"/>
                <w:lang w:eastAsia="zh-CN"/>
                <w14:textFill>
                  <w14:solidFill>
                    <w14:schemeClr w14:val="tx1"/>
                  </w14:solidFill>
                </w14:textFill>
              </w:rPr>
              <w:t>甘肃省酒泉市阿克塞哈萨克族自治县</w:t>
            </w:r>
            <w:r>
              <w:rPr>
                <w:color w:val="000000" w:themeColor="text1"/>
                <w:sz w:val="24"/>
                <w14:textFill>
                  <w14:solidFill>
                    <w14:schemeClr w14:val="tx1"/>
                  </w14:solidFill>
                </w14:textFill>
              </w:rPr>
              <w:t>管辖。</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德令哈市，德令哈市位于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"https://baike.baidu.com/item/%E6%9F%B4%E8%BE%BE%E6%9C%A8%E7%9B%86%E5%9C%B0" \t "https://baike.baidu.com/item/%E5%BE%B7%E4%BB%A4%E5%93%88/_blank" </w:instrText>
            </w:r>
            <w:r>
              <w:rPr>
                <w:color w:val="000000" w:themeColor="text1"/>
                <w14:textFill>
                  <w14:solidFill>
                    <w14:schemeClr w14:val="tx1"/>
                  </w14:solidFill>
                </w14:textFill>
              </w:rPr>
              <w:fldChar w:fldCharType="separate"/>
            </w:r>
            <w:r>
              <w:rPr>
                <w:color w:val="000000" w:themeColor="text1"/>
                <w:sz w:val="24"/>
                <w14:textFill>
                  <w14:solidFill>
                    <w14:schemeClr w14:val="tx1"/>
                  </w14:solidFill>
                </w14:textFill>
              </w:rPr>
              <w:t>柴达木盆地</w:t>
            </w:r>
            <w:r>
              <w:rPr>
                <w:color w:val="000000" w:themeColor="text1"/>
                <w:sz w:val="24"/>
                <w14:textFill>
                  <w14:solidFill>
                    <w14:schemeClr w14:val="tx1"/>
                  </w14:solidFill>
                </w14:textFill>
              </w:rPr>
              <w:fldChar w:fldCharType="end"/>
            </w:r>
            <w:r>
              <w:rPr>
                <w:color w:val="000000" w:themeColor="text1"/>
                <w:sz w:val="24"/>
                <w14:textFill>
                  <w14:solidFill>
                    <w14:schemeClr w14:val="tx1"/>
                  </w14:solidFill>
                </w14:textFill>
              </w:rPr>
              <w:t>东北边缘，地理位置处于东经96°15′～98°15′，北纬36°55′～38°22′之间，平均海拔2980</w:t>
            </w:r>
            <w:r>
              <w:rPr>
                <w:rFonts w:hint="eastAsia"/>
                <w:color w:val="000000" w:themeColor="text1"/>
                <w:sz w:val="24"/>
                <w14:textFill>
                  <w14:solidFill>
                    <w14:schemeClr w14:val="tx1"/>
                  </w14:solidFill>
                </w14:textFill>
              </w:rPr>
              <w:t>m</w:t>
            </w:r>
            <w:r>
              <w:rPr>
                <w:color w:val="000000" w:themeColor="text1"/>
                <w:sz w:val="24"/>
                <w14:textFill>
                  <w14:solidFill>
                    <w14:schemeClr w14:val="tx1"/>
                  </w14:solidFill>
                </w14:textFill>
              </w:rPr>
              <w:t>，总面积2.77万</w:t>
            </w:r>
            <w:r>
              <w:rPr>
                <w:rFonts w:hint="eastAsia"/>
                <w:color w:val="000000" w:themeColor="text1"/>
                <w:sz w:val="24"/>
                <w14:textFill>
                  <w14:solidFill>
                    <w14:schemeClr w14:val="tx1"/>
                  </w14:solidFill>
                </w14:textFill>
              </w:rPr>
              <w:t>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；德令哈市辖3个街道、3个镇、1个乡，总面积2.77万km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，市区海拔2980m，共有蒙古、藏、回、撒拉、土、汉等19个</w:t>
            </w: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HYPERLINK "https://baike.baidu.com/item/%E6%B0%91%E6%97%8F/665" \t "https://baike.baidu.com/item/%E5%BE%B7%E4%BB%A4%E5%93%88/_blank"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民族</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，蒙古族为主体少数民族，常住人口为88227人。</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格尔木市</w:t>
            </w:r>
            <w:r>
              <w:rPr>
                <w:rFonts w:hint="eastAsia"/>
                <w:color w:val="000000" w:themeColor="text1"/>
                <w:sz w:val="24"/>
                <w14:textFill>
                  <w14:solidFill>
                    <w14:schemeClr w14:val="tx1"/>
                  </w14:solidFill>
                </w14:textFill>
              </w:rPr>
              <w:t>，隶属于青海省</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"https://baike.baidu.com/item/%E6%B5%B7%E8%A5%BF%E8%92%99%E5%8F%A4%E6%97%8F%E8%97%8F%E6%97%8F%E8%87%AA%E6%B2%BB%E5%B7%9E/2441282"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海西蒙古族藏族自治州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，地处</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"https://baike.baidu.com/item/%E9%9D%92%E6%B5%B7%E7%9C%81/19428913"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青海省</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中西部、</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"https://baike.baidu.com/item/%E9%9D%92%E8%97%8F%E9%AB%98%E5%8E%9F/849"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青藏高原</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腹地；境内辖区大体可分为盆地高原和</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"https://baike.baidu.com/item/%E5%94%90%E5%8F%A4%E6%8B%89%E5%B1%B1/230861"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唐古拉山</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北麓两部分，属典型的</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"https://baike.baidu.com/item/%E9%AB%98%E5%8E%9F%E5%A4%A7%E9%99%86%E6%80%A7%E6%B0%94%E5%80%99/1968863"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高原大陆性气候</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；总面积119263km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，辖5个街道、2个镇、2个乡，格尔木常住人口为221863人。</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茫崖市</w:t>
            </w:r>
            <w:r>
              <w:rPr>
                <w:rFonts w:hint="eastAsia"/>
                <w:color w:val="000000" w:themeColor="text1"/>
                <w:sz w:val="24"/>
                <w14:textFill>
                  <w14:solidFill>
                    <w14:schemeClr w14:val="tx1"/>
                  </w14:solidFill>
                </w14:textFill>
              </w:rPr>
              <w:t>，隶属于青海省</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"https://baike.baidu.com/item/%E6%B5%B7%E8%A5%BF%E8%92%99%E5%8F%A4%E6%97%8F%E8%97%8F%E6%97%8F%E8%87%AA%E6%B2%BB%E5%B7%9E/2441282"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海西蒙古族藏族自治州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，地处青海省西北边陲，</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"https://baike.baidu.com/item/%E6%9F%B4%E8%BE%BE%E6%9C%A8%E7%9B%86%E5%9C%B0/542357"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柴达木盆地</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西缘，市域总面积4.99万km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。茫崖市下辖3个镇，分别是花土沟镇、冷湖镇、茫崖镇，户籍人口为30417人，有汉、蒙、藏、回、撒拉、土、满、东乡、维吾尔等17个民族。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乌兰县：隶属于青海省</w:t>
            </w: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HYPERLINK "https://baike.baidu.com/item/%E6%B5%B7%E8%A5%BF%E8%92%99%E5%8F%A4%E6%97%8F%E8%97%8F%E6%97%8F%E8%87%AA%E6%B2%BB%E5%B7%9E" \t "https://baike.baidu.com/item/_blank"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海西蒙古族藏族自治州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，位于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"https://baike.baidu.com/item/%E9%9D%92%E6%B5%B7%E7%9C%81/19428913"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青海省</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中部、</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"https://baike.baidu.com/item/%E6%B5%B7%E8%A5%BF%E8%92%99%E5%8F%A4%E6%97%8F%E8%97%8F%E6%97%8F%E8%87%AA%E6%B2%BB%E5%B7%9E/2441282"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海西蒙古族藏族自治州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和</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"https://baike.baidu.com/item/%E6%9F%B4%E8%BE%BE%E6%9C%A8%E7%9B%86%E5%9C%B0/542357"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柴达木盆地</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东部，东邻</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"https://baike.baidu.com/item/%E6%B5%B7%E5%8D%97%E8%97%8F%E6%97%8F%E8%87%AA%E6%B2%BB%E5%B7%9E/2403365"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海南藏族自治州</w:t>
            </w:r>
            <w:r>
              <w:rPr>
                <w:rFonts w:hint="eastAsia"/>
                <w:color w:val="000000" w:themeColor="text1"/>
                <w:sz w:val="24"/>
                <w14:textFill>
                  <w14:solidFill>
                    <w14:schemeClr w14:val="tx1"/>
                  </w14:solidFill>
                </w14:textFill>
              </w:rPr>
              <w:fldChar w:fldCharType="end"/>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"https://baike.baidu.com/item/%E5%85%B1%E5%92%8C%E5%8E%BF/5956228"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共和县</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，南与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"https://baike.baidu.com/item/%E9%83%BD%E5%85%B0%E5%8E%BF/3843954"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都兰县</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相连，西接</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"https://baike.baidu.com/item/%E5%BE%B7%E4%BB%A4%E5%93%88%E5%B8%82/6856208"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德令哈市</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，北与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"https://baike.baidu.com/item/%E5%A4%A9%E5%B3%BB%E5%8E%BF/3843902"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天峻县</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交界，总面积12858.16km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。乌兰县下辖4个镇</w:t>
            </w:r>
            <w:bookmarkStart w:id="5" w:name="ref_[8]_927624"/>
            <w:r>
              <w:rPr>
                <w:rFonts w:hint="eastAsia"/>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HYPERLINK "https://baike.baidu.com/item/%E5%B8%8C%E9%87%8C%E6%B2%9F%E9%95%87/5290202" \t "https://baike.baidu.com/item/_blank"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希里沟镇</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"https://baike.baidu.com/item/%E8%8C%B6%E5%8D%A1%E9%95%87/5290088"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茶卡镇</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"https://baike.baidu.com/item/%E6%9F%AF%E6%9F%AF%E9%95%87/5290099"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柯柯镇</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"https://baike.baidu.com/item/%E9%93%9C%E6%99%AE%E9%95%87/6057757"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铜普镇</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，总人口3.49万人。</w:t>
            </w:r>
          </w:p>
          <w:bookmarkEnd w:id="5"/>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都兰县：位于青海省</w:t>
            </w: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HYPERLINK "https://baike.baidu.com/item/%E6%B5%B7%E8%A5%BF%E8%92%99%E5%8F%A4%E6%97%8F%E8%97%8F%E6%97%8F%E8%87%AA%E6%B2%BB%E5%B7%9E" \t "https://baike.baidu.com/item/_blank"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海西蒙古族藏族自治州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东南部，以汉族为主，还有藏、蒙古、回、土等少数民族。行政区域面积平45270km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w:t>
            </w:r>
            <w:bookmarkStart w:id="6" w:name="ref_[12]_927621"/>
            <w:r>
              <w:rPr>
                <w:rFonts w:hint="eastAsia"/>
                <w:color w:val="000000" w:themeColor="text1"/>
                <w:sz w:val="24"/>
                <w14:textFill>
                  <w14:solidFill>
                    <w14:schemeClr w14:val="tx1"/>
                  </w14:solidFill>
                </w14:textFill>
              </w:rPr>
              <w:t>都兰县户籍人口为71813人。</w:t>
            </w:r>
            <w:bookmarkEnd w:id="6"/>
          </w:p>
          <w:p>
            <w:pPr>
              <w:spacing w:line="360" w:lineRule="auto"/>
              <w:ind w:firstLine="420" w:firstLineChars="200"/>
              <w:rPr>
                <w:color w:val="000000" w:themeColor="text1"/>
                <w:sz w:val="24"/>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"https://baike.baidu.com/item/%E5%A4%A7%E6%9F%B4%E6%97%A6%E8%A1%8C%E6%94%BF%E5%8C%BA/7878519"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大柴旦行政区</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：位于青海省西北部，柴达木盆地北缘，东与州府德令哈市毗邻，西与冷湖行委相连，南与格尔木市相望，北与</w:t>
            </w:r>
            <w:r>
              <w:rPr>
                <w:rFonts w:hint="eastAsia"/>
                <w:color w:val="000000" w:themeColor="text1"/>
                <w:sz w:val="24"/>
                <w:lang w:eastAsia="zh-CN"/>
                <w14:textFill>
                  <w14:solidFill>
                    <w14:schemeClr w14:val="tx1"/>
                  </w14:solidFill>
                </w14:textFill>
              </w:rPr>
              <w:t>甘肃省酒泉市阿克塞哈萨克族自治县</w:t>
            </w:r>
            <w:r>
              <w:rPr>
                <w:rFonts w:hint="eastAsia"/>
                <w:color w:val="000000" w:themeColor="text1"/>
                <w:sz w:val="24"/>
                <w14:textFill>
                  <w14:solidFill>
                    <w14:schemeClr w14:val="tx1"/>
                  </w14:solidFill>
                </w14:textFill>
              </w:rPr>
              <w:t>接壤，是海西州的“北大门”。行政区现辖柴旦镇、锡铁山镇两个镇，现有人口1.7万人，居住有回、哈萨克、蒙古、藏、土、撒拉、满等14个少数民族。</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新疆维吾尔自治区若羌县</w:t>
            </w:r>
            <w:r>
              <w:rPr>
                <w:rFonts w:hint="eastAsia"/>
                <w:color w:val="000000" w:themeColor="text1"/>
                <w:sz w:val="24"/>
                <w14:textFill>
                  <w14:solidFill>
                    <w14:schemeClr w14:val="tx1"/>
                  </w14:solidFill>
                </w14:textFill>
              </w:rPr>
              <w:t>，地处巴州东南部，</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"https://baike.baidu.com/item/%E5%A1%94%E5%85%8B%E6%8B%89%E7%8E%9B%E5%B9%B2%E6%B2%99%E6%BC%A0/502350"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塔克拉玛干沙漠</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东南缘。西接</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"https://baike.baidu.com/item/%E4%B8%94%E6%9C%AB%E5%8E%BF/4816583"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且末县</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，北邻</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"https://baike.baidu.com/item/%E5%B0%89%E7%8A%81%E5%8E%BF/4584116"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尉犁县</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及</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"https://baike.baidu.com/item/%E9%84%AF%E5%96%84%E5%8E%BF/4807439"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鄯善县</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和</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"https://baike.baidu.com/item/%E5%93%88%E5%AF%86%E5%B8%82/2394303"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哈密市</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，东与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"https://baike.baidu.com/item/%E7%94%98%E8%82%83%E7%9C%81/684374"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甘肃省</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"https://baike.baidu.com/item/%E9%9D%92%E6%B5%B7%E7%9C%81/19428913"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青海省</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交界，南与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"https://baike.baidu.com/item/%E8%A5%BF%E8%97%8F%E8%87%AA%E6%B2%BB%E5%8C%BA/242417"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西藏自治区</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接壤，是全国面积最大的县；全县辖5个镇、3个乡；有蒙古族、汉族、</w:t>
            </w: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HYPERLINK "https://baike.baidu.com/item/%E7%BB%B4%E5%90%BE%E5%B0%94%E6%97%8F/130398" \t "https://baike.baidu.com/item/_blank"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维吾尔族</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、回族、</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"https://baike.baidu.com/item/%E4%B8%9C%E4%B9%A1%E6%97%8F/154648"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东乡族</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等15个民族，其中少数民族人数占40%；行政区域面积202298平方km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，有户籍人口80756人。若羌县农作物品种较多，粮食作物主要有小麦、玉米、水稻等；油料作物有大麻、油葵、红花、油菜等。</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甘肃省酒泉市阿克塞哈萨克族自治县</w:t>
            </w:r>
            <w:r>
              <w:rPr>
                <w:rFonts w:hint="eastAsia"/>
                <w:color w:val="000000" w:themeColor="text1"/>
                <w:sz w:val="24"/>
                <w14:textFill>
                  <w14:solidFill>
                    <w14:schemeClr w14:val="tx1"/>
                  </w14:solidFill>
                </w14:textFill>
              </w:rPr>
              <w:t>，隶属于甘肃省</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"https://baike.baidu.com/item/%E9%85%92%E6%B3%89%E5%B8%82/4762180"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酒泉市</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，位于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"https://baike.baidu.com/item/%E7%94%98%E8%82%83/226159"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甘肃</w:t>
            </w:r>
            <w:r>
              <w:rPr>
                <w:rFonts w:hint="eastAsia"/>
                <w:color w:val="000000" w:themeColor="text1"/>
                <w:sz w:val="24"/>
                <w14:textFill>
                  <w14:solidFill>
                    <w14:schemeClr w14:val="tx1"/>
                  </w14:solidFill>
                </w14:textFill>
              </w:rPr>
              <w:fldChar w:fldCharType="end"/>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"https://baike.baidu.com/item/%E6%B2%B3%E8%A5%BF%E8%B5%B0%E5%BB%8A/970766"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河西走廊</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西陲，</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"https://baike.baidu.com/item/%E9%9D%92%E8%97%8F%E9%AB%98%E5%8E%9F/849"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青藏高原</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北缘；东接</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"https://baike.baidu.com/item/%E8%82%83%E5%8C%97%E8%92%99%E5%8F%A4%E6%97%8F%E8%87%AA%E6%B2%BB%E5%8E%BF/10539228"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肃北蒙古族自治县</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，北靠</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"https://baike.baidu.com/item/%E6%95%A6%E7%85%8C%E5%B8%82/3725231"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敦煌市</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，西与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"https://baike.baidu.com/item/%E6%96%B0%E7%96%86%E7%BB%B4%E5%90%BE%E5%B0%94%E8%87%AA%E6%B2%BB%E5%8C%BA/906636"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新疆维吾尔自治区</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隔戈璧相望，南依塞什腾山与</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"https://baike.baidu.com/item/%E9%9D%92%E6%B5%B7%E7%9C%81/19428913" \t "https://baike.baidu.com/item/_blank"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青海省</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为邻。东西长425km，南北宽125km，总面积3.34万km</w:t>
            </w:r>
            <w:r>
              <w:rPr>
                <w:rFonts w:hint="eastAsia"/>
                <w:color w:val="000000" w:themeColor="text1"/>
                <w:sz w:val="24"/>
                <w:vertAlign w:val="superscript"/>
                <w14:textFill>
                  <w14:solidFill>
                    <w14:schemeClr w14:val="tx1"/>
                  </w14:solidFill>
                </w14:textFill>
              </w:rPr>
              <w:t>2</w:t>
            </w:r>
            <w:bookmarkStart w:id="7" w:name="ref_[4]_480860"/>
            <w:r>
              <w:rPr>
                <w:rFonts w:hint="eastAsia"/>
                <w:color w:val="000000" w:themeColor="text1"/>
                <w:sz w:val="24"/>
                <w14:textFill>
                  <w14:solidFill>
                    <w14:schemeClr w14:val="tx1"/>
                  </w14:solidFill>
                </w14:textFill>
              </w:rPr>
              <w:t>，甘肃省唯一一个以哈萨克族为主体的少数民族自治县，也是中国三个哈萨克族自治县之一。</w:t>
            </w:r>
            <w:bookmarkEnd w:id="7"/>
            <w:r>
              <w:rPr>
                <w:rFonts w:hint="eastAsia"/>
                <w:color w:val="000000" w:themeColor="text1"/>
                <w:sz w:val="24"/>
                <w14:textFill>
                  <w14:solidFill>
                    <w14:schemeClr w14:val="tx1"/>
                  </w14:solidFill>
                </w14:textFill>
              </w:rPr>
              <w:t>下辖1镇、3乡，红柳湾镇、阿克旗乡、阿勒腾乡、阿伊纳乡，户籍人口9425人。阿克塞哈萨克族自治县放牧的家畜主要有3类（单蹄类、偶蹄类、禽类）、8属（马、骡、驴、牛、驼、山绵羊、猪、鸡）、32个品种，其中以羊、驼、马为主。</w:t>
            </w:r>
          </w:p>
          <w:p>
            <w:pPr>
              <w:autoSpaceDE w:val="0"/>
              <w:autoSpaceDN w:val="0"/>
              <w:spacing w:line="360" w:lineRule="auto"/>
              <w:ind w:firstLine="480" w:firstLineChars="200"/>
              <w:rPr>
                <w:color w:val="000000" w:themeColor="text1"/>
                <w:sz w:val="24"/>
                <w14:textFill>
                  <w14:solidFill>
                    <w14:schemeClr w14:val="tx1"/>
                  </w14:solidFill>
                </w14:textFill>
              </w:rPr>
            </w:pPr>
          </w:p>
          <w:p>
            <w:pPr>
              <w:pStyle w:val="3"/>
              <w:rPr>
                <w:color w:val="000000" w:themeColor="text1"/>
                <w:sz w:val="24"/>
                <w14:textFill>
                  <w14:solidFill>
                    <w14:schemeClr w14:val="tx1"/>
                  </w14:solidFill>
                </w14:textFill>
              </w:rPr>
            </w:pPr>
          </w:p>
          <w:p>
            <w:pPr>
              <w:rPr>
                <w:color w:val="000000" w:themeColor="text1"/>
                <w:sz w:val="24"/>
                <w14:textFill>
                  <w14:solidFill>
                    <w14:schemeClr w14:val="tx1"/>
                  </w14:solidFill>
                </w14:textFill>
              </w:rPr>
            </w:pPr>
          </w:p>
          <w:p>
            <w:pPr>
              <w:pStyle w:val="3"/>
              <w:rPr>
                <w:color w:val="000000" w:themeColor="text1"/>
                <w:sz w:val="24"/>
                <w14:textFill>
                  <w14:solidFill>
                    <w14:schemeClr w14:val="tx1"/>
                  </w14:solidFill>
                </w14:textFill>
              </w:rPr>
            </w:pPr>
          </w:p>
          <w:p>
            <w:pPr>
              <w:rPr>
                <w:color w:val="000000" w:themeColor="text1"/>
                <w:sz w:val="24"/>
                <w14:textFill>
                  <w14:solidFill>
                    <w14:schemeClr w14:val="tx1"/>
                  </w14:solidFill>
                </w14:textFill>
              </w:rPr>
            </w:pPr>
          </w:p>
          <w:p>
            <w:pPr>
              <w:pStyle w:val="3"/>
              <w:rPr>
                <w:color w:val="000000" w:themeColor="text1"/>
                <w:sz w:val="24"/>
                <w14:textFill>
                  <w14:solidFill>
                    <w14:schemeClr w14:val="tx1"/>
                  </w14:solidFill>
                </w14:textFill>
              </w:rPr>
            </w:pPr>
          </w:p>
          <w:p>
            <w:pPr>
              <w:rPr>
                <w:color w:val="000000" w:themeColor="text1"/>
                <w:sz w:val="24"/>
                <w14:textFill>
                  <w14:solidFill>
                    <w14:schemeClr w14:val="tx1"/>
                  </w14:solidFill>
                </w14:textFill>
              </w:rPr>
            </w:pPr>
          </w:p>
          <w:p>
            <w:pPr>
              <w:pStyle w:val="3"/>
              <w:rPr>
                <w:color w:val="000000" w:themeColor="text1"/>
                <w:sz w:val="24"/>
                <w14:textFill>
                  <w14:solidFill>
                    <w14:schemeClr w14:val="tx1"/>
                  </w14:solidFill>
                </w14:textFill>
              </w:rPr>
            </w:pPr>
          </w:p>
          <w:p>
            <w:pPr>
              <w:rPr>
                <w:color w:val="000000" w:themeColor="text1"/>
                <w:sz w:val="24"/>
                <w14:textFill>
                  <w14:solidFill>
                    <w14:schemeClr w14:val="tx1"/>
                  </w14:solidFill>
                </w14:textFill>
              </w:rPr>
            </w:pPr>
          </w:p>
          <w:p>
            <w:pPr>
              <w:pStyle w:val="3"/>
              <w:rPr>
                <w:color w:val="000000" w:themeColor="text1"/>
                <w:sz w:val="24"/>
                <w14:textFill>
                  <w14:solidFill>
                    <w14:schemeClr w14:val="tx1"/>
                  </w14:solidFill>
                </w14:textFill>
              </w:rPr>
            </w:pPr>
          </w:p>
          <w:p>
            <w:pPr>
              <w:rPr>
                <w:color w:val="000000" w:themeColor="text1"/>
                <w:sz w:val="24"/>
                <w14:textFill>
                  <w14:solidFill>
                    <w14:schemeClr w14:val="tx1"/>
                  </w14:solidFill>
                </w14:textFill>
              </w:rPr>
            </w:pPr>
          </w:p>
          <w:p>
            <w:pPr>
              <w:pStyle w:val="3"/>
              <w:rPr>
                <w:color w:val="000000" w:themeColor="text1"/>
                <w:sz w:val="24"/>
                <w14:textFill>
                  <w14:solidFill>
                    <w14:schemeClr w14:val="tx1"/>
                  </w14:solidFill>
                </w14:textFill>
              </w:rPr>
            </w:pPr>
          </w:p>
          <w:p>
            <w:pPr>
              <w:rPr>
                <w:color w:val="000000" w:themeColor="text1"/>
                <w14:textFill>
                  <w14:solidFill>
                    <w14:schemeClr w14:val="tx1"/>
                  </w14:solidFill>
                </w14:textFill>
              </w:rPr>
            </w:pPr>
          </w:p>
          <w:p>
            <w:pPr>
              <w:autoSpaceDE w:val="0"/>
              <w:autoSpaceDN w:val="0"/>
              <w:spacing w:line="360" w:lineRule="auto"/>
              <w:ind w:firstLine="480" w:firstLineChars="200"/>
              <w:rPr>
                <w:color w:val="000000" w:themeColor="text1"/>
                <w:sz w:val="24"/>
                <w14:textFill>
                  <w14:solidFill>
                    <w14:schemeClr w14:val="tx1"/>
                  </w14:solidFill>
                </w14:textFill>
              </w:rPr>
            </w:pPr>
          </w:p>
          <w:p>
            <w:pPr>
              <w:autoSpaceDE w:val="0"/>
              <w:autoSpaceDN w:val="0"/>
              <w:spacing w:line="360" w:lineRule="auto"/>
              <w:ind w:firstLine="480" w:firstLineChars="200"/>
              <w:rPr>
                <w:color w:val="000000" w:themeColor="text1"/>
                <w:sz w:val="24"/>
                <w14:textFill>
                  <w14:solidFill>
                    <w14:schemeClr w14:val="tx1"/>
                  </w14:solidFill>
                </w14:textFill>
              </w:rPr>
            </w:pPr>
          </w:p>
          <w:p>
            <w:pPr>
              <w:autoSpaceDE w:val="0"/>
              <w:autoSpaceDN w:val="0"/>
              <w:spacing w:line="360" w:lineRule="auto"/>
              <w:ind w:firstLine="480" w:firstLineChars="200"/>
              <w:rPr>
                <w:color w:val="000000" w:themeColor="text1"/>
                <w:sz w:val="24"/>
                <w14:textFill>
                  <w14:solidFill>
                    <w14:schemeClr w14:val="tx1"/>
                  </w14:solidFill>
                </w14:textFill>
              </w:rPr>
            </w:pPr>
          </w:p>
          <w:p>
            <w:pPr>
              <w:autoSpaceDE w:val="0"/>
              <w:autoSpaceDN w:val="0"/>
              <w:spacing w:line="360" w:lineRule="auto"/>
              <w:ind w:firstLine="480" w:firstLineChars="200"/>
              <w:rPr>
                <w:color w:val="000000" w:themeColor="text1"/>
                <w:sz w:val="24"/>
                <w14:textFill>
                  <w14:solidFill>
                    <w14:schemeClr w14:val="tx1"/>
                  </w14:solidFill>
                </w14:textFill>
              </w:rPr>
            </w:pPr>
          </w:p>
          <w:p>
            <w:pPr>
              <w:autoSpaceDE w:val="0"/>
              <w:autoSpaceDN w:val="0"/>
              <w:spacing w:line="360" w:lineRule="auto"/>
              <w:rPr>
                <w:color w:val="000000" w:themeColor="text1"/>
                <w:sz w:val="24"/>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bookmarkStart w:id="8" w:name="_Toc3795900"/>
      <w:bookmarkStart w:id="9" w:name="_Toc3795899"/>
      <w:r>
        <w:rPr>
          <w:rFonts w:hint="eastAsia" w:eastAsia="黑体"/>
          <w:color w:val="000000" w:themeColor="text1"/>
          <w:w w:val="95"/>
          <w:sz w:val="32"/>
          <w14:textFill>
            <w14:solidFill>
              <w14:schemeClr w14:val="tx1"/>
            </w14:solidFill>
          </w14:textFill>
        </w:rPr>
        <w:t>四、</w:t>
      </w:r>
      <w:r>
        <w:rPr>
          <w:rFonts w:eastAsia="黑体"/>
          <w:color w:val="000000" w:themeColor="text1"/>
          <w:w w:val="95"/>
          <w:sz w:val="32"/>
          <w14:textFill>
            <w14:solidFill>
              <w14:schemeClr w14:val="tx1"/>
            </w14:solidFill>
          </w14:textFill>
        </w:rPr>
        <w:t>评价适用标准</w:t>
      </w:r>
      <w:bookmarkEnd w:id="8"/>
    </w:p>
    <w:tbl>
      <w:tblPr>
        <w:tblStyle w:val="12"/>
        <w:tblW w:w="4906"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55"/>
        <w:gridCol w:w="902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86" w:type="pct"/>
            <w:vAlign w:val="center"/>
          </w:tcPr>
          <w:p>
            <w:pPr>
              <w:spacing w:line="360" w:lineRule="auto"/>
              <w:jc w:val="center"/>
              <w:rPr>
                <w:rFonts w:eastAsia="黑体"/>
                <w:color w:val="000000" w:themeColor="text1"/>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环境</w:t>
            </w:r>
            <w:r>
              <w:rPr>
                <w:rFonts w:eastAsia="黑体"/>
                <w:color w:val="000000" w:themeColor="text1"/>
                <w:sz w:val="28"/>
                <w:szCs w:val="28"/>
                <w14:textFill>
                  <w14:solidFill>
                    <w14:schemeClr w14:val="tx1"/>
                  </w14:solidFill>
                </w14:textFill>
              </w:rPr>
              <w:t>质量标准</w:t>
            </w:r>
          </w:p>
        </w:tc>
        <w:tc>
          <w:tcPr>
            <w:tcW w:w="4613" w:type="pct"/>
            <w:vAlign w:val="center"/>
          </w:tcPr>
          <w:p>
            <w:pPr>
              <w:autoSpaceDE w:val="0"/>
              <w:autoSpaceDN w:val="0"/>
              <w:spacing w:line="360" w:lineRule="auto"/>
              <w:ind w:firstLine="480" w:firstLineChars="200"/>
              <w:jc w:val="left"/>
              <w:rPr>
                <w:rStyle w:val="20"/>
                <w:rFonts w:ascii="Times New Roman" w:hAnsi="Times New Roman" w:eastAsia="宋体" w:cs="Times New Roman"/>
                <w:color w:val="000000" w:themeColor="text1"/>
                <w:kern w:val="28"/>
                <w14:textFill>
                  <w14:solidFill>
                    <w14:schemeClr w14:val="tx1"/>
                  </w14:solidFill>
                </w14:textFill>
              </w:rPr>
            </w:pPr>
            <w:r>
              <w:rPr>
                <w:rStyle w:val="20"/>
                <w:rFonts w:hint="eastAsia" w:ascii="Times New Roman" w:hAnsi="Times New Roman" w:eastAsia="宋体" w:cs="Times New Roman"/>
                <w:color w:val="000000" w:themeColor="text1"/>
                <w:kern w:val="28"/>
                <w14:textFill>
                  <w14:solidFill>
                    <w14:schemeClr w14:val="tx1"/>
                  </w14:solidFill>
                </w14:textFill>
              </w:rPr>
              <w:t>1、环境空气质量执行《环境空气质量标准》</w:t>
            </w:r>
            <w:r>
              <w:rPr>
                <w:rStyle w:val="20"/>
                <w:rFonts w:hint="eastAsia" w:cs="Times New Roman"/>
                <w:color w:val="000000" w:themeColor="text1"/>
                <w:kern w:val="28"/>
                <w:lang w:eastAsia="zh-CN"/>
                <w14:textFill>
                  <w14:solidFill>
                    <w14:schemeClr w14:val="tx1"/>
                  </w14:solidFill>
                </w14:textFill>
              </w:rPr>
              <w:t>（</w:t>
            </w:r>
            <w:r>
              <w:rPr>
                <w:rStyle w:val="20"/>
                <w:rFonts w:hint="eastAsia" w:ascii="Times New Roman" w:hAnsi="Times New Roman" w:eastAsia="宋体" w:cs="Times New Roman"/>
                <w:color w:val="000000" w:themeColor="text1"/>
                <w:kern w:val="28"/>
                <w14:textFill>
                  <w14:solidFill>
                    <w14:schemeClr w14:val="tx1"/>
                  </w14:solidFill>
                </w14:textFill>
              </w:rPr>
              <w:t>GB3095-2012</w:t>
            </w:r>
            <w:r>
              <w:rPr>
                <w:rStyle w:val="20"/>
                <w:rFonts w:hint="eastAsia" w:cs="Times New Roman"/>
                <w:color w:val="000000" w:themeColor="text1"/>
                <w:kern w:val="28"/>
                <w:lang w:eastAsia="zh-CN"/>
                <w14:textFill>
                  <w14:solidFill>
                    <w14:schemeClr w14:val="tx1"/>
                  </w14:solidFill>
                </w14:textFill>
              </w:rPr>
              <w:t>）</w:t>
            </w:r>
            <w:r>
              <w:rPr>
                <w:rStyle w:val="20"/>
                <w:rFonts w:hint="eastAsia" w:ascii="Times New Roman" w:hAnsi="Times New Roman" w:eastAsia="宋体" w:cs="Times New Roman"/>
                <w:color w:val="000000" w:themeColor="text1"/>
                <w:kern w:val="28"/>
                <w14:textFill>
                  <w14:solidFill>
                    <w14:schemeClr w14:val="tx1"/>
                  </w14:solidFill>
                </w14:textFill>
              </w:rPr>
              <w:t>中二级标准。</w:t>
            </w:r>
          </w:p>
          <w:p>
            <w:pPr>
              <w:autoSpaceDE w:val="0"/>
              <w:autoSpaceDN w:val="0"/>
              <w:spacing w:line="360" w:lineRule="auto"/>
              <w:ind w:firstLine="480" w:firstLineChars="200"/>
              <w:jc w:val="left"/>
              <w:rPr>
                <w:rStyle w:val="20"/>
                <w:rFonts w:ascii="Times New Roman" w:hAnsi="Times New Roman" w:eastAsia="宋体" w:cs="Times New Roman"/>
                <w:color w:val="000000" w:themeColor="text1"/>
                <w:kern w:val="28"/>
                <w14:textFill>
                  <w14:solidFill>
                    <w14:schemeClr w14:val="tx1"/>
                  </w14:solidFill>
                </w14:textFill>
              </w:rPr>
            </w:pPr>
            <w:r>
              <w:rPr>
                <w:rStyle w:val="20"/>
                <w:rFonts w:hint="eastAsia" w:ascii="Times New Roman" w:hAnsi="Times New Roman" w:eastAsia="宋体" w:cs="Times New Roman"/>
                <w:color w:val="000000" w:themeColor="text1"/>
                <w:kern w:val="28"/>
                <w14:textFill>
                  <w14:solidFill>
                    <w14:schemeClr w14:val="tx1"/>
                  </w14:solidFill>
                </w14:textFill>
              </w:rPr>
              <w:t>2</w:t>
            </w:r>
            <w:r>
              <w:rPr>
                <w:rStyle w:val="20"/>
                <w:rFonts w:ascii="Times New Roman" w:hAnsi="Times New Roman" w:eastAsia="宋体" w:cs="Times New Roman"/>
                <w:color w:val="000000" w:themeColor="text1"/>
                <w:kern w:val="28"/>
                <w14:textFill>
                  <w14:solidFill>
                    <w14:schemeClr w14:val="tx1"/>
                  </w14:solidFill>
                </w14:textFill>
              </w:rPr>
              <w:t>、</w:t>
            </w:r>
            <w:r>
              <w:rPr>
                <w:rStyle w:val="20"/>
                <w:rFonts w:hint="eastAsia" w:ascii="Times New Roman" w:hAnsi="Times New Roman" w:eastAsia="宋体" w:cs="Times New Roman"/>
                <w:color w:val="000000" w:themeColor="text1"/>
                <w:kern w:val="28"/>
                <w14:textFill>
                  <w14:solidFill>
                    <w14:schemeClr w14:val="tx1"/>
                  </w14:solidFill>
                </w14:textFill>
              </w:rPr>
              <w:t>地下水环境质量执行《地下水质量标准》（GB</w:t>
            </w:r>
            <w:r>
              <w:rPr>
                <w:rStyle w:val="20"/>
                <w:rFonts w:ascii="Times New Roman" w:hAnsi="Times New Roman" w:eastAsia="宋体" w:cs="Times New Roman"/>
                <w:color w:val="000000" w:themeColor="text1"/>
                <w:kern w:val="28"/>
                <w14:textFill>
                  <w14:solidFill>
                    <w14:schemeClr w14:val="tx1"/>
                  </w14:solidFill>
                </w14:textFill>
              </w:rPr>
              <w:t>/</w:t>
            </w:r>
            <w:r>
              <w:rPr>
                <w:rStyle w:val="20"/>
                <w:rFonts w:hint="eastAsia" w:ascii="Times New Roman" w:hAnsi="Times New Roman" w:eastAsia="宋体" w:cs="Times New Roman"/>
                <w:color w:val="000000" w:themeColor="text1"/>
                <w:kern w:val="28"/>
                <w14:textFill>
                  <w14:solidFill>
                    <w14:schemeClr w14:val="tx1"/>
                  </w14:solidFill>
                </w14:textFill>
              </w:rPr>
              <w:t>T14848-2017）中</w:t>
            </w:r>
            <w:r>
              <w:rPr>
                <w:rStyle w:val="20"/>
                <w:rFonts w:ascii="Times New Roman" w:hAnsi="Times New Roman" w:eastAsia="宋体" w:cs="Times New Roman"/>
                <w:color w:val="000000" w:themeColor="text1"/>
                <w:kern w:val="28"/>
                <w14:textFill>
                  <w14:solidFill>
                    <w14:schemeClr w14:val="tx1"/>
                  </w14:solidFill>
                </w14:textFill>
              </w:rPr>
              <w:t>Ⅲ</w:t>
            </w:r>
            <w:r>
              <w:rPr>
                <w:rStyle w:val="20"/>
                <w:rFonts w:hint="eastAsia" w:ascii="Times New Roman" w:hAnsi="Times New Roman" w:eastAsia="宋体" w:cs="Times New Roman"/>
                <w:color w:val="000000" w:themeColor="text1"/>
                <w:kern w:val="28"/>
                <w14:textFill>
                  <w14:solidFill>
                    <w14:schemeClr w14:val="tx1"/>
                  </w14:solidFill>
                </w14:textFill>
              </w:rPr>
              <w:t>类标准。</w:t>
            </w:r>
          </w:p>
          <w:p>
            <w:pPr>
              <w:autoSpaceDE w:val="0"/>
              <w:autoSpaceDN w:val="0"/>
              <w:spacing w:line="360" w:lineRule="auto"/>
              <w:ind w:firstLine="480" w:firstLineChars="200"/>
              <w:jc w:val="left"/>
              <w:rPr>
                <w:rStyle w:val="20"/>
                <w:rFonts w:ascii="Times New Roman" w:hAnsi="Times New Roman" w:eastAsia="宋体" w:cs="Times New Roman"/>
                <w:color w:val="000000" w:themeColor="text1"/>
                <w:kern w:val="28"/>
                <w14:textFill>
                  <w14:solidFill>
                    <w14:schemeClr w14:val="tx1"/>
                  </w14:solidFill>
                </w14:textFill>
              </w:rPr>
            </w:pPr>
            <w:r>
              <w:rPr>
                <w:rStyle w:val="20"/>
                <w:rFonts w:hint="eastAsia" w:ascii="Times New Roman" w:hAnsi="Times New Roman" w:eastAsia="宋体" w:cs="Times New Roman"/>
                <w:color w:val="000000" w:themeColor="text1"/>
                <w:kern w:val="28"/>
                <w14:textFill>
                  <w14:solidFill>
                    <w14:schemeClr w14:val="tx1"/>
                  </w14:solidFill>
                </w14:textFill>
              </w:rPr>
              <w:t>3</w:t>
            </w:r>
            <w:r>
              <w:rPr>
                <w:rStyle w:val="20"/>
                <w:rFonts w:ascii="Times New Roman" w:hAnsi="Times New Roman" w:eastAsia="宋体" w:cs="Times New Roman"/>
                <w:color w:val="000000" w:themeColor="text1"/>
                <w:kern w:val="28"/>
                <w14:textFill>
                  <w14:solidFill>
                    <w14:schemeClr w14:val="tx1"/>
                  </w14:solidFill>
                </w14:textFill>
              </w:rPr>
              <w:t>、</w:t>
            </w:r>
            <w:r>
              <w:rPr>
                <w:rStyle w:val="20"/>
                <w:rFonts w:hint="eastAsia" w:ascii="Times New Roman" w:hAnsi="Times New Roman" w:eastAsia="宋体" w:cs="Times New Roman"/>
                <w:color w:val="000000" w:themeColor="text1"/>
                <w:kern w:val="28"/>
                <w14:textFill>
                  <w14:solidFill>
                    <w14:schemeClr w14:val="tx1"/>
                  </w14:solidFill>
                </w14:textFill>
              </w:rPr>
              <w:t>环境噪声执行《声环境质量标准》</w:t>
            </w:r>
            <w:r>
              <w:rPr>
                <w:rStyle w:val="20"/>
                <w:rFonts w:hint="eastAsia" w:cs="Times New Roman"/>
                <w:color w:val="000000" w:themeColor="text1"/>
                <w:kern w:val="28"/>
                <w14:textFill>
                  <w14:solidFill>
                    <w14:schemeClr w14:val="tx1"/>
                  </w14:solidFill>
                </w14:textFill>
              </w:rPr>
              <w:t>（</w:t>
            </w:r>
            <w:r>
              <w:rPr>
                <w:rStyle w:val="20"/>
                <w:rFonts w:hint="eastAsia" w:ascii="Times New Roman" w:hAnsi="Times New Roman" w:eastAsia="宋体" w:cs="Times New Roman"/>
                <w:color w:val="000000" w:themeColor="text1"/>
                <w:kern w:val="28"/>
                <w14:textFill>
                  <w14:solidFill>
                    <w14:schemeClr w14:val="tx1"/>
                  </w14:solidFill>
                </w14:textFill>
              </w:rPr>
              <w:t>GB3096-2008</w:t>
            </w:r>
            <w:r>
              <w:rPr>
                <w:rStyle w:val="20"/>
                <w:rFonts w:hint="eastAsia" w:cs="Times New Roman"/>
                <w:color w:val="000000" w:themeColor="text1"/>
                <w:kern w:val="28"/>
                <w14:textFill>
                  <w14:solidFill>
                    <w14:schemeClr w14:val="tx1"/>
                  </w14:solidFill>
                </w14:textFill>
              </w:rPr>
              <w:t>）</w:t>
            </w:r>
            <w:r>
              <w:rPr>
                <w:rStyle w:val="20"/>
                <w:rFonts w:hint="eastAsia" w:ascii="Times New Roman" w:hAnsi="Times New Roman" w:eastAsia="宋体" w:cs="Times New Roman"/>
                <w:color w:val="000000" w:themeColor="text1"/>
                <w:kern w:val="28"/>
                <w14:textFill>
                  <w14:solidFill>
                    <w14:schemeClr w14:val="tx1"/>
                  </w14:solidFill>
                </w14:textFill>
              </w:rPr>
              <w:t>中</w:t>
            </w:r>
            <w:r>
              <w:rPr>
                <w:rStyle w:val="20"/>
                <w:rFonts w:ascii="Times New Roman" w:hAnsi="Times New Roman" w:eastAsia="宋体" w:cs="Times New Roman"/>
                <w:color w:val="000000" w:themeColor="text1"/>
                <w:kern w:val="28"/>
                <w14:textFill>
                  <w14:solidFill>
                    <w14:schemeClr w14:val="tx1"/>
                  </w14:solidFill>
                </w14:textFill>
              </w:rPr>
              <w:t>1</w:t>
            </w:r>
            <w:r>
              <w:rPr>
                <w:rStyle w:val="20"/>
                <w:rFonts w:hint="eastAsia" w:ascii="Times New Roman" w:hAnsi="Times New Roman" w:eastAsia="宋体" w:cs="Times New Roman"/>
                <w:color w:val="000000" w:themeColor="text1"/>
                <w:kern w:val="28"/>
                <w14:textFill>
                  <w14:solidFill>
                    <w14:schemeClr w14:val="tx1"/>
                  </w14:solidFill>
                </w14:textFill>
              </w:rPr>
              <w:t>类区标准。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86" w:type="pct"/>
            <w:vAlign w:val="center"/>
          </w:tcPr>
          <w:p>
            <w:pPr>
              <w:spacing w:line="360" w:lineRule="auto"/>
              <w:jc w:val="center"/>
              <w:rPr>
                <w:rFonts w:eastAsia="黑体"/>
                <w:color w:val="000000" w:themeColor="text1"/>
                <w:w w:val="95"/>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污染物</w:t>
            </w:r>
            <w:r>
              <w:rPr>
                <w:rFonts w:eastAsia="黑体"/>
                <w:color w:val="000000" w:themeColor="text1"/>
                <w:sz w:val="28"/>
                <w:szCs w:val="28"/>
                <w14:textFill>
                  <w14:solidFill>
                    <w14:schemeClr w14:val="tx1"/>
                  </w14:solidFill>
                </w14:textFill>
              </w:rPr>
              <w:t>排放标准</w:t>
            </w:r>
          </w:p>
        </w:tc>
        <w:tc>
          <w:tcPr>
            <w:tcW w:w="4613" w:type="pct"/>
            <w:vAlign w:val="center"/>
          </w:tcPr>
          <w:p>
            <w:pPr>
              <w:autoSpaceDE w:val="0"/>
              <w:autoSpaceDN w:val="0"/>
              <w:spacing w:line="360" w:lineRule="auto"/>
              <w:ind w:firstLine="480" w:firstLineChars="200"/>
              <w:rPr>
                <w:bCs/>
                <w:color w:val="000000" w:themeColor="text1"/>
                <w:sz w:val="18"/>
                <w:szCs w:val="18"/>
                <w14:textFill>
                  <w14:solidFill>
                    <w14:schemeClr w14:val="tx1"/>
                  </w14:solidFill>
                </w14:textFill>
              </w:rPr>
            </w:pPr>
            <w:r>
              <w:rPr>
                <w:rStyle w:val="20"/>
                <w:rFonts w:hint="eastAsia" w:ascii="Times New Roman" w:hAnsi="Times New Roman" w:eastAsia="宋体" w:cs="Times New Roman"/>
                <w:color w:val="000000" w:themeColor="text1"/>
                <w:kern w:val="28"/>
                <w14:textFill>
                  <w14:solidFill>
                    <w14:schemeClr w14:val="tx1"/>
                  </w14:solidFill>
                </w14:textFill>
              </w:rPr>
              <w:t>1</w:t>
            </w:r>
            <w:r>
              <w:rPr>
                <w:rStyle w:val="20"/>
                <w:rFonts w:ascii="Times New Roman" w:hAnsi="Times New Roman" w:eastAsia="宋体" w:cs="Times New Roman"/>
                <w:color w:val="000000" w:themeColor="text1"/>
                <w:kern w:val="28"/>
                <w14:textFill>
                  <w14:solidFill>
                    <w14:schemeClr w14:val="tx1"/>
                  </w14:solidFill>
                </w14:textFill>
              </w:rPr>
              <w:t>、颗粒物</w:t>
            </w:r>
            <w:r>
              <w:rPr>
                <w:rStyle w:val="20"/>
                <w:rFonts w:hint="eastAsia" w:ascii="Times New Roman" w:hAnsi="Times New Roman" w:eastAsia="宋体" w:cs="Times New Roman"/>
                <w:color w:val="000000" w:themeColor="text1"/>
                <w:kern w:val="28"/>
                <w14:textFill>
                  <w14:solidFill>
                    <w14:schemeClr w14:val="tx1"/>
                  </w14:solidFill>
                </w14:textFill>
              </w:rPr>
              <w:t>、SO</w:t>
            </w:r>
            <w:r>
              <w:rPr>
                <w:rStyle w:val="20"/>
                <w:rFonts w:hint="eastAsia" w:ascii="Times New Roman" w:hAnsi="Times New Roman" w:eastAsia="宋体" w:cs="Times New Roman"/>
                <w:color w:val="000000" w:themeColor="text1"/>
                <w:kern w:val="28"/>
                <w:vertAlign w:val="subscript"/>
                <w14:textFill>
                  <w14:solidFill>
                    <w14:schemeClr w14:val="tx1"/>
                  </w14:solidFill>
                </w14:textFill>
              </w:rPr>
              <w:t>2</w:t>
            </w:r>
            <w:r>
              <w:rPr>
                <w:rStyle w:val="20"/>
                <w:rFonts w:hint="eastAsia" w:ascii="Times New Roman" w:hAnsi="Times New Roman" w:eastAsia="宋体" w:cs="Times New Roman"/>
                <w:color w:val="000000" w:themeColor="text1"/>
                <w:kern w:val="28"/>
                <w14:textFill>
                  <w14:solidFill>
                    <w14:schemeClr w14:val="tx1"/>
                  </w14:solidFill>
                </w14:textFill>
              </w:rPr>
              <w:t>、NO</w:t>
            </w:r>
            <w:r>
              <w:rPr>
                <w:rStyle w:val="20"/>
                <w:rFonts w:hint="eastAsia" w:ascii="Times New Roman" w:hAnsi="Times New Roman" w:eastAsia="宋体" w:cs="Times New Roman"/>
                <w:color w:val="000000" w:themeColor="text1"/>
                <w:kern w:val="28"/>
                <w:vertAlign w:val="subscript"/>
                <w14:textFill>
                  <w14:solidFill>
                    <w14:schemeClr w14:val="tx1"/>
                  </w14:solidFill>
                </w14:textFill>
              </w:rPr>
              <w:t>X</w:t>
            </w:r>
            <w:r>
              <w:rPr>
                <w:rStyle w:val="20"/>
                <w:rFonts w:ascii="Times New Roman" w:hAnsi="Times New Roman" w:eastAsia="宋体" w:cs="Times New Roman"/>
                <w:color w:val="000000" w:themeColor="text1"/>
                <w:kern w:val="28"/>
                <w14:textFill>
                  <w14:solidFill>
                    <w14:schemeClr w14:val="tx1"/>
                  </w14:solidFill>
                </w14:textFill>
              </w:rPr>
              <w:t>等大气污染物排放执行《大气污染物综合排放标准》</w:t>
            </w:r>
            <w:r>
              <w:rPr>
                <w:rStyle w:val="20"/>
                <w:rFonts w:hint="eastAsia" w:ascii="Times New Roman" w:hAnsi="Times New Roman" w:eastAsia="宋体" w:cs="Times New Roman"/>
                <w:color w:val="000000" w:themeColor="text1"/>
                <w:kern w:val="28"/>
                <w14:textFill>
                  <w14:solidFill>
                    <w14:schemeClr w14:val="tx1"/>
                  </w14:solidFill>
                </w14:textFill>
              </w:rPr>
              <w:t>（</w:t>
            </w:r>
            <w:r>
              <w:rPr>
                <w:rStyle w:val="20"/>
                <w:rFonts w:ascii="Times New Roman" w:hAnsi="Times New Roman" w:eastAsia="宋体" w:cs="Times New Roman"/>
                <w:color w:val="000000" w:themeColor="text1"/>
                <w:kern w:val="28"/>
                <w14:textFill>
                  <w14:solidFill>
                    <w14:schemeClr w14:val="tx1"/>
                  </w14:solidFill>
                </w14:textFill>
              </w:rPr>
              <w:t>GB16297-1996</w:t>
            </w:r>
            <w:r>
              <w:rPr>
                <w:rStyle w:val="20"/>
                <w:rFonts w:hint="eastAsia" w:ascii="Times New Roman" w:hAnsi="Times New Roman" w:eastAsia="宋体" w:cs="Times New Roman"/>
                <w:color w:val="000000" w:themeColor="text1"/>
                <w:kern w:val="28"/>
                <w14:textFill>
                  <w14:solidFill>
                    <w14:schemeClr w14:val="tx1"/>
                  </w14:solidFill>
                </w14:textFill>
              </w:rPr>
              <w:t>）</w:t>
            </w:r>
            <w:r>
              <w:rPr>
                <w:rStyle w:val="20"/>
                <w:rFonts w:ascii="Times New Roman" w:hAnsi="Times New Roman" w:eastAsia="宋体" w:cs="Times New Roman"/>
                <w:color w:val="000000" w:themeColor="text1"/>
                <w:kern w:val="28"/>
                <w14:textFill>
                  <w14:solidFill>
                    <w14:schemeClr w14:val="tx1"/>
                  </w14:solidFill>
                </w14:textFill>
              </w:rPr>
              <w:t>中</w:t>
            </w:r>
            <w:r>
              <w:rPr>
                <w:rStyle w:val="20"/>
                <w:rFonts w:hint="eastAsia" w:ascii="Times New Roman" w:hAnsi="Times New Roman" w:eastAsia="宋体" w:cs="Times New Roman"/>
                <w:color w:val="000000" w:themeColor="text1"/>
                <w:kern w:val="28"/>
                <w14:textFill>
                  <w14:solidFill>
                    <w14:schemeClr w14:val="tx1"/>
                  </w14:solidFill>
                </w14:textFill>
              </w:rPr>
              <w:t>表2</w:t>
            </w:r>
            <w:r>
              <w:rPr>
                <w:rStyle w:val="20"/>
                <w:rFonts w:ascii="Times New Roman" w:hAnsi="Times New Roman" w:eastAsia="宋体" w:cs="Times New Roman"/>
                <w:color w:val="000000" w:themeColor="text1"/>
                <w:kern w:val="28"/>
                <w14:textFill>
                  <w14:solidFill>
                    <w14:schemeClr w14:val="tx1"/>
                  </w14:solidFill>
                </w14:textFill>
              </w:rPr>
              <w:t>的</w:t>
            </w:r>
            <w:r>
              <w:rPr>
                <w:rStyle w:val="20"/>
                <w:rFonts w:hint="eastAsia" w:ascii="Times New Roman" w:hAnsi="Times New Roman" w:eastAsia="宋体" w:cs="Times New Roman"/>
                <w:color w:val="000000" w:themeColor="text1"/>
                <w:kern w:val="28"/>
                <w14:textFill>
                  <w14:solidFill>
                    <w14:schemeClr w14:val="tx1"/>
                  </w14:solidFill>
                </w14:textFill>
              </w:rPr>
              <w:t>无组织排放监控浓度限值，柴油发电机执行《非道路移动机械用柴油机排气污染物排放限值及测量方法(中国第三、四阶段）》</w:t>
            </w:r>
            <w:r>
              <w:rPr>
                <w:rStyle w:val="20"/>
                <w:rFonts w:hint="eastAsia" w:cs="Times New Roman"/>
                <w:color w:val="000000" w:themeColor="text1"/>
                <w:kern w:val="28"/>
                <w:lang w:eastAsia="zh-CN"/>
                <w14:textFill>
                  <w14:solidFill>
                    <w14:schemeClr w14:val="tx1"/>
                  </w14:solidFill>
                </w14:textFill>
              </w:rPr>
              <w:t>（</w:t>
            </w:r>
            <w:r>
              <w:rPr>
                <w:rStyle w:val="20"/>
                <w:rFonts w:hint="eastAsia" w:ascii="Times New Roman" w:hAnsi="Times New Roman" w:eastAsia="宋体" w:cs="Times New Roman"/>
                <w:color w:val="000000" w:themeColor="text1"/>
                <w:kern w:val="28"/>
                <w14:textFill>
                  <w14:solidFill>
                    <w14:schemeClr w14:val="tx1"/>
                  </w14:solidFill>
                </w14:textFill>
              </w:rPr>
              <w:t>GB20891-2014</w:t>
            </w:r>
            <w:r>
              <w:rPr>
                <w:rStyle w:val="20"/>
                <w:rFonts w:hint="eastAsia" w:cs="Times New Roman"/>
                <w:color w:val="000000" w:themeColor="text1"/>
                <w:kern w:val="28"/>
                <w:lang w:eastAsia="zh-CN"/>
                <w14:textFill>
                  <w14:solidFill>
                    <w14:schemeClr w14:val="tx1"/>
                  </w14:solidFill>
                </w14:textFill>
              </w:rPr>
              <w:t>）</w:t>
            </w:r>
            <w:r>
              <w:rPr>
                <w:rStyle w:val="20"/>
                <w:rFonts w:hint="eastAsia" w:ascii="Times New Roman" w:hAnsi="Times New Roman" w:eastAsia="宋体" w:cs="Times New Roman"/>
                <w:color w:val="000000" w:themeColor="text1"/>
                <w:kern w:val="28"/>
                <w14:textFill>
                  <w14:solidFill>
                    <w14:schemeClr w14:val="tx1"/>
                  </w14:solidFill>
                </w14:textFill>
              </w:rPr>
              <w:t>及其修改单中的要求。</w:t>
            </w:r>
          </w:p>
          <w:p>
            <w:pPr>
              <w:autoSpaceDE w:val="0"/>
              <w:autoSpaceDN w:val="0"/>
              <w:spacing w:line="360" w:lineRule="auto"/>
              <w:ind w:firstLine="480" w:firstLineChars="200"/>
              <w:rPr>
                <w:rStyle w:val="20"/>
                <w:rFonts w:ascii="Times New Roman" w:hAnsi="Times New Roman" w:eastAsia="宋体" w:cs="Times New Roman"/>
                <w:color w:val="000000" w:themeColor="text1"/>
                <w:kern w:val="28"/>
                <w14:textFill>
                  <w14:solidFill>
                    <w14:schemeClr w14:val="tx1"/>
                  </w14:solidFill>
                </w14:textFill>
              </w:rPr>
            </w:pPr>
            <w:r>
              <w:rPr>
                <w:rStyle w:val="20"/>
                <w:rFonts w:hint="eastAsia" w:ascii="Times New Roman" w:hAnsi="Times New Roman" w:eastAsia="宋体" w:cs="Times New Roman"/>
                <w:color w:val="000000" w:themeColor="text1"/>
                <w:kern w:val="28"/>
                <w14:textFill>
                  <w14:solidFill>
                    <w14:schemeClr w14:val="tx1"/>
                  </w14:solidFill>
                </w14:textFill>
              </w:rPr>
              <w:t>2、所有废、污水全部综合利用，不外排。</w:t>
            </w:r>
          </w:p>
          <w:p>
            <w:pPr>
              <w:autoSpaceDE w:val="0"/>
              <w:autoSpaceDN w:val="0"/>
              <w:spacing w:line="360" w:lineRule="auto"/>
              <w:ind w:firstLine="480" w:firstLineChars="200"/>
              <w:rPr>
                <w:rStyle w:val="20"/>
                <w:rFonts w:ascii="Times New Roman" w:hAnsi="Times New Roman" w:eastAsia="宋体" w:cs="Times New Roman"/>
                <w:color w:val="000000" w:themeColor="text1"/>
                <w:kern w:val="28"/>
                <w14:textFill>
                  <w14:solidFill>
                    <w14:schemeClr w14:val="tx1"/>
                  </w14:solidFill>
                </w14:textFill>
              </w:rPr>
            </w:pPr>
            <w:r>
              <w:rPr>
                <w:rStyle w:val="20"/>
                <w:rFonts w:hint="eastAsia" w:ascii="Times New Roman" w:hAnsi="Times New Roman" w:eastAsia="宋体" w:cs="Times New Roman"/>
                <w:color w:val="000000" w:themeColor="text1"/>
                <w:kern w:val="28"/>
                <w14:textFill>
                  <w14:solidFill>
                    <w14:schemeClr w14:val="tx1"/>
                  </w14:solidFill>
                </w14:textFill>
              </w:rPr>
              <w:t>3、施工期场界噪声执行《建筑施工场界环境噪声排放标准》（GB12523-2011），即昼间≤70dB(A)，夜间≤55dB(A)。</w:t>
            </w:r>
          </w:p>
          <w:p>
            <w:pPr>
              <w:autoSpaceDE w:val="0"/>
              <w:autoSpaceDN w:val="0"/>
              <w:spacing w:line="360" w:lineRule="auto"/>
              <w:ind w:firstLine="480" w:firstLineChars="200"/>
              <w:rPr>
                <w:rStyle w:val="20"/>
                <w:rFonts w:ascii="Times New Roman" w:hAnsi="Times New Roman" w:eastAsia="宋体" w:cs="Times New Roman"/>
                <w:color w:val="000000" w:themeColor="text1"/>
                <w:kern w:val="28"/>
                <w14:textFill>
                  <w14:solidFill>
                    <w14:schemeClr w14:val="tx1"/>
                  </w14:solidFill>
                </w14:textFill>
              </w:rPr>
            </w:pPr>
            <w:r>
              <w:rPr>
                <w:rStyle w:val="20"/>
                <w:rFonts w:hint="eastAsia" w:ascii="Times New Roman" w:hAnsi="Times New Roman" w:eastAsia="宋体" w:cs="Times New Roman"/>
                <w:color w:val="000000" w:themeColor="text1"/>
                <w:kern w:val="28"/>
                <w14:textFill>
                  <w14:solidFill>
                    <w14:schemeClr w14:val="tx1"/>
                  </w14:solidFill>
                </w14:textFill>
              </w:rPr>
              <w:t>4、一般工业固体废物排放执行《一般工业固体废物贮存和填埋污染污染控制标准》（GB18599-20</w:t>
            </w:r>
            <w:r>
              <w:rPr>
                <w:rStyle w:val="20"/>
                <w:rFonts w:ascii="Times New Roman" w:hAnsi="Times New Roman" w:eastAsia="宋体" w:cs="Times New Roman"/>
                <w:color w:val="000000" w:themeColor="text1"/>
                <w:kern w:val="28"/>
                <w14:textFill>
                  <w14:solidFill>
                    <w14:schemeClr w14:val="tx1"/>
                  </w14:solidFill>
                </w14:textFill>
              </w:rPr>
              <w:t>2</w:t>
            </w:r>
            <w:r>
              <w:rPr>
                <w:rStyle w:val="20"/>
                <w:color w:val="000000" w:themeColor="text1"/>
                <w:kern w:val="28"/>
                <w14:textFill>
                  <w14:solidFill>
                    <w14:schemeClr w14:val="tx1"/>
                  </w14:solidFill>
                </w14:textFill>
              </w:rPr>
              <w:t>0</w:t>
            </w:r>
            <w:r>
              <w:rPr>
                <w:rStyle w:val="20"/>
                <w:rFonts w:hint="eastAsia" w:ascii="Times New Roman" w:hAnsi="Times New Roman" w:eastAsia="宋体" w:cs="Times New Roman"/>
                <w:color w:val="000000" w:themeColor="text1"/>
                <w:kern w:val="28"/>
                <w14:textFill>
                  <w14:solidFill>
                    <w14:schemeClr w14:val="tx1"/>
                  </w14:solidFill>
                </w14:textFill>
              </w:rPr>
              <w:t>）及其修改单中的有关规定；危险废物处置执行《危险废物贮存污染控制标准》（GB18597-2001）及修改单（环境保护部2013年第36号公告）中的相关规定。</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08" w:hRule="atLeast"/>
          <w:jc w:val="center"/>
        </w:trPr>
        <w:tc>
          <w:tcPr>
            <w:tcW w:w="386" w:type="pct"/>
            <w:vAlign w:val="center"/>
          </w:tcPr>
          <w:p>
            <w:pPr>
              <w:spacing w:line="360" w:lineRule="auto"/>
              <w:jc w:val="center"/>
              <w:rPr>
                <w:rFonts w:eastAsia="黑体"/>
                <w:color w:val="000000" w:themeColor="text1"/>
                <w:sz w:val="28"/>
                <w14:textFill>
                  <w14:solidFill>
                    <w14:schemeClr w14:val="tx1"/>
                  </w14:solidFill>
                </w14:textFill>
              </w:rPr>
            </w:pPr>
            <w:r>
              <w:rPr>
                <w:rFonts w:hint="eastAsia" w:eastAsia="黑体"/>
                <w:color w:val="000000" w:themeColor="text1"/>
                <w:w w:val="95"/>
                <w:sz w:val="28"/>
                <w:szCs w:val="28"/>
                <w14:textFill>
                  <w14:solidFill>
                    <w14:schemeClr w14:val="tx1"/>
                  </w14:solidFill>
                </w14:textFill>
              </w:rPr>
              <w:t>辐射控制指标</w:t>
            </w:r>
          </w:p>
        </w:tc>
        <w:tc>
          <w:tcPr>
            <w:tcW w:w="4613" w:type="pct"/>
            <w:vAlign w:val="center"/>
          </w:tcPr>
          <w:p>
            <w:pPr>
              <w:autoSpaceDE/>
              <w:autoSpaceDN/>
              <w:spacing w:line="440" w:lineRule="exact"/>
              <w:ind w:firstLine="480" w:firstLineChars="200"/>
              <w:rPr>
                <w:rStyle w:val="20"/>
                <w:rFonts w:ascii="Times New Roman" w:hAnsi="Times New Roman" w:eastAsia="宋体" w:cs="Times New Roman"/>
                <w:color w:val="000000" w:themeColor="text1"/>
                <w14:textFill>
                  <w14:solidFill>
                    <w14:schemeClr w14:val="tx1"/>
                  </w14:solidFill>
                </w14:textFill>
              </w:rPr>
            </w:pPr>
            <w:r>
              <w:rPr>
                <w:rFonts w:hint="eastAsia"/>
                <w:color w:val="000000" w:themeColor="text1"/>
                <w:sz w:val="24"/>
                <w:szCs w:val="24"/>
                <w:lang w:eastAsia="zh-CN"/>
                <w14:textFill>
                  <w14:solidFill>
                    <w14:schemeClr w14:val="tx1"/>
                  </w14:solidFill>
                </w14:textFill>
              </w:rPr>
              <w:t>根据同类铀矿地质勘查工程监测资料以及工程分析，本项目勘查过程中产生的 钻井泥浆中</w:t>
            </w:r>
            <w:r>
              <w:rPr>
                <w:color w:val="000000" w:themeColor="text1"/>
                <w:sz w:val="24"/>
                <w:szCs w:val="24"/>
                <w:lang w:eastAsia="zh-CN"/>
                <w14:textFill>
                  <w14:solidFill>
                    <w14:schemeClr w14:val="tx1"/>
                  </w14:solidFill>
                </w14:textFill>
              </w:rPr>
              <w:t>U</w:t>
            </w:r>
            <w:r>
              <w:rPr>
                <w:rFonts w:hint="eastAsia"/>
                <w:color w:val="000000" w:themeColor="text1"/>
                <w:sz w:val="24"/>
                <w:szCs w:val="24"/>
                <w:lang w:eastAsia="zh-CN"/>
                <w14:textFill>
                  <w14:solidFill>
                    <w14:schemeClr w14:val="tx1"/>
                  </w14:solidFill>
                </w14:textFill>
              </w:rPr>
              <w:t>天然、</w:t>
            </w:r>
            <w:r>
              <w:rPr>
                <w:color w:val="000000" w:themeColor="text1"/>
                <w:sz w:val="24"/>
                <w:szCs w:val="24"/>
                <w:vertAlign w:val="superscript"/>
                <w:lang w:eastAsia="zh-CN"/>
                <w14:textFill>
                  <w14:solidFill>
                    <w14:schemeClr w14:val="tx1"/>
                  </w14:solidFill>
                </w14:textFill>
              </w:rPr>
              <w:t>226</w:t>
            </w:r>
            <w:r>
              <w:rPr>
                <w:color w:val="000000" w:themeColor="text1"/>
                <w:sz w:val="24"/>
                <w:szCs w:val="24"/>
                <w:lang w:eastAsia="zh-CN"/>
                <w14:textFill>
                  <w14:solidFill>
                    <w14:schemeClr w14:val="tx1"/>
                  </w14:solidFill>
                </w14:textFill>
              </w:rPr>
              <w:t>Ra</w:t>
            </w:r>
            <w:r>
              <w:rPr>
                <w:rFonts w:hint="eastAsia"/>
                <w:color w:val="000000" w:themeColor="text1"/>
                <w:sz w:val="24"/>
                <w:szCs w:val="24"/>
                <w:lang w:eastAsia="zh-CN"/>
                <w14:textFill>
                  <w14:solidFill>
                    <w14:schemeClr w14:val="tx1"/>
                  </w14:solidFill>
                </w14:textFill>
              </w:rPr>
              <w:t>为当地环境本底水平，辐射水平均属于天然放射性水平，勘查过程不会对周围公众产生附加剂量。因此，本项目不设置公众剂量约束值指标。</w:t>
            </w:r>
          </w:p>
        </w:tc>
      </w:tr>
    </w:tbl>
    <w:p>
      <w:pPr>
        <w:outlineLvl w:val="0"/>
        <w:rPr>
          <w:rFonts w:eastAsia="黑体"/>
          <w:color w:val="000000" w:themeColor="text1"/>
          <w:w w:val="95"/>
          <w:sz w:val="32"/>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14:textFill>
            <w14:solidFill>
              <w14:schemeClr w14:val="tx1"/>
            </w14:solidFill>
          </w14:textFill>
        </w:rPr>
        <w:t>五、</w:t>
      </w:r>
      <w:r>
        <w:rPr>
          <w:rFonts w:eastAsia="黑体"/>
          <w:color w:val="000000" w:themeColor="text1"/>
          <w:w w:val="95"/>
          <w:sz w:val="32"/>
          <w14:textFill>
            <w14:solidFill>
              <w14:schemeClr w14:val="tx1"/>
            </w14:solidFill>
          </w14:textFill>
        </w:rPr>
        <w:t>环境质量状况</w:t>
      </w:r>
      <w:bookmarkEnd w:id="9"/>
    </w:p>
    <w:tbl>
      <w:tblPr>
        <w:tblStyle w:val="12"/>
        <w:tblW w:w="4883" w:type="pct"/>
        <w:tblInd w:w="13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72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tcPr>
          <w:p>
            <w:pPr>
              <w:spacing w:line="331" w:lineRule="auto"/>
              <w:ind w:left="103" w:right="101"/>
              <w:jc w:val="both"/>
              <w:rPr>
                <w:rFonts w:hint="eastAsia" w:eastAsia="黑体"/>
                <w:color w:val="000000" w:themeColor="text1"/>
                <w:w w:val="95"/>
                <w:sz w:val="28"/>
                <w:lang w:eastAsia="zh-CN"/>
                <w14:textFill>
                  <w14:solidFill>
                    <w14:schemeClr w14:val="tx1"/>
                  </w14:solidFill>
                </w14:textFill>
              </w:rPr>
            </w:pPr>
            <w:r>
              <w:rPr>
                <w:rFonts w:eastAsia="黑体"/>
                <w:color w:val="000000" w:themeColor="text1"/>
                <w:w w:val="95"/>
                <w:sz w:val="28"/>
                <w14:textFill>
                  <w14:solidFill>
                    <w14:schemeClr w14:val="tx1"/>
                  </w14:solidFill>
                </w14:textFill>
              </w:rPr>
              <w:t>建设项目所在地区域环境质量现状及主要环境问题</w:t>
            </w:r>
            <w:bookmarkStart w:id="10" w:name="_Toc175590548"/>
            <w:bookmarkStart w:id="11" w:name="_Toc146186021"/>
            <w:bookmarkStart w:id="12" w:name="_Toc147204549"/>
            <w:r>
              <w:rPr>
                <w:rFonts w:ascii="宋体" w:hAnsi="宋体" w:eastAsia="宋体" w:cs="宋体"/>
                <w:color w:val="000000" w:themeColor="text1"/>
                <w:spacing w:val="-3"/>
                <w:kern w:val="0"/>
                <w:sz w:val="24"/>
                <w:szCs w:val="24"/>
                <w:lang w:eastAsia="zh-CN" w:bidi="en-US"/>
                <w14:textFill>
                  <w14:solidFill>
                    <w14:schemeClr w14:val="tx1"/>
                  </w14:solidFill>
                </w14:textFill>
              </w:rPr>
              <w:t>（环境空气、地表水、地下水、γ辐射空气吸收剂量率、土壤、声环境、生态环境等）</w:t>
            </w:r>
          </w:p>
          <w:bookmarkEnd w:id="10"/>
          <w:bookmarkEnd w:id="11"/>
          <w:bookmarkEnd w:id="12"/>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1</w:t>
            </w:r>
            <w:r>
              <w:rPr>
                <w:rFonts w:hint="eastAsia"/>
                <w:b/>
                <w:bCs/>
                <w:color w:val="000000" w:themeColor="text1"/>
                <w:sz w:val="24"/>
                <w:lang w:eastAsia="zh-CN"/>
                <w14:textFill>
                  <w14:solidFill>
                    <w14:schemeClr w14:val="tx1"/>
                  </w14:solidFill>
                </w14:textFill>
              </w:rPr>
              <w:t>、</w:t>
            </w:r>
            <w:r>
              <w:rPr>
                <w:b/>
                <w:bCs/>
                <w:color w:val="000000" w:themeColor="text1"/>
                <w:sz w:val="24"/>
                <w14:textFill>
                  <w14:solidFill>
                    <w14:schemeClr w14:val="tx1"/>
                  </w14:solidFill>
                </w14:textFill>
              </w:rPr>
              <w:t>环境空气</w:t>
            </w:r>
            <w:r>
              <w:rPr>
                <w:rFonts w:hint="eastAsia"/>
                <w:b/>
                <w:bCs/>
                <w:color w:val="000000" w:themeColor="text1"/>
                <w:sz w:val="24"/>
                <w14:textFill>
                  <w14:solidFill>
                    <w14:schemeClr w14:val="tx1"/>
                  </w14:solidFill>
                </w14:textFill>
              </w:rPr>
              <w:t>质量现状</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根据《环境影响评价技术导则 大气环境》（HJ2.2-2018），项目所在区域达标情况判定优先采用国家或地方生态环境主管部门公开发布的环境质量公告或环境质量报告中数据或结论。</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本次评价选取20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年作为评价基准年，根据环境保护部环境工程评估中心“国家环境保护环境影响评价数值模拟重点实验室”上线的环境空气质量模型基础数据服务系统查询，</w:t>
            </w:r>
            <w:r>
              <w:rPr>
                <w:color w:val="000000" w:themeColor="text1"/>
                <w:sz w:val="24"/>
                <w14:textFill>
                  <w14:solidFill>
                    <w14:schemeClr w14:val="tx1"/>
                  </w14:solidFill>
                </w14:textFill>
              </w:rPr>
              <w:t>2020年</w:t>
            </w:r>
            <w:r>
              <w:rPr>
                <w:rFonts w:hint="eastAsia"/>
                <w:color w:val="000000" w:themeColor="text1"/>
                <w:sz w:val="24"/>
                <w14:textFill>
                  <w14:solidFill>
                    <w14:schemeClr w14:val="tx1"/>
                  </w14:solidFill>
                </w14:textFill>
              </w:rPr>
              <w:t>海西蒙古族藏族自治州、酒泉市、</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"https://baike.baidu.com/item/%E5%B7%B4%E9%9F%B3%E9%83%AD%E6%A5%9E%E8%92%99%E5%8F%A4%E8%87%AA%E6%B2%BB%E5%B7%9E/5310284" \t "https://baike.baidu.com/item/%E8%8B%A5%E7%BE%8C%E5%8E%BF/_blank"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巴音郭楞蒙古自治州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若羌县空气质量状况统计表见表</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w:t>
            </w:r>
          </w:p>
          <w:p>
            <w:pPr>
              <w:jc w:val="center"/>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表</w:t>
            </w:r>
            <w:r>
              <w:rPr>
                <w:bCs/>
                <w:color w:val="000000" w:themeColor="text1"/>
                <w:sz w:val="24"/>
                <w14:textFill>
                  <w14:solidFill>
                    <w14:schemeClr w14:val="tx1"/>
                  </w14:solidFill>
                </w14:textFill>
              </w:rPr>
              <w:t>5</w:t>
            </w:r>
            <w:r>
              <w:rPr>
                <w:rFonts w:hint="eastAsia"/>
                <w:bCs/>
                <w:color w:val="000000" w:themeColor="text1"/>
                <w:sz w:val="24"/>
                <w14:textFill>
                  <w14:solidFill>
                    <w14:schemeClr w14:val="tx1"/>
                  </w14:solidFill>
                </w14:textFill>
              </w:rPr>
              <w:t>-</w:t>
            </w:r>
            <w:r>
              <w:rPr>
                <w:bCs/>
                <w:color w:val="000000" w:themeColor="text1"/>
                <w:sz w:val="24"/>
                <w14:textFill>
                  <w14:solidFill>
                    <w14:schemeClr w14:val="tx1"/>
                  </w14:solidFill>
                </w14:textFill>
              </w:rPr>
              <w:t xml:space="preserve">1  </w:t>
            </w:r>
            <w:r>
              <w:rPr>
                <w:rFonts w:hint="eastAsia"/>
                <w:bCs/>
                <w:color w:val="000000" w:themeColor="text1"/>
                <w:sz w:val="24"/>
                <w14:textFill>
                  <w14:solidFill>
                    <w14:schemeClr w14:val="tx1"/>
                  </w14:solidFill>
                </w14:textFill>
              </w:rPr>
              <w:t>空气质量状况统计表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21"/>
              <w:gridCol w:w="1250"/>
              <w:gridCol w:w="2747"/>
              <w:gridCol w:w="1197"/>
              <w:gridCol w:w="1197"/>
              <w:gridCol w:w="884"/>
              <w:gridCol w:w="8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地区</w:t>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年评价指标</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浓度值</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标准值</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占标率</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海西蒙古族藏族自治州</w:t>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18.3</w:t>
                  </w:r>
                  <w:r>
                    <w:rPr>
                      <w:rFonts w:hint="eastAsia"/>
                      <w:color w:val="000000" w:themeColor="text1"/>
                      <w:kern w:val="0"/>
                      <w:szCs w:val="21"/>
                      <w14:textFill>
                        <w14:solidFill>
                          <w14:schemeClr w14:val="tx1"/>
                        </w14:solidFill>
                      </w14:textFill>
                    </w:rPr>
                    <w:t>%</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13</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32.5</w:t>
                  </w:r>
                  <w:r>
                    <w:rPr>
                      <w:rFonts w:hint="eastAsia"/>
                      <w:color w:val="000000" w:themeColor="text1"/>
                      <w:kern w:val="0"/>
                      <w:szCs w:val="21"/>
                      <w14:textFill>
                        <w14:solidFill>
                          <w14:schemeClr w14:val="tx1"/>
                        </w14:solidFill>
                      </w14:textFill>
                    </w:rPr>
                    <w:t>%</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55.7</w:t>
                  </w:r>
                  <w:r>
                    <w:rPr>
                      <w:rFonts w:hint="eastAsia"/>
                      <w:color w:val="000000" w:themeColor="text1"/>
                      <w:kern w:val="0"/>
                      <w:szCs w:val="21"/>
                      <w14:textFill>
                        <w14:solidFill>
                          <w14:schemeClr w14:val="tx1"/>
                        </w14:solidFill>
                      </w14:textFill>
                    </w:rPr>
                    <w:t>%</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12</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34.3</w:t>
                  </w:r>
                  <w:r>
                    <w:rPr>
                      <w:rFonts w:hint="eastAsia"/>
                      <w:color w:val="000000" w:themeColor="text1"/>
                      <w:kern w:val="0"/>
                      <w:szCs w:val="21"/>
                      <w14:textFill>
                        <w14:solidFill>
                          <w14:schemeClr w14:val="tx1"/>
                        </w14:solidFill>
                      </w14:textFill>
                    </w:rPr>
                    <w:t>%</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0.7</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17.5%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130</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81.3%</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酒泉市</w:t>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13.3%</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21</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52.5%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65</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92.9%</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68.6%</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22.5%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124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77.5%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"https://baike.baidu.com/item/%E5%B7%B4%E9%9F%B3%E9%83%AD%E6%A5%9E%E8%92%99%E5%8F%A4%E8%87%AA%E6%B2%BB%E5%B7%9E/5310284" \t "https://baike.baidu.com/item/%E8%8B%A5%E7%BE%8C%E5%8E%BF/_blank" </w:instrText>
                  </w:r>
                  <w:r>
                    <w:rPr>
                      <w:color w:val="000000" w:themeColor="text1"/>
                      <w14:textFill>
                        <w14:solidFill>
                          <w14:schemeClr w14:val="tx1"/>
                        </w14:solidFill>
                      </w14:textFill>
                    </w:rPr>
                    <w:fldChar w:fldCharType="separate"/>
                  </w:r>
                  <w:r>
                    <w:rPr>
                      <w:rFonts w:hint="eastAsia"/>
                      <w:color w:val="000000" w:themeColor="text1"/>
                      <w:szCs w:val="21"/>
                      <w14:textFill>
                        <w14:solidFill>
                          <w14:schemeClr w14:val="tx1"/>
                        </w14:solidFill>
                      </w14:textFill>
                    </w:rPr>
                    <w:t>巴音郭楞蒙古自治州</w:t>
                  </w:r>
                  <w:r>
                    <w:rPr>
                      <w:rFonts w:hint="eastAsia"/>
                      <w:color w:val="000000" w:themeColor="text1"/>
                      <w:szCs w:val="21"/>
                      <w14:textFill>
                        <w14:solidFill>
                          <w14:schemeClr w14:val="tx1"/>
                        </w14:solidFill>
                      </w14:textFill>
                    </w:rPr>
                    <w:fldChar w:fldCharType="end"/>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8.3%</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50.0%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112.9%</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31</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88.6%</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25.0%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shd w:val="clear" w:color="auto" w:fill="auto"/>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71.3%</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达标</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根据上述统计结果，海西蒙古族藏族自治州和酒泉市20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年环境空气质量均满足《环境空气质量标准》（GB3095-2012）中二级标准限值。</w:t>
            </w: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HYPERLINK "https://baike.baidu.com/item/%E5%B7%B4%E9%9F%B3%E9%83%AD%E6%A5%9E%E8%92%99%E5%8F%A4%E8%87%AA%E6%B2%BB%E5%B7%9E/5310284" \t "https://baike.baidu.com/item/%E8%8B%A5%E7%BE%8C%E5%8E%BF/_blank"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巴音郭楞蒙古自治州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年环境空气质量PM</w:t>
            </w:r>
            <w:r>
              <w:rPr>
                <w:rFonts w:hint="eastAsia"/>
                <w:color w:val="000000" w:themeColor="text1"/>
                <w:sz w:val="24"/>
                <w:vertAlign w:val="subscript"/>
                <w14:textFill>
                  <w14:solidFill>
                    <w14:schemeClr w14:val="tx1"/>
                  </w14:solidFill>
                </w14:textFill>
              </w:rPr>
              <w:t>10</w:t>
            </w:r>
            <w:r>
              <w:rPr>
                <w:rFonts w:hint="eastAsia"/>
                <w:color w:val="000000" w:themeColor="text1"/>
                <w:sz w:val="24"/>
                <w14:textFill>
                  <w14:solidFill>
                    <w14:schemeClr w14:val="tx1"/>
                  </w14:solidFill>
                </w14:textFill>
              </w:rPr>
              <w:t>年平均浓度超过《环境空气质量标准》（GB3095-2012）中二级标准限值。</w:t>
            </w:r>
          </w:p>
          <w:p>
            <w:pPr>
              <w:pStyle w:val="19"/>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根据《环境影响评价技术导则 大气环境》（HJ2.2-2018），海西蒙古族藏族自治州和酒泉市属于环境空气质量达标区；</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"https://baike.baidu.com/item/%E5%B7%B4%E9%9F%B3%E9%83%AD%E6%A5%9E%E8%92%99%E5%8F%A4%E8%87%AA%E6%B2%BB%E5%B7%9E/5310284" \t "https://baike.baidu.com/item/%E8%8B%A5%E7%BE%8C%E5%8E%BF/_blank"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巴音郭楞蒙古自治州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属于环境空气质量不达标区。</w:t>
            </w:r>
          </w:p>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2</w:t>
            </w:r>
            <w:r>
              <w:rPr>
                <w:rFonts w:hint="eastAsia"/>
                <w:b/>
                <w:bCs/>
                <w:color w:val="000000" w:themeColor="text1"/>
                <w:sz w:val="24"/>
                <w:lang w:eastAsia="zh-CN"/>
                <w14:textFill>
                  <w14:solidFill>
                    <w14:schemeClr w14:val="tx1"/>
                  </w14:solidFill>
                </w14:textFill>
              </w:rPr>
              <w:t>、</w:t>
            </w:r>
            <w:r>
              <w:rPr>
                <w:rFonts w:hint="eastAsia"/>
                <w:b/>
                <w:bCs/>
                <w:color w:val="000000" w:themeColor="text1"/>
                <w:sz w:val="24"/>
                <w14:textFill>
                  <w14:solidFill>
                    <w14:schemeClr w14:val="tx1"/>
                  </w14:solidFill>
                </w14:textFill>
              </w:rPr>
              <w:t>声环境质量现状</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年青海省生态环境状况公报》，海西蒙古族藏族自治州区域声环境平均等效声级为50.2dB（A），</w:t>
            </w:r>
            <w:r>
              <w:rPr>
                <w:rFonts w:ascii="宋体" w:hAnsi="宋体" w:cs="宋体"/>
                <w:color w:val="000000" w:themeColor="text1"/>
                <w:sz w:val="24"/>
                <w14:textFill>
                  <w14:solidFill>
                    <w14:schemeClr w14:val="tx1"/>
                  </w14:solidFill>
                </w14:textFill>
              </w:rPr>
              <w:t>区域声环境质量等级为“较好”</w:t>
            </w:r>
            <w:r>
              <w:rPr>
                <w:rFonts w:hint="eastAsia" w:ascii="宋体" w:hAnsi="宋体" w:cs="宋体"/>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城市昼间环境噪声均满足GB3096-2008《声环境质量标准》2类区标准限值要求。</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根据《2020年甘肃省生态环境状况公报》，酒泉市区域声环境平均等效声级为51.7dB（A），城市昼间环境噪声均满足GB3096-2008《声环境质量标准》2类区标准限值要求。</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2020年新疆维吾尔自治区生态环境状况公报》，2020年全区城市区域、道路交通、功能区声环境质量保持稳定。监测的18个城市昼间区域声环境质量为一级的城市占33.3%；二级较好的城市占44.5%，三级一般的城市占22.2%，无四级（较差）的城市。城市功能区昼间达标率为93.5%，夜间达标率为83.6%。</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内人员稀少，其环境噪声基本处于处于背景状态，区域声环境质量良好。</w:t>
            </w:r>
          </w:p>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3</w:t>
            </w:r>
            <w:r>
              <w:rPr>
                <w:rFonts w:hint="eastAsia"/>
                <w:b/>
                <w:bCs/>
                <w:color w:val="000000" w:themeColor="text1"/>
                <w:sz w:val="24"/>
                <w:lang w:eastAsia="zh-CN"/>
                <w14:textFill>
                  <w14:solidFill>
                    <w14:schemeClr w14:val="tx1"/>
                  </w14:solidFill>
                </w14:textFill>
              </w:rPr>
              <w:t>、</w:t>
            </w:r>
            <w:r>
              <w:rPr>
                <w:rFonts w:hint="eastAsia"/>
                <w:b/>
                <w:bCs/>
                <w:color w:val="000000" w:themeColor="text1"/>
                <w:sz w:val="24"/>
                <w14:textFill>
                  <w14:solidFill>
                    <w14:schemeClr w14:val="tx1"/>
                  </w14:solidFill>
                </w14:textFill>
              </w:rPr>
              <w:t>辐射环境质量现状</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GB"/>
                <w14:textFill>
                  <w14:solidFill>
                    <w14:schemeClr w14:val="tx1"/>
                  </w14:solidFill>
                </w14:textFill>
              </w:rPr>
              <w:t>柴达木盆地阿拉尔—苏干湖地区铀矿资源调查评价与勘查</w:t>
            </w:r>
            <w:r>
              <w:rPr>
                <w:rFonts w:hint="eastAsia"/>
                <w:color w:val="000000" w:themeColor="text1"/>
                <w:sz w:val="24"/>
                <w14:textFill>
                  <w14:solidFill>
                    <w14:schemeClr w14:val="tx1"/>
                  </w14:solidFill>
                </w14:textFill>
              </w:rPr>
              <w:t>项目</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地跨</w:t>
            </w:r>
            <w:r>
              <w:rPr>
                <w:rFonts w:hint="eastAsia"/>
                <w:color w:val="000000" w:themeColor="text1"/>
                <w:sz w:val="24"/>
                <w:lang w:eastAsia="zh-CN"/>
                <w14:textFill>
                  <w14:solidFill>
                    <w14:schemeClr w14:val="tx1"/>
                  </w14:solidFill>
                </w14:textFill>
              </w:rPr>
              <w:t>青海省海西蒙古族藏族自治州</w:t>
            </w:r>
            <w:r>
              <w:rPr>
                <w:rFonts w:hint="eastAsia"/>
                <w:color w:val="000000" w:themeColor="text1"/>
                <w:sz w:val="24"/>
                <w14:textFill>
                  <w14:solidFill>
                    <w14:schemeClr w14:val="tx1"/>
                  </w14:solidFill>
                </w14:textFill>
              </w:rPr>
              <w:t>、</w:t>
            </w:r>
            <w:r>
              <w:rPr>
                <w:rFonts w:hint="eastAsia"/>
                <w:color w:val="000000" w:themeColor="text1"/>
                <w:sz w:val="24"/>
                <w:lang w:eastAsia="zh-CN"/>
                <w14:textFill>
                  <w14:solidFill>
                    <w14:schemeClr w14:val="tx1"/>
                  </w14:solidFill>
                </w14:textFill>
              </w:rPr>
              <w:t>甘肃省阿克塞哈萨克族自治县</w:t>
            </w:r>
            <w:r>
              <w:rPr>
                <w:rFonts w:hint="eastAsia"/>
                <w:color w:val="000000" w:themeColor="text1"/>
                <w:sz w:val="24"/>
                <w14:textFill>
                  <w14:solidFill>
                    <w14:schemeClr w14:val="tx1"/>
                  </w14:solidFill>
                </w14:textFill>
              </w:rPr>
              <w:t>、新疆维吾尔自治区若羌县三大区域。本</w:t>
            </w:r>
            <w:r>
              <w:rPr>
                <w:color w:val="000000" w:themeColor="text1"/>
                <w:sz w:val="24"/>
                <w14:textFill>
                  <w14:solidFill>
                    <w14:schemeClr w14:val="tx1"/>
                  </w14:solidFill>
                </w14:textFill>
              </w:rPr>
              <w:t>项目所在区域环境质量现状数据来源于《中国环境天然放射性水平》（2015版，中国原子能出版社）。</w:t>
            </w:r>
          </w:p>
          <w:p>
            <w:pPr>
              <w:pStyle w:val="19"/>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w:t>
            </w:r>
            <w:r>
              <w:rPr>
                <w:color w:val="000000" w:themeColor="text1"/>
                <w:sz w:val="24"/>
                <w14:textFill>
                  <w14:solidFill>
                    <w14:schemeClr w14:val="tx1"/>
                  </w14:solidFill>
                </w14:textFill>
              </w:rPr>
              <w:t>天然贯穿辐射剂量率</w:t>
            </w:r>
          </w:p>
          <w:p>
            <w:pPr>
              <w:pStyle w:val="19"/>
              <w:spacing w:line="360" w:lineRule="auto"/>
              <w:ind w:firstLine="480"/>
              <w:rPr>
                <w:color w:val="000000" w:themeColor="text1"/>
                <w:sz w:val="24"/>
                <w14:textFill>
                  <w14:solidFill>
                    <w14:schemeClr w14:val="tx1"/>
                  </w14:solidFill>
                </w14:textFill>
              </w:rPr>
            </w:pPr>
            <w:r>
              <w:rPr>
                <w:rFonts w:hint="eastAsia" w:ascii="宋体" w:hAnsi="宋体" w:cs="宋体"/>
                <w:color w:val="000000" w:themeColor="text1"/>
                <w:sz w:val="24"/>
                <w:lang w:bidi="en-US"/>
                <w14:textFill>
                  <w14:solidFill>
                    <w14:schemeClr w14:val="tx1"/>
                  </w14:solidFill>
                </w14:textFill>
              </w:rPr>
              <w:t>本项目</w:t>
            </w:r>
            <w:r>
              <w:rPr>
                <w:rFonts w:hint="eastAsia" w:ascii="宋体" w:hAnsi="宋体" w:cs="宋体"/>
                <w:color w:val="000000" w:themeColor="text1"/>
                <w:sz w:val="24"/>
                <w:lang w:eastAsia="zh-CN" w:bidi="en-US"/>
                <w14:textFill>
                  <w14:solidFill>
                    <w14:schemeClr w14:val="tx1"/>
                  </w14:solidFill>
                </w14:textFill>
              </w:rPr>
              <w:t>勘查区</w:t>
            </w:r>
            <w:r>
              <w:rPr>
                <w:rFonts w:hint="eastAsia" w:ascii="宋体" w:hAnsi="宋体" w:cs="宋体"/>
                <w:color w:val="000000" w:themeColor="text1"/>
                <w:sz w:val="24"/>
                <w:lang w:bidi="en-US"/>
                <w14:textFill>
                  <w14:solidFill>
                    <w14:schemeClr w14:val="tx1"/>
                  </w14:solidFill>
                </w14:textFill>
              </w:rPr>
              <w:t>地处</w:t>
            </w:r>
            <w:r>
              <w:rPr>
                <w:rFonts w:hint="eastAsia"/>
                <w:color w:val="000000" w:themeColor="text1"/>
                <w:sz w:val="24"/>
                <w:lang w:eastAsia="zh-CN"/>
                <w14:textFill>
                  <w14:solidFill>
                    <w14:schemeClr w14:val="tx1"/>
                  </w14:solidFill>
                </w14:textFill>
              </w:rPr>
              <w:t>青海省海西蒙古族藏族自治州</w:t>
            </w:r>
            <w:r>
              <w:rPr>
                <w:rFonts w:hint="eastAsia"/>
                <w:color w:val="000000" w:themeColor="text1"/>
                <w:sz w:val="24"/>
                <w14:textFill>
                  <w14:solidFill>
                    <w14:schemeClr w14:val="tx1"/>
                  </w14:solidFill>
                </w14:textFill>
              </w:rPr>
              <w:t>、</w:t>
            </w:r>
            <w:r>
              <w:rPr>
                <w:rFonts w:hint="eastAsia"/>
                <w:color w:val="000000" w:themeColor="text1"/>
                <w:sz w:val="24"/>
                <w:lang w:eastAsia="zh-CN"/>
                <w14:textFill>
                  <w14:solidFill>
                    <w14:schemeClr w14:val="tx1"/>
                  </w14:solidFill>
                </w14:textFill>
              </w:rPr>
              <w:t>甘肃省阿克塞哈萨克族自治县</w:t>
            </w:r>
            <w:r>
              <w:rPr>
                <w:rFonts w:hint="eastAsia"/>
                <w:color w:val="000000" w:themeColor="text1"/>
                <w:sz w:val="24"/>
                <w14:textFill>
                  <w14:solidFill>
                    <w14:schemeClr w14:val="tx1"/>
                  </w14:solidFill>
                </w14:textFill>
              </w:rPr>
              <w:t>（隶属于酒泉地区）、新疆维吾尔自治区若羌县（隶属于巴州</w:t>
            </w:r>
            <w:r>
              <w:rPr>
                <w:color w:val="000000" w:themeColor="text1"/>
                <w:sz w:val="24"/>
                <w14:textFill>
                  <w14:solidFill>
                    <w14:schemeClr w14:val="tx1"/>
                  </w14:solidFill>
                </w14:textFill>
              </w:rPr>
              <w:t>地区</w:t>
            </w:r>
            <w:r>
              <w:rPr>
                <w:rFonts w:hint="eastAsia"/>
                <w:color w:val="000000" w:themeColor="text1"/>
                <w:sz w:val="24"/>
                <w14:textFill>
                  <w14:solidFill>
                    <w14:schemeClr w14:val="tx1"/>
                  </w14:solidFill>
                </w14:textFill>
              </w:rPr>
              <w:t>）三大区域，</w:t>
            </w:r>
            <w:r>
              <w:rPr>
                <w:color w:val="000000" w:themeColor="text1"/>
                <w:sz w:val="24"/>
                <w14:textFill>
                  <w14:solidFill>
                    <w14:schemeClr w14:val="tx1"/>
                  </w14:solidFill>
                </w14:textFill>
              </w:rPr>
              <w:t>根据</w:t>
            </w:r>
            <w:r>
              <w:rPr>
                <w:rFonts w:hint="eastAsia"/>
                <w:color w:val="000000" w:themeColor="text1"/>
                <w:sz w:val="24"/>
                <w14:textFill>
                  <w14:solidFill>
                    <w14:schemeClr w14:val="tx1"/>
                  </w14:solidFill>
                </w14:textFill>
              </w:rPr>
              <w:t>青海海西地区、甘肃酒泉地区、</w:t>
            </w:r>
            <w:r>
              <w:rPr>
                <w:color w:val="000000" w:themeColor="text1"/>
                <w:sz w:val="24"/>
                <w14:textFill>
                  <w14:solidFill>
                    <w14:schemeClr w14:val="tx1"/>
                  </w14:solidFill>
                </w14:textFill>
              </w:rPr>
              <w:t>新疆</w:t>
            </w:r>
            <w:r>
              <w:rPr>
                <w:rFonts w:hint="eastAsia"/>
                <w:color w:val="000000" w:themeColor="text1"/>
                <w:sz w:val="24"/>
                <w14:textFill>
                  <w14:solidFill>
                    <w14:schemeClr w14:val="tx1"/>
                  </w14:solidFill>
                </w14:textFill>
              </w:rPr>
              <w:t>巴州</w:t>
            </w:r>
            <w:r>
              <w:rPr>
                <w:color w:val="000000" w:themeColor="text1"/>
                <w:sz w:val="24"/>
                <w14:textFill>
                  <w14:solidFill>
                    <w14:schemeClr w14:val="tx1"/>
                  </w14:solidFill>
                </w14:textFill>
              </w:rPr>
              <w:t>地区环境天然贯穿辐射水平调查结果（数据来源于《中国环境天然放射性水平》（2015版），</w:t>
            </w:r>
            <w:r>
              <w:rPr>
                <w:rFonts w:hint="eastAsia"/>
                <w:color w:val="000000" w:themeColor="text1"/>
                <w:sz w:val="24"/>
                <w:lang w:eastAsia="zh-CN"/>
                <w14:textFill>
                  <w14:solidFill>
                    <w14:schemeClr w14:val="tx1"/>
                  </w14:solidFill>
                </w14:textFill>
              </w:rPr>
              <w:t>青海省海西蒙古族藏族自治州</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为144.8nGy/h，室内天然贯穿辐射剂量率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为184.1nGy/h</w:t>
            </w:r>
            <w:r>
              <w:rPr>
                <w:rFonts w:hint="eastAsia"/>
                <w:color w:val="000000" w:themeColor="text1"/>
                <w:sz w:val="24"/>
                <w14:textFill>
                  <w14:solidFill>
                    <w14:schemeClr w14:val="tx1"/>
                  </w14:solidFill>
                </w14:textFill>
              </w:rPr>
              <w:t>；</w:t>
            </w:r>
            <w:r>
              <w:rPr>
                <w:rFonts w:hint="eastAsia"/>
                <w:color w:val="000000" w:themeColor="text1"/>
                <w:sz w:val="24"/>
                <w:lang w:eastAsia="zh-CN"/>
                <w14:textFill>
                  <w14:solidFill>
                    <w14:schemeClr w14:val="tx1"/>
                  </w14:solidFill>
                </w14:textFill>
              </w:rPr>
              <w:t>甘肃省阿克塞哈萨克族自治县</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为104.3nGy/h，室内天然贯穿辐射剂量率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为132.2nGy/h</w:t>
            </w:r>
            <w:r>
              <w:rPr>
                <w:rFonts w:hint="eastAsia"/>
                <w:color w:val="000000" w:themeColor="text1"/>
                <w:sz w:val="24"/>
                <w14:textFill>
                  <w14:solidFill>
                    <w14:schemeClr w14:val="tx1"/>
                  </w14:solidFill>
                </w14:textFill>
              </w:rPr>
              <w:t>；新疆维吾尔自治区若羌县</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为110.2nGy/h，室内天然贯穿辐射剂量率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为151.5nGy/h</w:t>
            </w:r>
            <w:r>
              <w:rPr>
                <w:rFonts w:hint="eastAsia"/>
                <w:color w:val="000000" w:themeColor="text1"/>
                <w:sz w:val="24"/>
                <w14:textFill>
                  <w14:solidFill>
                    <w14:schemeClr w14:val="tx1"/>
                  </w14:solidFill>
                </w14:textFill>
              </w:rPr>
              <w:t>。</w:t>
            </w:r>
          </w:p>
          <w:p>
            <w:pPr>
              <w:adjustRightInd w:val="0"/>
              <w:snapToGrid w:val="0"/>
              <w:spacing w:line="240" w:lineRule="auto"/>
              <w:jc w:val="center"/>
              <w:rPr>
                <w:b w:val="0"/>
                <w:bCs/>
                <w:color w:val="000000" w:themeColor="text1"/>
                <w:sz w:val="24"/>
                <w14:textFill>
                  <w14:solidFill>
                    <w14:schemeClr w14:val="tx1"/>
                  </w14:solidFill>
                </w14:textFill>
              </w:rPr>
            </w:pPr>
            <w:r>
              <w:rPr>
                <w:b w:val="0"/>
                <w:bCs/>
                <w:color w:val="000000" w:themeColor="text1"/>
                <w:sz w:val="24"/>
                <w14:textFill>
                  <w14:solidFill>
                    <w14:schemeClr w14:val="tx1"/>
                  </w14:solidFill>
                </w14:textFill>
              </w:rPr>
              <w:t>表5-</w:t>
            </w:r>
            <w:r>
              <w:rPr>
                <w:rFonts w:hint="eastAsia"/>
                <w:b w:val="0"/>
                <w:bCs/>
                <w:color w:val="000000" w:themeColor="text1"/>
                <w:sz w:val="24"/>
                <w:lang w:val="en-US" w:eastAsia="zh-CN"/>
                <w14:textFill>
                  <w14:solidFill>
                    <w14:schemeClr w14:val="tx1"/>
                  </w14:solidFill>
                </w14:textFill>
              </w:rPr>
              <w:t>2</w:t>
            </w:r>
            <w:r>
              <w:rPr>
                <w:b w:val="0"/>
                <w:bCs/>
                <w:color w:val="000000" w:themeColor="text1"/>
                <w:sz w:val="24"/>
                <w14:textFill>
                  <w14:solidFill>
                    <w14:schemeClr w14:val="tx1"/>
                  </w14:solidFill>
                </w14:textFill>
              </w:rPr>
              <w:t xml:space="preserve">  项目</w:t>
            </w:r>
            <w:r>
              <w:rPr>
                <w:rFonts w:hint="eastAsia"/>
                <w:b w:val="0"/>
                <w:bCs/>
                <w:color w:val="000000" w:themeColor="text1"/>
                <w:sz w:val="24"/>
                <w:lang w:eastAsia="zh-CN"/>
                <w14:textFill>
                  <w14:solidFill>
                    <w14:schemeClr w14:val="tx1"/>
                  </w14:solidFill>
                </w14:textFill>
              </w:rPr>
              <w:t>勘查区</w:t>
            </w:r>
            <w:r>
              <w:rPr>
                <w:b w:val="0"/>
                <w:bCs/>
                <w:color w:val="000000" w:themeColor="text1"/>
                <w:sz w:val="24"/>
                <w14:textFill>
                  <w14:solidFill>
                    <w14:schemeClr w14:val="tx1"/>
                  </w14:solidFill>
                </w14:textFill>
              </w:rPr>
              <w:t>天然贯穿辐射剂量率  nGy/h</w:t>
            </w:r>
          </w:p>
          <w:tbl>
            <w:tblPr>
              <w:tblStyle w:val="12"/>
              <w:tblW w:w="957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87"/>
              <w:gridCol w:w="1172"/>
              <w:gridCol w:w="1172"/>
              <w:gridCol w:w="1547"/>
              <w:gridCol w:w="1293"/>
              <w:gridCol w:w="1543"/>
              <w:gridCol w:w="1540"/>
              <w:gridCol w:w="62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33" w:hRule="atLeast"/>
                <w:tblHeader/>
                <w:jc w:val="center"/>
              </w:trPr>
              <w:tc>
                <w:tcPr>
                  <w:tcW w:w="359"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序号</w:t>
                  </w:r>
                </w:p>
              </w:tc>
              <w:tc>
                <w:tcPr>
                  <w:tcW w:w="612" w:type="pct"/>
                  <w:vMerge w:val="restart"/>
                  <w:vAlign w:val="center"/>
                </w:tcPr>
                <w:p>
                  <w:pPr>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省份</w:t>
                  </w:r>
                </w:p>
              </w:tc>
              <w:tc>
                <w:tcPr>
                  <w:tcW w:w="612"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区域</w:t>
                  </w:r>
                </w:p>
              </w:tc>
              <w:tc>
                <w:tcPr>
                  <w:tcW w:w="3093" w:type="pct"/>
                  <w:gridSpan w:val="4"/>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天然贯穿辐射剂量率调查结果</w:t>
                  </w:r>
                </w:p>
              </w:tc>
              <w:tc>
                <w:tcPr>
                  <w:tcW w:w="324"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说明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atLeast"/>
                <w:tblHeader/>
                <w:jc w:val="center"/>
              </w:trPr>
              <w:tc>
                <w:tcPr>
                  <w:tcW w:w="359" w:type="pct"/>
                  <w:vMerge w:val="continue"/>
                  <w:vAlign w:val="center"/>
                </w:tcPr>
                <w:p>
                  <w:pPr>
                    <w:jc w:val="center"/>
                    <w:rPr>
                      <w:b w:val="0"/>
                      <w:bCs/>
                      <w:color w:val="000000" w:themeColor="text1"/>
                      <w:sz w:val="21"/>
                      <w:szCs w:val="21"/>
                      <w14:textFill>
                        <w14:solidFill>
                          <w14:schemeClr w14:val="tx1"/>
                        </w14:solidFill>
                      </w14:textFill>
                    </w:rPr>
                  </w:pPr>
                </w:p>
              </w:tc>
              <w:tc>
                <w:tcPr>
                  <w:tcW w:w="612" w:type="pct"/>
                  <w:vMerge w:val="continue"/>
                  <w:vAlign w:val="center"/>
                </w:tcPr>
                <w:p>
                  <w:pPr>
                    <w:jc w:val="center"/>
                    <w:rPr>
                      <w:b w:val="0"/>
                      <w:bCs/>
                      <w:color w:val="000000" w:themeColor="text1"/>
                      <w:sz w:val="21"/>
                      <w:szCs w:val="21"/>
                      <w14:textFill>
                        <w14:solidFill>
                          <w14:schemeClr w14:val="tx1"/>
                        </w14:solidFill>
                      </w14:textFill>
                    </w:rPr>
                  </w:pPr>
                </w:p>
              </w:tc>
              <w:tc>
                <w:tcPr>
                  <w:tcW w:w="612" w:type="pct"/>
                  <w:vMerge w:val="continue"/>
                  <w:vAlign w:val="center"/>
                </w:tcPr>
                <w:p>
                  <w:pPr>
                    <w:jc w:val="center"/>
                    <w:rPr>
                      <w:b w:val="0"/>
                      <w:bCs/>
                      <w:color w:val="000000" w:themeColor="text1"/>
                      <w:sz w:val="21"/>
                      <w:szCs w:val="21"/>
                      <w14:textFill>
                        <w14:solidFill>
                          <w14:schemeClr w14:val="tx1"/>
                        </w14:solidFill>
                      </w14:textFill>
                    </w:rPr>
                  </w:pPr>
                </w:p>
              </w:tc>
              <w:tc>
                <w:tcPr>
                  <w:tcW w:w="1483" w:type="pct"/>
                  <w:gridSpan w:val="2"/>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室外</w:t>
                  </w:r>
                </w:p>
              </w:tc>
              <w:tc>
                <w:tcPr>
                  <w:tcW w:w="1610" w:type="pct"/>
                  <w:gridSpan w:val="2"/>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室内</w:t>
                  </w:r>
                </w:p>
              </w:tc>
              <w:tc>
                <w:tcPr>
                  <w:tcW w:w="324" w:type="pct"/>
                  <w:vMerge w:val="continue"/>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7" w:hRule="atLeast"/>
                <w:tblHeader/>
                <w:jc w:val="center"/>
              </w:trPr>
              <w:tc>
                <w:tcPr>
                  <w:tcW w:w="359" w:type="pct"/>
                  <w:vMerge w:val="continue"/>
                  <w:vAlign w:val="center"/>
                </w:tcPr>
                <w:p>
                  <w:pPr>
                    <w:jc w:val="center"/>
                    <w:rPr>
                      <w:b w:val="0"/>
                      <w:bCs/>
                      <w:color w:val="000000" w:themeColor="text1"/>
                      <w:sz w:val="21"/>
                      <w:szCs w:val="21"/>
                      <w14:textFill>
                        <w14:solidFill>
                          <w14:schemeClr w14:val="tx1"/>
                        </w14:solidFill>
                      </w14:textFill>
                    </w:rPr>
                  </w:pPr>
                </w:p>
              </w:tc>
              <w:tc>
                <w:tcPr>
                  <w:tcW w:w="612" w:type="pct"/>
                  <w:vMerge w:val="continue"/>
                  <w:vAlign w:val="center"/>
                </w:tcPr>
                <w:p>
                  <w:pPr>
                    <w:jc w:val="center"/>
                    <w:rPr>
                      <w:b w:val="0"/>
                      <w:bCs/>
                      <w:color w:val="000000" w:themeColor="text1"/>
                      <w:sz w:val="21"/>
                      <w:szCs w:val="21"/>
                      <w14:textFill>
                        <w14:solidFill>
                          <w14:schemeClr w14:val="tx1"/>
                        </w14:solidFill>
                      </w14:textFill>
                    </w:rPr>
                  </w:pPr>
                </w:p>
              </w:tc>
              <w:tc>
                <w:tcPr>
                  <w:tcW w:w="612" w:type="pct"/>
                  <w:vMerge w:val="continue"/>
                  <w:vAlign w:val="center"/>
                </w:tcPr>
                <w:p>
                  <w:pPr>
                    <w:jc w:val="center"/>
                    <w:rPr>
                      <w:b w:val="0"/>
                      <w:bCs/>
                      <w:color w:val="000000" w:themeColor="text1"/>
                      <w:sz w:val="21"/>
                      <w:szCs w:val="21"/>
                      <w14:textFill>
                        <w14:solidFill>
                          <w14:schemeClr w14:val="tx1"/>
                        </w14:solidFill>
                      </w14:textFill>
                    </w:rPr>
                  </w:pPr>
                </w:p>
              </w:tc>
              <w:tc>
                <w:tcPr>
                  <w:tcW w:w="808"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均 值</w:t>
                  </w:r>
                </w:p>
              </w:tc>
              <w:tc>
                <w:tcPr>
                  <w:tcW w:w="675"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标准差</w:t>
                  </w:r>
                </w:p>
              </w:tc>
              <w:tc>
                <w:tcPr>
                  <w:tcW w:w="806"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均 值</w:t>
                  </w:r>
                </w:p>
              </w:tc>
              <w:tc>
                <w:tcPr>
                  <w:tcW w:w="804"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标准差</w:t>
                  </w:r>
                </w:p>
              </w:tc>
              <w:tc>
                <w:tcPr>
                  <w:tcW w:w="324" w:type="pct"/>
                  <w:vMerge w:val="continue"/>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359"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w:t>
                  </w:r>
                </w:p>
              </w:tc>
              <w:tc>
                <w:tcPr>
                  <w:tcW w:w="612"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青海</w:t>
                  </w:r>
                </w:p>
              </w:tc>
              <w:tc>
                <w:tcPr>
                  <w:tcW w:w="612"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海西蒙古族藏族自治州</w:t>
                  </w:r>
                </w:p>
              </w:tc>
              <w:tc>
                <w:tcPr>
                  <w:tcW w:w="80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44.8</w:t>
                  </w:r>
                </w:p>
              </w:tc>
              <w:tc>
                <w:tcPr>
                  <w:tcW w:w="67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3</w:t>
                  </w:r>
                  <w:r>
                    <w:rPr>
                      <w:b w:val="0"/>
                      <w:bCs/>
                      <w:color w:val="000000" w:themeColor="text1"/>
                      <w:sz w:val="21"/>
                      <w:szCs w:val="21"/>
                      <w14:textFill>
                        <w14:solidFill>
                          <w14:schemeClr w14:val="tx1"/>
                        </w14:solidFill>
                      </w14:textFill>
                    </w:rPr>
                    <w:t>0.5</w:t>
                  </w:r>
                </w:p>
              </w:tc>
              <w:tc>
                <w:tcPr>
                  <w:tcW w:w="806"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84.1</w:t>
                  </w:r>
                </w:p>
              </w:tc>
              <w:tc>
                <w:tcPr>
                  <w:tcW w:w="804"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2</w:t>
                  </w:r>
                  <w:r>
                    <w:rPr>
                      <w:b w:val="0"/>
                      <w:bCs/>
                      <w:color w:val="000000" w:themeColor="text1"/>
                      <w:sz w:val="21"/>
                      <w:szCs w:val="21"/>
                      <w14:textFill>
                        <w14:solidFill>
                          <w14:schemeClr w14:val="tx1"/>
                        </w14:solidFill>
                      </w14:textFill>
                    </w:rPr>
                    <w:t>8.2</w:t>
                  </w:r>
                </w:p>
              </w:tc>
              <w:tc>
                <w:tcPr>
                  <w:tcW w:w="324" w:type="pct"/>
                  <w:vAlign w:val="center"/>
                </w:tcPr>
                <w:p>
                  <w:pPr>
                    <w:adjustRightInd w:val="0"/>
                    <w:snapToGrid w:val="0"/>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553" w:hRule="atLeast"/>
                <w:jc w:val="center"/>
              </w:trPr>
              <w:tc>
                <w:tcPr>
                  <w:tcW w:w="359"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2</w:t>
                  </w:r>
                </w:p>
              </w:tc>
              <w:tc>
                <w:tcPr>
                  <w:tcW w:w="612"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甘肃</w:t>
                  </w:r>
                </w:p>
              </w:tc>
              <w:tc>
                <w:tcPr>
                  <w:tcW w:w="612"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酒泉地区</w:t>
                  </w:r>
                </w:p>
              </w:tc>
              <w:tc>
                <w:tcPr>
                  <w:tcW w:w="80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04.3</w:t>
                  </w:r>
                </w:p>
              </w:tc>
              <w:tc>
                <w:tcPr>
                  <w:tcW w:w="67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3.9</w:t>
                  </w:r>
                </w:p>
              </w:tc>
              <w:tc>
                <w:tcPr>
                  <w:tcW w:w="806"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32.2</w:t>
                  </w:r>
                </w:p>
              </w:tc>
              <w:tc>
                <w:tcPr>
                  <w:tcW w:w="804"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2</w:t>
                  </w:r>
                  <w:r>
                    <w:rPr>
                      <w:b w:val="0"/>
                      <w:bCs/>
                      <w:color w:val="000000" w:themeColor="text1"/>
                      <w:sz w:val="21"/>
                      <w:szCs w:val="21"/>
                      <w14:textFill>
                        <w14:solidFill>
                          <w14:schemeClr w14:val="tx1"/>
                        </w14:solidFill>
                      </w14:textFill>
                    </w:rPr>
                    <w:t>1.2</w:t>
                  </w:r>
                </w:p>
              </w:tc>
              <w:tc>
                <w:tcPr>
                  <w:tcW w:w="324" w:type="pct"/>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359"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3</w:t>
                  </w:r>
                </w:p>
              </w:tc>
              <w:tc>
                <w:tcPr>
                  <w:tcW w:w="612"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新疆</w:t>
                  </w:r>
                </w:p>
              </w:tc>
              <w:tc>
                <w:tcPr>
                  <w:tcW w:w="612"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巴音郭楞蒙古自治州</w:t>
                  </w:r>
                </w:p>
              </w:tc>
              <w:tc>
                <w:tcPr>
                  <w:tcW w:w="80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10.2</w:t>
                  </w:r>
                </w:p>
              </w:tc>
              <w:tc>
                <w:tcPr>
                  <w:tcW w:w="67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2</w:t>
                  </w:r>
                  <w:r>
                    <w:rPr>
                      <w:b w:val="0"/>
                      <w:bCs/>
                      <w:color w:val="000000" w:themeColor="text1"/>
                      <w:sz w:val="21"/>
                      <w:szCs w:val="21"/>
                      <w14:textFill>
                        <w14:solidFill>
                          <w14:schemeClr w14:val="tx1"/>
                        </w14:solidFill>
                      </w14:textFill>
                    </w:rPr>
                    <w:t>0.4</w:t>
                  </w:r>
                </w:p>
              </w:tc>
              <w:tc>
                <w:tcPr>
                  <w:tcW w:w="806"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51.5</w:t>
                  </w:r>
                </w:p>
              </w:tc>
              <w:tc>
                <w:tcPr>
                  <w:tcW w:w="804"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8.7</w:t>
                  </w:r>
                </w:p>
              </w:tc>
              <w:tc>
                <w:tcPr>
                  <w:tcW w:w="324" w:type="pct"/>
                  <w:vAlign w:val="center"/>
                </w:tcPr>
                <w:p>
                  <w:pPr>
                    <w:jc w:val="center"/>
                    <w:rPr>
                      <w:b w:val="0"/>
                      <w:bCs/>
                      <w:color w:val="000000" w:themeColor="text1"/>
                      <w:sz w:val="21"/>
                      <w:szCs w:val="21"/>
                      <w14:textFill>
                        <w14:solidFill>
                          <w14:schemeClr w14:val="tx1"/>
                        </w14:solidFill>
                      </w14:textFill>
                    </w:rPr>
                  </w:pPr>
                </w:p>
              </w:tc>
            </w:tr>
          </w:tbl>
          <w:p>
            <w:pPr>
              <w:spacing w:before="156" w:beforeLines="50"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（2）土壤中</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Ra含量</w:t>
            </w:r>
          </w:p>
          <w:p>
            <w:pPr>
              <w:pStyle w:val="19"/>
              <w:adjustRightInd w:val="0"/>
              <w:snapToGrid w:val="0"/>
              <w:spacing w:line="360" w:lineRule="auto"/>
              <w:ind w:firstLine="480"/>
              <w:rPr>
                <w:color w:val="000000" w:themeColor="text1"/>
                <w14:textFill>
                  <w14:solidFill>
                    <w14:schemeClr w14:val="tx1"/>
                  </w14:solidFill>
                </w14:textFill>
              </w:rPr>
            </w:pPr>
            <w:r>
              <w:rPr>
                <w:color w:val="000000" w:themeColor="text1"/>
                <w:sz w:val="24"/>
                <w14:textFill>
                  <w14:solidFill>
                    <w14:schemeClr w14:val="tx1"/>
                  </w14:solidFill>
                </w14:textFill>
              </w:rPr>
              <w:t>根据《中国环境天然放射性水平》（2015版），本项目勘查区土壤中</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U含量本底值范围为10.65~200.0Bq/kg，</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Ra本底值范围为14.4~107.8Bq/kg，各</w:t>
            </w:r>
            <w:r>
              <w:rPr>
                <w:rFonts w:hint="eastAsia"/>
                <w:color w:val="000000" w:themeColor="text1"/>
                <w:sz w:val="24"/>
                <w:lang w:eastAsia="zh-CN"/>
                <w14:textFill>
                  <w14:solidFill>
                    <w14:schemeClr w14:val="tx1"/>
                  </w14:solidFill>
                </w14:textFill>
              </w:rPr>
              <w:t>勘查区</w:t>
            </w:r>
            <w:r>
              <w:rPr>
                <w:color w:val="000000" w:themeColor="text1"/>
                <w:sz w:val="24"/>
                <w14:textFill>
                  <w14:solidFill>
                    <w14:schemeClr w14:val="tx1"/>
                  </w14:solidFill>
                </w14:textFill>
              </w:rPr>
              <w:t>域土壤中放射性核素</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Ra含量见表</w:t>
            </w:r>
            <w:r>
              <w:rPr>
                <w:rFonts w:hint="eastAsia"/>
                <w:color w:val="000000" w:themeColor="text1"/>
                <w:sz w:val="24"/>
                <w14:textFill>
                  <w14:solidFill>
                    <w14:schemeClr w14:val="tx1"/>
                  </w14:solidFill>
                </w14:textFill>
              </w:rPr>
              <w:t>5-</w:t>
            </w:r>
            <w:r>
              <w:rPr>
                <w:rFonts w:hint="eastAsia"/>
                <w:color w:val="000000" w:themeColor="text1"/>
                <w:sz w:val="24"/>
                <w:lang w:val="en-US" w:eastAsia="zh-CN"/>
                <w14:textFill>
                  <w14:solidFill>
                    <w14:schemeClr w14:val="tx1"/>
                  </w14:solidFill>
                </w14:textFill>
              </w:rPr>
              <w:t>3</w:t>
            </w:r>
            <w:r>
              <w:rPr>
                <w:color w:val="000000" w:themeColor="text1"/>
                <w:sz w:val="24"/>
                <w14:textFill>
                  <w14:solidFill>
                    <w14:schemeClr w14:val="tx1"/>
                  </w14:solidFill>
                </w14:textFill>
              </w:rPr>
              <w:t>。</w:t>
            </w:r>
          </w:p>
          <w:p>
            <w:pPr>
              <w:adjustRightInd w:val="0"/>
              <w:snapToGrid w:val="0"/>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 xml:space="preserve">3 </w:t>
            </w:r>
            <w:r>
              <w:rPr>
                <w:b w:val="0"/>
                <w:bCs w:val="0"/>
                <w:color w:val="000000" w:themeColor="text1"/>
                <w:sz w:val="24"/>
                <w14:textFill>
                  <w14:solidFill>
                    <w14:schemeClr w14:val="tx1"/>
                  </w14:solidFill>
                </w14:textFill>
              </w:rPr>
              <w:t xml:space="preserve"> 项目所在勘查区土壤（干样）中</w:t>
            </w:r>
            <w:r>
              <w:rPr>
                <w:b w:val="0"/>
                <w:bCs w:val="0"/>
                <w:color w:val="000000" w:themeColor="text1"/>
                <w:sz w:val="24"/>
                <w:vertAlign w:val="superscript"/>
                <w14:textFill>
                  <w14:solidFill>
                    <w14:schemeClr w14:val="tx1"/>
                  </w14:solidFill>
                </w14:textFill>
              </w:rPr>
              <w:t>238</w:t>
            </w:r>
            <w:r>
              <w:rPr>
                <w:b w:val="0"/>
                <w:bCs w:val="0"/>
                <w:color w:val="000000" w:themeColor="text1"/>
                <w:sz w:val="24"/>
                <w14:textFill>
                  <w14:solidFill>
                    <w14:schemeClr w14:val="tx1"/>
                  </w14:solidFill>
                </w14:textFill>
              </w:rPr>
              <w:t>U、</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  Bq/kg</w:t>
            </w:r>
          </w:p>
          <w:tbl>
            <w:tblPr>
              <w:tblStyle w:val="12"/>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37"/>
              <w:gridCol w:w="1013"/>
              <w:gridCol w:w="1561"/>
              <w:gridCol w:w="1280"/>
              <w:gridCol w:w="850"/>
              <w:gridCol w:w="998"/>
              <w:gridCol w:w="1280"/>
              <w:gridCol w:w="776"/>
              <w:gridCol w:w="645"/>
              <w:gridCol w:w="53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7" w:hRule="atLeast"/>
                <w:tblHeader/>
                <w:jc w:val="center"/>
              </w:trPr>
              <w:tc>
                <w:tcPr>
                  <w:tcW w:w="283"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534" w:type="pct"/>
                  <w:vMerge w:val="restar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省份</w:t>
                  </w:r>
                </w:p>
              </w:tc>
              <w:tc>
                <w:tcPr>
                  <w:tcW w:w="823"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区域</w:t>
                  </w:r>
                </w:p>
              </w:tc>
              <w:tc>
                <w:tcPr>
                  <w:tcW w:w="1649" w:type="pct"/>
                  <w:gridSpan w:val="3"/>
                  <w:vAlign w:val="center"/>
                </w:tcPr>
                <w:p>
                  <w:pPr>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238</w:t>
                  </w:r>
                  <w:r>
                    <w:rPr>
                      <w:color w:val="000000" w:themeColor="text1"/>
                      <w:sz w:val="21"/>
                      <w:szCs w:val="21"/>
                      <w14:textFill>
                        <w14:solidFill>
                          <w14:schemeClr w14:val="tx1"/>
                        </w14:solidFill>
                      </w14:textFill>
                    </w:rPr>
                    <w:t>U</w:t>
                  </w:r>
                </w:p>
              </w:tc>
              <w:tc>
                <w:tcPr>
                  <w:tcW w:w="1424" w:type="pct"/>
                  <w:gridSpan w:val="3"/>
                  <w:vAlign w:val="center"/>
                </w:tcPr>
                <w:p>
                  <w:pPr>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tc>
              <w:tc>
                <w:tcPr>
                  <w:tcW w:w="283"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说明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9" w:hRule="atLeast"/>
                <w:tblHeader/>
                <w:jc w:val="center"/>
              </w:trPr>
              <w:tc>
                <w:tcPr>
                  <w:tcW w:w="283" w:type="pct"/>
                  <w:vMerge w:val="continue"/>
                  <w:vAlign w:val="center"/>
                </w:tcPr>
                <w:p>
                  <w:pPr>
                    <w:jc w:val="center"/>
                    <w:rPr>
                      <w:color w:val="000000" w:themeColor="text1"/>
                      <w:sz w:val="21"/>
                      <w:szCs w:val="21"/>
                      <w14:textFill>
                        <w14:solidFill>
                          <w14:schemeClr w14:val="tx1"/>
                        </w14:solidFill>
                      </w14:textFill>
                    </w:rPr>
                  </w:pPr>
                </w:p>
              </w:tc>
              <w:tc>
                <w:tcPr>
                  <w:tcW w:w="534" w:type="pct"/>
                  <w:vMerge w:val="continue"/>
                </w:tcPr>
                <w:p>
                  <w:pPr>
                    <w:jc w:val="center"/>
                    <w:rPr>
                      <w:color w:val="000000" w:themeColor="text1"/>
                      <w:sz w:val="21"/>
                      <w:szCs w:val="21"/>
                      <w14:textFill>
                        <w14:solidFill>
                          <w14:schemeClr w14:val="tx1"/>
                        </w14:solidFill>
                      </w14:textFill>
                    </w:rPr>
                  </w:pPr>
                </w:p>
              </w:tc>
              <w:tc>
                <w:tcPr>
                  <w:tcW w:w="823" w:type="pct"/>
                  <w:vMerge w:val="continue"/>
                  <w:vAlign w:val="center"/>
                </w:tcPr>
                <w:p>
                  <w:pPr>
                    <w:jc w:val="center"/>
                    <w:rPr>
                      <w:color w:val="000000" w:themeColor="text1"/>
                      <w:sz w:val="21"/>
                      <w:szCs w:val="21"/>
                      <w14:textFill>
                        <w14:solidFill>
                          <w14:schemeClr w14:val="tx1"/>
                        </w14:solidFill>
                      </w14:textFill>
                    </w:rPr>
                  </w:pPr>
                </w:p>
              </w:tc>
              <w:tc>
                <w:tcPr>
                  <w:tcW w:w="675"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范围</w:t>
                  </w:r>
                </w:p>
              </w:tc>
              <w:tc>
                <w:tcPr>
                  <w:tcW w:w="448"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均值</w:t>
                  </w:r>
                </w:p>
              </w:tc>
              <w:tc>
                <w:tcPr>
                  <w:tcW w:w="525"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标准差</w:t>
                  </w:r>
                </w:p>
              </w:tc>
              <w:tc>
                <w:tcPr>
                  <w:tcW w:w="675"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范围</w:t>
                  </w:r>
                </w:p>
              </w:tc>
              <w:tc>
                <w:tcPr>
                  <w:tcW w:w="409"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均值</w:t>
                  </w:r>
                </w:p>
              </w:tc>
              <w:tc>
                <w:tcPr>
                  <w:tcW w:w="339"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标准差</w:t>
                  </w:r>
                </w:p>
              </w:tc>
              <w:tc>
                <w:tcPr>
                  <w:tcW w:w="283" w:type="pct"/>
                  <w:vMerge w:val="continue"/>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283"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534"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青海</w:t>
                  </w:r>
                </w:p>
              </w:tc>
              <w:tc>
                <w:tcPr>
                  <w:tcW w:w="8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海西蒙古族藏族自治州</w:t>
                  </w:r>
                </w:p>
              </w:tc>
              <w:tc>
                <w:tcPr>
                  <w:tcW w:w="675"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11.9~135.9</w:t>
                  </w:r>
                </w:p>
              </w:tc>
              <w:tc>
                <w:tcPr>
                  <w:tcW w:w="44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49.8</w:t>
                  </w:r>
                </w:p>
              </w:tc>
              <w:tc>
                <w:tcPr>
                  <w:tcW w:w="525"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23.4</w:t>
                  </w:r>
                </w:p>
              </w:tc>
              <w:tc>
                <w:tcPr>
                  <w:tcW w:w="675"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14.4~107.8</w:t>
                  </w:r>
                </w:p>
              </w:tc>
              <w:tc>
                <w:tcPr>
                  <w:tcW w:w="40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42.4</w:t>
                  </w:r>
                </w:p>
              </w:tc>
              <w:tc>
                <w:tcPr>
                  <w:tcW w:w="33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12.4</w:t>
                  </w:r>
                </w:p>
              </w:tc>
              <w:tc>
                <w:tcPr>
                  <w:tcW w:w="283"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28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534"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甘肃</w:t>
                  </w:r>
                </w:p>
              </w:tc>
              <w:tc>
                <w:tcPr>
                  <w:tcW w:w="8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酒泉地区</w:t>
                  </w:r>
                </w:p>
              </w:tc>
              <w:tc>
                <w:tcPr>
                  <w:tcW w:w="675"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20.1~200.0</w:t>
                  </w:r>
                </w:p>
              </w:tc>
              <w:tc>
                <w:tcPr>
                  <w:tcW w:w="44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80.0</w:t>
                  </w:r>
                </w:p>
              </w:tc>
              <w:tc>
                <w:tcPr>
                  <w:tcW w:w="525"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34.6</w:t>
                  </w:r>
                </w:p>
              </w:tc>
              <w:tc>
                <w:tcPr>
                  <w:tcW w:w="675"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14.4~46.1</w:t>
                  </w:r>
                </w:p>
              </w:tc>
              <w:tc>
                <w:tcPr>
                  <w:tcW w:w="40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25.4</w:t>
                  </w:r>
                </w:p>
              </w:tc>
              <w:tc>
                <w:tcPr>
                  <w:tcW w:w="33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5.4</w:t>
                  </w:r>
                </w:p>
              </w:tc>
              <w:tc>
                <w:tcPr>
                  <w:tcW w:w="283"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28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534"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新疆</w:t>
                  </w:r>
                </w:p>
              </w:tc>
              <w:tc>
                <w:tcPr>
                  <w:tcW w:w="8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巴音郭楞蒙古自治州</w:t>
                  </w:r>
                </w:p>
              </w:tc>
              <w:tc>
                <w:tcPr>
                  <w:tcW w:w="675"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10.65~92.27</w:t>
                  </w:r>
                </w:p>
              </w:tc>
              <w:tc>
                <w:tcPr>
                  <w:tcW w:w="44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33.81</w:t>
                  </w:r>
                </w:p>
              </w:tc>
              <w:tc>
                <w:tcPr>
                  <w:tcW w:w="525"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15.32</w:t>
                  </w:r>
                </w:p>
              </w:tc>
              <w:tc>
                <w:tcPr>
                  <w:tcW w:w="675"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16.37~52.53</w:t>
                  </w:r>
                </w:p>
              </w:tc>
              <w:tc>
                <w:tcPr>
                  <w:tcW w:w="40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32.35</w:t>
                  </w:r>
                </w:p>
              </w:tc>
              <w:tc>
                <w:tcPr>
                  <w:tcW w:w="33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7.09</w:t>
                  </w:r>
                </w:p>
              </w:tc>
              <w:tc>
                <w:tcPr>
                  <w:tcW w:w="283" w:type="pct"/>
                  <w:vAlign w:val="center"/>
                </w:tcPr>
                <w:p>
                  <w:pPr>
                    <w:jc w:val="center"/>
                    <w:rPr>
                      <w:color w:val="000000" w:themeColor="text1"/>
                      <w:sz w:val="21"/>
                      <w:szCs w:val="21"/>
                      <w14:textFill>
                        <w14:solidFill>
                          <w14:schemeClr w14:val="tx1"/>
                        </w14:solidFill>
                      </w14:textFill>
                    </w:rPr>
                  </w:pPr>
                </w:p>
              </w:tc>
            </w:tr>
          </w:tbl>
          <w:p>
            <w:pPr>
              <w:spacing w:line="360" w:lineRule="auto"/>
              <w:ind w:firstLine="315" w:firstLineChars="150"/>
              <w:rPr>
                <w:color w:val="000000" w:themeColor="text1"/>
                <w14:textFill>
                  <w14:solidFill>
                    <w14:schemeClr w14:val="tx1"/>
                  </w14:solidFill>
                </w14:textFill>
              </w:rPr>
            </w:pPr>
            <w:r>
              <w:rPr>
                <w:color w:val="000000" w:themeColor="text1"/>
                <w14:textFill>
                  <w14:solidFill>
                    <w14:schemeClr w14:val="tx1"/>
                  </w14:solidFill>
                </w14:textFill>
              </w:rPr>
              <w:t>备注：表中均值、标准差均为按点加权计算结果。</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地表水中U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本项目勘查区</w:t>
            </w:r>
            <w:r>
              <w:rPr>
                <w:rFonts w:hint="eastAsia"/>
                <w:color w:val="000000" w:themeColor="text1"/>
                <w:sz w:val="24"/>
                <w14:textFill>
                  <w14:solidFill>
                    <w14:schemeClr w14:val="tx1"/>
                  </w14:solidFill>
                </w14:textFill>
              </w:rPr>
              <w:t>地表水体主要涉及江河和湖泊，</w:t>
            </w:r>
            <w:r>
              <w:rPr>
                <w:color w:val="000000" w:themeColor="text1"/>
                <w:sz w:val="24"/>
                <w14:textFill>
                  <w14:solidFill>
                    <w14:schemeClr w14:val="tx1"/>
                  </w14:solidFill>
                </w14:textFill>
              </w:rPr>
              <w:t>根据《中国环境天然放射性水平》（2015版），</w:t>
            </w:r>
            <w:r>
              <w:rPr>
                <w:rFonts w:hint="eastAsia"/>
                <w:color w:val="000000" w:themeColor="text1"/>
                <w:sz w:val="24"/>
                <w14:textFill>
                  <w14:solidFill>
                    <w14:schemeClr w14:val="tx1"/>
                  </w14:solidFill>
                </w14:textFill>
              </w:rPr>
              <w:t>勘查区内地表水体</w:t>
            </w:r>
            <w:r>
              <w:rPr>
                <w:color w:val="000000" w:themeColor="text1"/>
                <w:sz w:val="24"/>
                <w14:textFill>
                  <w14:solidFill>
                    <w14:schemeClr w14:val="tx1"/>
                  </w14:solidFill>
                </w14:textFill>
              </w:rPr>
              <w:t>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浓度为0.06</w:t>
            </w:r>
            <w:r>
              <w:rPr>
                <w:color w:val="000000" w:themeColor="text1"/>
                <w14:textFill>
                  <w14:solidFill>
                    <w14:schemeClr w14:val="tx1"/>
                  </w14:solidFill>
                </w14:textFill>
              </w:rPr>
              <w:t>~</w:t>
            </w:r>
            <w:r>
              <w:rPr>
                <w:color w:val="000000" w:themeColor="text1"/>
                <w:sz w:val="24"/>
                <w14:textFill>
                  <w14:solidFill>
                    <w14:schemeClr w14:val="tx1"/>
                  </w14:solidFill>
                </w14:textFill>
              </w:rPr>
              <w:t>46.51μg/L，</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Ra浓度为0.83</w:t>
            </w:r>
            <w:r>
              <w:rPr>
                <w:color w:val="000000" w:themeColor="text1"/>
                <w14:textFill>
                  <w14:solidFill>
                    <w14:schemeClr w14:val="tx1"/>
                  </w14:solidFill>
                </w14:textFill>
              </w:rPr>
              <w:t>~</w:t>
            </w:r>
            <w:r>
              <w:rPr>
                <w:color w:val="000000" w:themeColor="text1"/>
                <w:sz w:val="24"/>
                <w14:textFill>
                  <w14:solidFill>
                    <w14:schemeClr w14:val="tx1"/>
                  </w14:solidFill>
                </w14:textFill>
              </w:rPr>
              <w:t>64.9mBq/L。</w:t>
            </w:r>
          </w:p>
          <w:p>
            <w:pPr>
              <w:adjustRightInd w:val="0"/>
              <w:snapToGrid w:val="0"/>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4</w:t>
            </w:r>
            <w:r>
              <w:rPr>
                <w:b w:val="0"/>
                <w:bCs w:val="0"/>
                <w:color w:val="000000" w:themeColor="text1"/>
                <w:sz w:val="24"/>
                <w14:textFill>
                  <w14:solidFill>
                    <w14:schemeClr w14:val="tx1"/>
                  </w14:solidFill>
                </w14:textFill>
              </w:rPr>
              <w:t xml:space="preserve">  勘查区</w:t>
            </w:r>
            <w:r>
              <w:rPr>
                <w:rFonts w:hint="eastAsia"/>
                <w:b w:val="0"/>
                <w:bCs w:val="0"/>
                <w:color w:val="000000" w:themeColor="text1"/>
                <w:sz w:val="24"/>
                <w14:textFill>
                  <w14:solidFill>
                    <w14:schemeClr w14:val="tx1"/>
                  </w14:solidFill>
                </w14:textFill>
              </w:rPr>
              <w:t>以及周边</w:t>
            </w:r>
            <w:r>
              <w:rPr>
                <w:b w:val="0"/>
                <w:bCs w:val="0"/>
                <w:color w:val="000000" w:themeColor="text1"/>
                <w:sz w:val="24"/>
                <w14:textFill>
                  <w14:solidFill>
                    <w14:schemeClr w14:val="tx1"/>
                  </w14:solidFill>
                </w14:textFill>
              </w:rPr>
              <w:t>主要河流河水中U</w:t>
            </w:r>
            <w:r>
              <w:rPr>
                <w:rFonts w:hint="eastAsia"/>
                <w:b w:val="0"/>
                <w:bCs w:val="0"/>
                <w:color w:val="000000" w:themeColor="text1"/>
                <w:sz w:val="24"/>
                <w:vertAlign w:val="subscript"/>
                <w14:textFill>
                  <w14:solidFill>
                    <w14:schemeClr w14:val="tx1"/>
                  </w14:solidFill>
                </w14:textFill>
              </w:rPr>
              <w:t>天然</w:t>
            </w:r>
            <w:r>
              <w:rPr>
                <w:b w:val="0"/>
                <w:bCs w:val="0"/>
                <w:color w:val="000000" w:themeColor="text1"/>
                <w:sz w:val="24"/>
                <w14:textFill>
                  <w14:solidFill>
                    <w14:schemeClr w14:val="tx1"/>
                  </w14:solidFill>
                </w14:textFill>
              </w:rPr>
              <w:t>、</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 xml:space="preserve">Ra含量 </w:t>
            </w:r>
          </w:p>
          <w:tbl>
            <w:tblPr>
              <w:tblStyle w:val="1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661"/>
              <w:gridCol w:w="1741"/>
              <w:gridCol w:w="1426"/>
              <w:gridCol w:w="1428"/>
              <w:gridCol w:w="1610"/>
              <w:gridCol w:w="161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blHeader/>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省份</w:t>
                  </w:r>
                </w:p>
              </w:tc>
              <w:tc>
                <w:tcPr>
                  <w:tcW w:w="918"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水体类型</w:t>
                  </w:r>
                </w:p>
              </w:tc>
              <w:tc>
                <w:tcPr>
                  <w:tcW w:w="1505" w:type="pct"/>
                  <w:gridSpan w:val="2"/>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w:t>
                  </w:r>
                  <w:r>
                    <w:rPr>
                      <w:rFonts w:hint="eastAsia"/>
                      <w:color w:val="000000" w:themeColor="text1"/>
                      <w:sz w:val="21"/>
                      <w:szCs w:val="21"/>
                      <w:vertAlign w:val="subscript"/>
                      <w14:textFill>
                        <w14:solidFill>
                          <w14:schemeClr w14:val="tx1"/>
                        </w14:solidFill>
                      </w14:textFill>
                    </w:rPr>
                    <w:t>天然</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(μg/L)</w:t>
                  </w:r>
                </w:p>
              </w:tc>
              <w:tc>
                <w:tcPr>
                  <w:tcW w:w="1699" w:type="pct"/>
                  <w:gridSpan w:val="2"/>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(mBq/L)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blHeader/>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8"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752"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范围值</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均值</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范围值</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均值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青海</w:t>
                  </w:r>
                </w:p>
              </w:tc>
              <w:tc>
                <w:tcPr>
                  <w:tcW w:w="91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2"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.31~3.33</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3.06</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8</w:t>
                  </w:r>
                  <w:r>
                    <w:rPr>
                      <w:color w:val="000000" w:themeColor="text1"/>
                      <w:sz w:val="21"/>
                      <w:szCs w:val="21"/>
                      <w14:textFill>
                        <w14:solidFill>
                          <w14:schemeClr w14:val="tx1"/>
                        </w14:solidFill>
                      </w14:textFill>
                    </w:rPr>
                    <w:t>.6~15.5</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13.7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2"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.05~39.14</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7.20</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0.8~43.2</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4.6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新疆</w:t>
                  </w:r>
                </w:p>
              </w:tc>
              <w:tc>
                <w:tcPr>
                  <w:tcW w:w="91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2"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.45~17.18</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4.98</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.83~8.62</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2"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.06~13.60</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.58</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.83~6.77</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甘肃</w:t>
                  </w:r>
                </w:p>
              </w:tc>
              <w:tc>
                <w:tcPr>
                  <w:tcW w:w="91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2"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.58~46.51</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4.67</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.1~64.9</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2"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.62~7.27</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6</w:t>
                  </w:r>
                  <w:r>
                    <w:rPr>
                      <w:color w:val="000000" w:themeColor="text1"/>
                      <w:sz w:val="21"/>
                      <w:szCs w:val="21"/>
                      <w14:textFill>
                        <w14:solidFill>
                          <w14:schemeClr w14:val="tx1"/>
                        </w14:solidFill>
                      </w14:textFill>
                    </w:rPr>
                    <w:t>.44</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.1~9.9</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.5</w:t>
                  </w:r>
                </w:p>
              </w:tc>
            </w:tr>
          </w:tbl>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备注：仪器对</w:t>
            </w:r>
            <w:r>
              <w:rPr>
                <w:color w:val="000000" w:themeColor="text1"/>
                <w:vertAlign w:val="superscript"/>
                <w14:textFill>
                  <w14:solidFill>
                    <w14:schemeClr w14:val="tx1"/>
                  </w14:solidFill>
                </w14:textFill>
              </w:rPr>
              <w:t>226</w:t>
            </w:r>
            <w:r>
              <w:rPr>
                <w:color w:val="000000" w:themeColor="text1"/>
                <w14:textFill>
                  <w14:solidFill>
                    <w14:schemeClr w14:val="tx1"/>
                  </w14:solidFill>
                </w14:textFill>
              </w:rPr>
              <w:t>Ra的检出下限为0.83mBq/L。</w:t>
            </w:r>
          </w:p>
          <w:p>
            <w:pPr>
              <w:adjustRightInd w:val="0"/>
              <w:snapToGrid w:val="0"/>
              <w:spacing w:line="420" w:lineRule="atLeast"/>
              <w:ind w:firstLine="240" w:firstLineChars="100"/>
              <w:rPr>
                <w:color w:val="000000" w:themeColor="text1"/>
                <w:sz w:val="24"/>
                <w14:textFill>
                  <w14:solidFill>
                    <w14:schemeClr w14:val="tx1"/>
                  </w14:solidFill>
                </w14:textFill>
              </w:rPr>
            </w:pPr>
            <w:r>
              <w:rPr>
                <w:color w:val="000000" w:themeColor="text1"/>
                <w:sz w:val="24"/>
                <w14:textFill>
                  <w14:solidFill>
                    <w14:schemeClr w14:val="tx1"/>
                  </w14:solidFill>
                </w14:textFill>
              </w:rPr>
              <w:t>（4）地下水中U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w:t>
            </w:r>
          </w:p>
          <w:p>
            <w:pPr>
              <w:adjustRightInd w:val="0"/>
              <w:snapToGrid w:val="0"/>
              <w:spacing w:line="420" w:lineRule="atLeas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根据《中国环境天然放射性水平》（2015版），本项目勘查</w:t>
            </w:r>
            <w:r>
              <w:rPr>
                <w:rFonts w:hint="eastAsia"/>
                <w:color w:val="000000" w:themeColor="text1"/>
                <w:sz w:val="24"/>
                <w14:textFill>
                  <w14:solidFill>
                    <w14:schemeClr w14:val="tx1"/>
                  </w14:solidFill>
                </w14:textFill>
              </w:rPr>
              <w:t>区井</w:t>
            </w:r>
            <w:r>
              <w:rPr>
                <w:color w:val="000000" w:themeColor="text1"/>
                <w:sz w:val="24"/>
                <w14:textFill>
                  <w14:solidFill>
                    <w14:schemeClr w14:val="tx1"/>
                  </w14:solidFill>
                </w14:textFill>
              </w:rPr>
              <w:t>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浓度本底值为5.58~9.53μg/L，水中</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Ra浓度本底值</w:t>
            </w:r>
            <w:r>
              <w:rPr>
                <w:rFonts w:hint="eastAsia"/>
                <w:color w:val="000000" w:themeColor="text1"/>
                <w:sz w:val="24"/>
                <w14:textFill>
                  <w14:solidFill>
                    <w14:schemeClr w14:val="tx1"/>
                  </w14:solidFill>
                </w14:textFill>
              </w:rPr>
              <w:t>为</w:t>
            </w:r>
            <w:r>
              <w:rPr>
                <w:color w:val="000000" w:themeColor="text1"/>
                <w:sz w:val="24"/>
                <w14:textFill>
                  <w14:solidFill>
                    <w14:schemeClr w14:val="tx1"/>
                  </w14:solidFill>
                </w14:textFill>
              </w:rPr>
              <w:t>2.96~36.4mBq/L。</w:t>
            </w:r>
          </w:p>
          <w:p>
            <w:pPr>
              <w:adjustRightInd w:val="0"/>
              <w:snapToGrid w:val="0"/>
              <w:spacing w:line="420" w:lineRule="atLeast"/>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5</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lang w:val="en-US" w:eastAsia="zh-CN"/>
                <w14:textFill>
                  <w14:solidFill>
                    <w14:schemeClr w14:val="tx1"/>
                  </w14:solidFill>
                </w14:textFill>
              </w:rPr>
              <w:t xml:space="preserve"> </w:t>
            </w:r>
            <w:r>
              <w:rPr>
                <w:b w:val="0"/>
                <w:bCs w:val="0"/>
                <w:color w:val="000000" w:themeColor="text1"/>
                <w:sz w:val="24"/>
                <w14:textFill>
                  <w14:solidFill>
                    <w14:schemeClr w14:val="tx1"/>
                  </w14:solidFill>
                </w14:textFill>
              </w:rPr>
              <w:t>项目所在勘查区</w:t>
            </w:r>
            <w:r>
              <w:rPr>
                <w:rFonts w:hint="eastAsia"/>
                <w:b w:val="0"/>
                <w:bCs w:val="0"/>
                <w:color w:val="000000" w:themeColor="text1"/>
                <w:sz w:val="24"/>
                <w14:textFill>
                  <w14:solidFill>
                    <w14:schemeClr w14:val="tx1"/>
                  </w14:solidFill>
                </w14:textFill>
              </w:rPr>
              <w:t>地下水</w:t>
            </w:r>
            <w:r>
              <w:rPr>
                <w:b w:val="0"/>
                <w:bCs w:val="0"/>
                <w:color w:val="000000" w:themeColor="text1"/>
                <w:sz w:val="24"/>
                <w14:textFill>
                  <w14:solidFill>
                    <w14:schemeClr w14:val="tx1"/>
                  </w14:solidFill>
                </w14:textFill>
              </w:rPr>
              <w:t>中U</w:t>
            </w:r>
            <w:r>
              <w:rPr>
                <w:rFonts w:hint="eastAsia"/>
                <w:b w:val="0"/>
                <w:bCs w:val="0"/>
                <w:color w:val="000000" w:themeColor="text1"/>
                <w:sz w:val="24"/>
                <w:vertAlign w:val="subscript"/>
                <w14:textFill>
                  <w14:solidFill>
                    <w14:schemeClr w14:val="tx1"/>
                  </w14:solidFill>
                </w14:textFill>
              </w:rPr>
              <w:t>天然</w:t>
            </w:r>
            <w:r>
              <w:rPr>
                <w:b w:val="0"/>
                <w:bCs w:val="0"/>
                <w:color w:val="000000" w:themeColor="text1"/>
                <w:sz w:val="24"/>
                <w14:textFill>
                  <w14:solidFill>
                    <w14:schemeClr w14:val="tx1"/>
                  </w14:solidFill>
                </w14:textFill>
              </w:rPr>
              <w:t>、</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w:t>
            </w:r>
          </w:p>
          <w:tbl>
            <w:tblPr>
              <w:tblStyle w:val="1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91"/>
              <w:gridCol w:w="2635"/>
              <w:gridCol w:w="1977"/>
              <w:gridCol w:w="2176"/>
              <w:gridCol w:w="17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285" w:hRule="atLeast"/>
                <w:tblHeader/>
                <w:jc w:val="center"/>
              </w:trPr>
              <w:tc>
                <w:tcPr>
                  <w:tcW w:w="523"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1389"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地名</w:t>
                  </w:r>
                </w:p>
              </w:tc>
              <w:tc>
                <w:tcPr>
                  <w:tcW w:w="1042"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采样地点</w:t>
                  </w:r>
                </w:p>
              </w:tc>
              <w:tc>
                <w:tcPr>
                  <w:tcW w:w="1147"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w:t>
                  </w:r>
                  <w:r>
                    <w:rPr>
                      <w:rFonts w:hint="eastAsia"/>
                      <w:color w:val="000000" w:themeColor="text1"/>
                      <w:sz w:val="21"/>
                      <w:szCs w:val="21"/>
                      <w:vertAlign w:val="subscript"/>
                      <w14:textFill>
                        <w14:solidFill>
                          <w14:schemeClr w14:val="tx1"/>
                        </w14:solidFill>
                      </w14:textFill>
                    </w:rPr>
                    <w:t>天然</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(ug/L)</w:t>
                  </w:r>
                </w:p>
              </w:tc>
              <w:tc>
                <w:tcPr>
                  <w:tcW w:w="896"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(mBq/L)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523"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389"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042"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147"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896"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青海海西</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农村井水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9</w:t>
                  </w:r>
                  <w:r>
                    <w:rPr>
                      <w:color w:val="000000" w:themeColor="text1"/>
                      <w:sz w:val="21"/>
                      <w:szCs w:val="21"/>
                      <w14:textFill>
                        <w14:solidFill>
                          <w14:schemeClr w14:val="tx1"/>
                        </w14:solidFill>
                      </w14:textFill>
                    </w:rPr>
                    <w:t>.53</w:t>
                  </w:r>
                </w:p>
              </w:tc>
              <w:tc>
                <w:tcPr>
                  <w:tcW w:w="896"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5.8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新疆巴州</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市区井水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.46</w:t>
                  </w:r>
                </w:p>
              </w:tc>
              <w:tc>
                <w:tcPr>
                  <w:tcW w:w="896"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.96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甘肃酒泉</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农村井水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.58</w:t>
                  </w:r>
                </w:p>
              </w:tc>
              <w:tc>
                <w:tcPr>
                  <w:tcW w:w="896"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6.4</w:t>
                  </w:r>
                </w:p>
              </w:tc>
            </w:tr>
          </w:tbl>
          <w:p>
            <w:pPr>
              <w:adjustRightInd w:val="0"/>
              <w:snapToGrid w:val="0"/>
              <w:ind w:firstLine="315" w:firstLineChars="150"/>
              <w:rPr>
                <w:color w:val="000000" w:themeColor="text1"/>
                <w:sz w:val="22"/>
                <w:szCs w:val="22"/>
                <w14:textFill>
                  <w14:solidFill>
                    <w14:schemeClr w14:val="tx1"/>
                  </w14:solidFill>
                </w14:textFill>
              </w:rPr>
            </w:pPr>
            <w:r>
              <w:rPr>
                <w:color w:val="000000" w:themeColor="text1"/>
                <w14:textFill>
                  <w14:solidFill>
                    <w14:schemeClr w14:val="tx1"/>
                  </w14:solidFill>
                </w14:textFill>
              </w:rPr>
              <w:t>备注：仪器对</w:t>
            </w:r>
            <w:r>
              <w:rPr>
                <w:color w:val="000000" w:themeColor="text1"/>
                <w:vertAlign w:val="superscript"/>
                <w14:textFill>
                  <w14:solidFill>
                    <w14:schemeClr w14:val="tx1"/>
                  </w14:solidFill>
                </w14:textFill>
              </w:rPr>
              <w:t>226</w:t>
            </w:r>
            <w:r>
              <w:rPr>
                <w:color w:val="000000" w:themeColor="text1"/>
                <w14:textFill>
                  <w14:solidFill>
                    <w14:schemeClr w14:val="tx1"/>
                  </w14:solidFill>
                </w14:textFill>
              </w:rPr>
              <w:t>Ra的检出下限为0.83mBq/L</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根据《2020年甘肃省生态环境状况公报》，</w:t>
            </w:r>
            <w:r>
              <w:rPr>
                <w:rFonts w:hint="eastAsia"/>
                <w:color w:val="000000" w:themeColor="text1"/>
                <w:sz w:val="24"/>
                <w:szCs w:val="24"/>
                <w:lang w:eastAsia="zh-CN"/>
                <w14:textFill>
                  <w14:solidFill>
                    <w14:schemeClr w14:val="tx1"/>
                  </w14:solidFill>
                </w14:textFill>
              </w:rPr>
              <w:t>2020年</w:t>
            </w:r>
            <w:r>
              <w:rPr>
                <w:rFonts w:hint="eastAsia"/>
                <w:color w:val="000000" w:themeColor="text1"/>
                <w:sz w:val="24"/>
                <w:szCs w:val="24"/>
                <w:lang w:val="en-US" w:eastAsia="zh-CN"/>
                <w14:textFill>
                  <w14:solidFill>
                    <w14:schemeClr w14:val="tx1"/>
                  </w14:solidFill>
                </w14:textFill>
              </w:rPr>
              <w:t>全省</w:t>
            </w:r>
            <w:r>
              <w:rPr>
                <w:rFonts w:hint="eastAsia"/>
                <w:color w:val="000000" w:themeColor="text1"/>
                <w:sz w:val="24"/>
                <w:szCs w:val="24"/>
                <w:lang w:eastAsia="zh-CN"/>
                <w14:textFill>
                  <w14:solidFill>
                    <w14:schemeClr w14:val="tx1"/>
                  </w14:solidFill>
                </w14:textFill>
              </w:rPr>
              <w:t>辐射环境质量总体良好。</w:t>
            </w:r>
            <w:r>
              <w:rPr>
                <w:rFonts w:hint="eastAsia"/>
                <w:color w:val="000000" w:themeColor="text1"/>
                <w:sz w:val="24"/>
                <w:szCs w:val="24"/>
                <w:lang w:val="en-US" w:eastAsia="zh-CN"/>
                <w14:textFill>
                  <w14:solidFill>
                    <w14:schemeClr w14:val="tx1"/>
                  </w14:solidFill>
                </w14:textFill>
              </w:rPr>
              <w:t>全省累积剂量测得的</w:t>
            </w:r>
            <w:r>
              <w:rPr>
                <w:rFonts w:hint="eastAsia"/>
                <w:color w:val="000000" w:themeColor="text1"/>
                <w:sz w:val="24"/>
                <w:szCs w:val="24"/>
                <w:lang w:eastAsia="zh-CN"/>
                <w14:textFill>
                  <w14:solidFill>
                    <w14:schemeClr w14:val="tx1"/>
                  </w14:solidFill>
                </w14:textFill>
              </w:rPr>
              <w:t>γ辐射空气吸收剂量率</w:t>
            </w:r>
            <w:r>
              <w:rPr>
                <w:rFonts w:hint="eastAsia"/>
                <w:color w:val="000000" w:themeColor="text1"/>
                <w:sz w:val="24"/>
                <w:szCs w:val="24"/>
                <w:lang w:val="en-US" w:eastAsia="zh-CN"/>
                <w14:textFill>
                  <w14:solidFill>
                    <w14:schemeClr w14:val="tx1"/>
                  </w14:solidFill>
                </w14:textFill>
              </w:rPr>
              <w:t>监测结果为85.5~140nGy/h，均在正常范围内。地表水放射性核素含量与2019年处于同一水平。土壤放射性核素监测数据在甘肃省土壤放射性核素环境本底值中，属正常环境水平。</w:t>
            </w:r>
            <w:r>
              <w:rPr>
                <w:rFonts w:hint="default" w:ascii="Times New Roman" w:hAnsi="Times New Roman" w:cs="Times New Roman"/>
                <w:color w:val="000000" w:themeColor="text1"/>
                <w:sz w:val="24"/>
                <w:szCs w:val="24"/>
                <w:lang w:eastAsia="zh-CN"/>
                <w14:textFill>
                  <w14:solidFill>
                    <w14:schemeClr w14:val="tx1"/>
                  </w14:solidFill>
                </w14:textFill>
              </w:rPr>
              <w:t>环境电磁辐射水平低于《电磁环境控制限值》（GB8702-2014）规定的公众暴露控制限值。</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根据《2020年新疆维吾尔自治区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生态</w:t>
            </w:r>
            <w:r>
              <w:rPr>
                <w:rFonts w:hint="default" w:ascii="Times New Roman" w:hAnsi="Times New Roman" w:eastAsia="宋体" w:cs="Times New Roman"/>
                <w:color w:val="000000" w:themeColor="text1"/>
                <w:sz w:val="24"/>
                <w:szCs w:val="24"/>
                <w:lang w:eastAsia="zh-CN"/>
                <w14:textFill>
                  <w14:solidFill>
                    <w14:schemeClr w14:val="tx1"/>
                  </w14:solidFill>
                </w14:textFill>
              </w:rPr>
              <w:t>环境状况公报》，2020年全区辐射环境质量总体良好。环境电离辐射水平保持稳定，γ辐射空气吸收剂量率和累积剂量处于当地天然本底涨落范围内，空气中天然放射性核素活度处于本底水平，人工放射性核素活度浓度未见异常。全区重点河流水中总α和总β活度浓度处于正常环境水平，集中式饮用水中总α和总β活度浓度低于《生活饮用水卫生标准》（GB5749-2006）的指导值。土壤中天然放射性核素活度浓度处于本底水平，人工放射性核素活度未见异常。环境电磁辐射水平远低于《电磁环境控制限值》（GB8702-2014）规定的公众暴露控制限值。</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根据《2020年青海省生态</w:t>
            </w:r>
            <w:r>
              <w:rPr>
                <w:rFonts w:hint="default" w:ascii="Times New Roman" w:hAnsi="Times New Roman" w:eastAsia="宋体" w:cs="Times New Roman"/>
                <w:color w:val="000000" w:themeColor="text1"/>
                <w:sz w:val="24"/>
                <w:szCs w:val="24"/>
                <w:lang w:eastAsia="zh-CN"/>
                <w14:textFill>
                  <w14:solidFill>
                    <w14:schemeClr w14:val="tx1"/>
                  </w14:solidFill>
                </w14:textFill>
              </w:rPr>
              <w:t>环境状况公报</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全省环境电离辐射水平处于本底涨落范围内，电离辐射环境质量总体良好。累积剂量测得的空气吸收剂量率均处于本底涨落范围内。</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地表水</w:t>
            </w:r>
            <w:r>
              <w:rPr>
                <w:rFonts w:hint="default" w:ascii="Times New Roman" w:hAnsi="Times New Roman" w:eastAsia="宋体" w:cs="Times New Roman"/>
                <w:color w:val="000000" w:themeColor="text1"/>
                <w:sz w:val="24"/>
                <w:szCs w:val="24"/>
                <w:lang w:eastAsia="zh-CN"/>
                <w14:textFill>
                  <w14:solidFill>
                    <w14:schemeClr w14:val="tx1"/>
                  </w14:solidFill>
                </w14:textFill>
              </w:rPr>
              <w:t>天然放射性核素与全国环境天然放射性水平调查结果处于同一水平</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集中式饮用水中总α和总β活度浓度低于《生活饮用水卫生标准》（GB5749-2006）的指导值。</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土壤中</w:t>
            </w:r>
            <w:r>
              <w:rPr>
                <w:rFonts w:hint="default" w:ascii="Times New Roman" w:hAnsi="Times New Roman" w:eastAsia="宋体" w:cs="Times New Roman"/>
                <w:color w:val="000000" w:themeColor="text1"/>
                <w:sz w:val="24"/>
                <w:szCs w:val="24"/>
                <w:lang w:eastAsia="zh-CN"/>
                <w14:textFill>
                  <w14:solidFill>
                    <w14:schemeClr w14:val="tx1"/>
                  </w14:solidFill>
                </w14:textFill>
              </w:rPr>
              <w:t>天然放射性核素与全国环境天然放射性水平调查结果处 于同一水平</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人工放射性核素活度未见异常。环境电磁辐射水平低于《电磁环境控制限值》（GB8702-2014）规定的公众暴露控制限值。</w:t>
            </w:r>
          </w:p>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4</w:t>
            </w:r>
            <w:r>
              <w:rPr>
                <w:rFonts w:hint="eastAsia"/>
                <w:b/>
                <w:bCs/>
                <w:color w:val="000000" w:themeColor="text1"/>
                <w:sz w:val="24"/>
                <w:lang w:eastAsia="zh-CN"/>
                <w14:textFill>
                  <w14:solidFill>
                    <w14:schemeClr w14:val="tx1"/>
                  </w14:solidFill>
                </w14:textFill>
              </w:rPr>
              <w:t>、</w:t>
            </w:r>
            <w:r>
              <w:rPr>
                <w:b/>
                <w:bCs/>
                <w:color w:val="000000" w:themeColor="text1"/>
                <w:sz w:val="24"/>
                <w14:textFill>
                  <w14:solidFill>
                    <w14:schemeClr w14:val="tx1"/>
                  </w14:solidFill>
                </w14:textFill>
              </w:rPr>
              <w:t>生态环境</w:t>
            </w:r>
            <w:r>
              <w:rPr>
                <w:rFonts w:hint="eastAsia"/>
                <w:b/>
                <w:bCs/>
                <w:color w:val="000000" w:themeColor="text1"/>
                <w:sz w:val="24"/>
                <w14:textFill>
                  <w14:solidFill>
                    <w14:schemeClr w14:val="tx1"/>
                  </w14:solidFill>
                </w14:textFill>
              </w:rPr>
              <w:t>质量现状</w:t>
            </w:r>
          </w:p>
          <w:p>
            <w:pPr>
              <w:pStyle w:val="19"/>
              <w:spacing w:line="360" w:lineRule="auto"/>
              <w:ind w:firstLine="480"/>
              <w:rPr>
                <w:rFonts w:hint="eastAsia"/>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根据《青海省生态功能区划》</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甘肃省生态功能区划</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和《</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新疆维吾尔自治区</w:t>
            </w:r>
            <w:r>
              <w:rPr>
                <w:rFonts w:hint="eastAsia"/>
                <w:color w:val="000000" w:themeColor="text1"/>
                <w:sz w:val="24"/>
                <w:lang w:val="en-US" w:eastAsia="zh-CN"/>
                <w14:textFill>
                  <w14:solidFill>
                    <w14:schemeClr w14:val="tx1"/>
                  </w14:solidFill>
                </w14:textFill>
              </w:rPr>
              <w:t>生态功能区划》</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勘查区涉青海区域属柴达木盆地荒漠防风固沙生态功能区和阿尔金山南麓荒漠草原生态功能区；涉及甘肃区域属柴达木盆地荒漠生态区（柴达木盆地北部山地高寒荒漠草原生态亚区、阿尔金山荒漠生态亚区）；涉及新疆维吾尔自治区区域属东昆仑山及山间盆地湿地与生物多样性保护生态功能区。</w:t>
            </w:r>
          </w:p>
          <w:p>
            <w:pPr>
              <w:pStyle w:val="19"/>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1</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植物调查与评价</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①植被分布特点</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盆地及周边有高山、丘陵、戈壁、绿洲、沼泽和盐沼，土壤类型决定了植被分布属典型的盆地植被，具体植被类型分布特征如下：</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在垂直方向上，5000m以上为高山寒漠带，基本无植被发育；4100～5000m地区，高山荒漠草原，以紫花针茅、硬叶苔草、垫状蒿等为主，植被稀疏，岩石裸露，土壤母质为基岩风化残积物，冰渍物等；3500～4100m为中山矮半灌木、灌木岩漠植被，与低山岩漠植被没有大的差别；3000～3500m为低山矮半灌木、灌木岩漠植被，优势植物有猪毛菜、麻黄、合头草，驼绒藜等；2900～3000m地区，属矮半灌木、灌木砾漠植被，但大面积为裸露的戈壁、沙丘景观，仅在河流两侧和洪积扇后缘可见以猪毛菜、麻黄、合头草等为优势的荒漠植被。</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在水平方向上，植被的分布受地下水和土壤盐分的影响。盆地中央，以大面积裸露的盐壳为主；其外围是冲洪积细土平原，部分形成以河流为中心的一定面积的绿洲，其中低洼处有地下水渗出和积水，主要植被类型为沼泽化盐生草甸，以芦苇、白刺、柽柳为优势种；细土平原外围是沙砾质洪积平原，分布大面积裸露戈壁和沙丘，主要植被类型为温带半灌木、矮半灌木荒漠，以合头草、白刺为优势种；山前洪积扇也以温带半灌木、矮半灌木荒漠为主，分布以猪毛菜、麻黄、合头草等为优势的荒漠植被，并延伸至中低山区。</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总的来说，</w:t>
            </w:r>
            <w:r>
              <w:rPr>
                <w:rFonts w:hint="eastAsia"/>
                <w:color w:val="000000" w:themeColor="text1"/>
                <w:sz w:val="24"/>
                <w:lang w:eastAsia="zh-CN"/>
                <w14:textFill>
                  <w14:solidFill>
                    <w14:schemeClr w14:val="tx1"/>
                  </w14:solidFill>
                </w14:textFill>
              </w:rPr>
              <w:t>勘查区</w:t>
            </w:r>
            <w:r>
              <w:rPr>
                <w:rFonts w:hint="eastAsia"/>
                <w:color w:val="000000" w:themeColor="text1"/>
                <w:sz w:val="24"/>
                <w:lang w:val="en-US" w:eastAsia="zh-CN"/>
                <w14:textFill>
                  <w14:solidFill>
                    <w14:schemeClr w14:val="tx1"/>
                  </w14:solidFill>
                </w14:textFill>
              </w:rPr>
              <w:t>内</w:t>
            </w:r>
            <w:r>
              <w:rPr>
                <w:color w:val="000000" w:themeColor="text1"/>
                <w:sz w:val="24"/>
                <w14:textFill>
                  <w14:solidFill>
                    <w14:schemeClr w14:val="tx1"/>
                  </w14:solidFill>
                </w14:textFill>
              </w:rPr>
              <w:t>植被类型属典型的荒漠植被，主要以温带荒漠、温带盐生草甸植被为主，植被类群较为贫乏，类型较为单一。在柴达木盆地西部</w:t>
            </w:r>
            <w:r>
              <w:rPr>
                <w:rFonts w:hint="eastAsia"/>
                <w:color w:val="000000" w:themeColor="text1"/>
                <w:sz w:val="24"/>
                <w:lang w:eastAsia="zh-CN"/>
                <w14:textFill>
                  <w14:solidFill>
                    <w14:schemeClr w14:val="tx1"/>
                  </w14:solidFill>
                </w14:textFill>
              </w:rPr>
              <w:t>勘查区</w:t>
            </w:r>
            <w:r>
              <w:rPr>
                <w:color w:val="000000" w:themeColor="text1"/>
                <w:sz w:val="24"/>
                <w14:textFill>
                  <w14:solidFill>
                    <w14:schemeClr w14:val="tx1"/>
                  </w14:solidFill>
                </w14:textFill>
              </w:rPr>
              <w:t>基本为无植被区。</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②陆生植被调查评价</w:t>
            </w:r>
          </w:p>
          <w:p>
            <w:pPr>
              <w:pStyle w:val="19"/>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w:t>
            </w:r>
            <w:r>
              <w:rPr>
                <w:color w:val="000000" w:themeColor="text1"/>
                <w:sz w:val="24"/>
                <w14:textFill>
                  <w14:solidFill>
                    <w14:schemeClr w14:val="tx1"/>
                  </w14:solidFill>
                </w14:textFill>
              </w:rPr>
              <w:t>、植被类型调查</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根据《青海植物志》、《青海植物名录》，以及前人在区域进行的实地调查，主要植被类型如下：</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A、温带灌木荒漠：灌木荒漠主要为膜果麻黄荒漠、柽柳和白刺荒漠。</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膜果麻黄荒漠：该群系主要分布在河道沿线坝区的砾质戈壁、冲积或者洪积冲积扇，表面细土被风蚀，下层有发达的石膏盐盘夹层的区域。膜果麻黄荒漠群群落结构十分简单，以膜果麻黄为建群种，植被十分稀疏，实生苗少见，幼苗需若干年才能长大成株。膜果麻黄高50～240cm，盖度一般在10%左右，或更低到5%以下。主要伴生种随生态条件不同，主要伴生种有裸果木、泡泡刺、枇杷柴等。</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多枝柽柳荒漠：该群系是该地区分布比较普遍的类型之一。主要分布在河流的冲击和洪积的细土带上，地下水位较高，土壤多由粉砂组成的区域。柽柳灌木一般高1～2m，以土壤含盐量的轻重不同，其株高差异较大，有极强的泌盐能力，根系发达粗壮，具有固沙作用。柽柳群落结构简单，外貌独特，在局部地段，由于根系的固沙作用，基部堆积着较大的沙包，被称为“红柳包”或“柽柳包”。以多花柽柳、翠枝柽柳和短穗柽柳为共建种，有时各分别为建群种，伴生种类较多，常见的有黑果枸杞、白刺、细枝盐爪爪、盐爪爪、芦苇等。</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西伯利亚白刺荒漠：主要分布在山前戈壁区、荒漠和半荒漠的湖盆沙地、河流阶地、山前平原积沙地、有风积沙的粘土区域。以西伯利亚白刺为优势，根系发达，耐旱、耐盐碱、抗风沙，是荒漠区防风固沙和盐渍地造林的主要树种之一。白刺灌木林结构简单，仅灌木层和草木层，以白刺为优势的灌木层中，还有柽柳、枸杞伴生。白刺根蘖旺盛，枝条柔软，常是丛状分布或形成白刺沙包，层盖度20～50%，平均高度120～150cm，尤以分布在地下水位较浅的草甸盐土区生长更为繁茂；草本层一般比较稀疏，层盖度10～20%，伴生种主要有芦苇、赖草、碱蓬、黄芪、芨芨草等。</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B、温带半灌木、矮半灌木荒漠—蒿叶猪毛菜荒漠：该群系主要分布在山区和山前戈壁区、砾石戈壁、冲积扇、洪积扇和低山岩漠的缓坡上，群落结构简单，单层结构。种类组成贫乏，以蒿叶猪毛菜为建群种，植物生长稀疏，总盖度15%左右，蒿叶猪毛菜高20～30cm，盖度为5%。常见的伴生种类有红砂、五柱红砂、驼绒藜、珍珠猪毛菜、黑海盐爪爪等。</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C、温带多汁盐生矮半灌木荒漠—盐爪爪荒漠：该群系主要分布与沿河道两侧的粗砂地段。因洪水漫流，常在地表形成薄层细土结皮，并有较浅的冲沟。以盐爪爪和红砂为建群种，植物生长稀疏，株高20～30cm，总盖度15%～20%。伴生种类较少，常见的有细枝盐爪爪、驼绒藜、合头草、黄花补血草等。</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D、高寒禾草、苔草草原—紫花针茅高寒草原：紫花针茅高寒草原，该群落主要分布在山区的山坡草甸、山前洪积扇或河谷阶地上。紫花针茅做为建群种组成紫花针茅高寒草原，多年生草本，秆直立，细瘦，高20～45cm。群落盖度20%～35%。伴生种种类丰富，常见的为多枝黄芪、大花嵩草、伊凡苔草、沙蒿等。</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E、温带禾草、杂类草盐生草甸—芦苇盐生草甸：主要分布于湖周围地带，河流经区地下水位高，土壤盐渍化程度较重的地段。芦苇的生长受到影响，其根茎一伸出盐类聚层，就呈锐角的向上分蘖，分蘖节极短，集中呈束状。以芦苇为建群种，株高10～15cm，总盖度在50%～85%，常见的半生种有细枝盐爪爪。而在河流泛滥地，地表凹凸不平，芦苇一般生长在塔头之上，除芦苇之外尚有布顿大麦；在塔头之下的积水凹地，常见有圆囊苔草、海韭菜、蒲公英、海乳草、华扁穗草等。</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含白刺、柽柳的芦苇、大花野麻盐生草甸：主要分布在盐渍化相对较轻和龟裂型盐土上。含白刺、柽柳的芦苇、大花野麻盐生草甸中植被类型丰富，以西伯利亚自刺、芦苇为建种群，株高50～200cm，茎直立，多分枝。常见的次级优势植物有大花野麻、胀果甘草。群落总盖度30%～40%。群落中伴生种有毛红柳、黑刺、芦苇等。</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F、高寒嵩草、杂类草草甸—小嵩草高寒草甸：主要分布于中山区山地阳坡干旱地带。是高山和高寒气候的产物，属典型的高原地带性和山地垂直地带性植被类型。小嵩草高寒草甸植物群落外貌较单调而整齐，层次分化不明显。组成该群落的植物以旱中生植物为主，并大量侵入旱生植物。以小嵩草为建群种，密集丛生，株高1～3.5cm，垫状植被。次生种和伴生种为美丽风毛菊、紫羊茅、垂穗披碱草、麻花艽、青海风毛菊、柔软紫菀、异叶米口袋等。</w:t>
            </w:r>
          </w:p>
          <w:p>
            <w:pPr>
              <w:pStyle w:val="19"/>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color w:val="000000" w:themeColor="text1"/>
                <w:sz w:val="24"/>
                <w14:textFill>
                  <w14:solidFill>
                    <w14:schemeClr w14:val="tx1"/>
                  </w14:solidFill>
                </w14:textFill>
              </w:rPr>
              <w:t>植被覆盖度</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drawing>
                <wp:anchor distT="0" distB="0" distL="0" distR="0" simplePos="0" relativeHeight="241536000" behindDoc="1" locked="0" layoutInCell="1" allowOverlap="1">
                  <wp:simplePos x="0" y="0"/>
                  <wp:positionH relativeFrom="page">
                    <wp:posOffset>6627495</wp:posOffset>
                  </wp:positionH>
                  <wp:positionV relativeFrom="paragraph">
                    <wp:posOffset>791845</wp:posOffset>
                  </wp:positionV>
                  <wp:extent cx="44450" cy="57150"/>
                  <wp:effectExtent l="0" t="0" r="6350" b="6350"/>
                  <wp:wrapNone/>
                  <wp:docPr id="2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6.png"/>
                          <pic:cNvPicPr>
                            <a:picLocks noChangeAspect="1"/>
                          </pic:cNvPicPr>
                        </pic:nvPicPr>
                        <pic:blipFill>
                          <a:blip r:embed="rId19" cstate="print"/>
                          <a:stretch>
                            <a:fillRect/>
                          </a:stretch>
                        </pic:blipFill>
                        <pic:spPr>
                          <a:xfrm>
                            <a:off x="0" y="0"/>
                            <a:ext cx="44450" cy="57150"/>
                          </a:xfrm>
                          <a:prstGeom prst="rect">
                            <a:avLst/>
                          </a:prstGeom>
                        </pic:spPr>
                      </pic:pic>
                    </a:graphicData>
                  </a:graphic>
                </wp:anchor>
              </w:drawing>
            </w:r>
            <w:r>
              <w:rPr>
                <w:color w:val="000000" w:themeColor="text1"/>
                <w:sz w:val="24"/>
                <w14:textFill>
                  <w14:solidFill>
                    <w14:schemeClr w14:val="tx1"/>
                  </w14:solidFill>
                </w14:textFill>
              </w:rPr>
              <w:t>如前文所述，因该区气候极其干旱，植被以灌木、半灌木、草甸为主，缺乏裸子植物和被子植物中高大乔木树种，植被覆盖度极低。根据《2000—2015年柴达木盆地植被覆盖度时空变化及其与环境因子的关系》（张斯琦、陈辉等，《干旱区地》—第42卷第期） 中相关调研结果：柴达木盆地植被覆盖度空间分布整体呈现自东南向西北内陆呈半环状递减趋势，盆地平均植被覆盖10.23%，其中4%区域覆盖度在5%以下，零星分布于昆仑山区和部分西北内陆地区，昆仑山顶常年积雪覆盖。盆地东南低山区紫花针茅草原区、中部格尔木—诺木洪一带绿洲核心区前缘芦苇—野麻—柽柳草甸区、苏干湖东部冲积平原芦苇—赖草草甸区约5.9%区域覆盖度在40%以上，该区域湖泊和径流等水文条件较好，利于植被生长，打破了该区覆盖度地带性分布规律。昆仑山区、巴音郭勒河和霍兰郭勒河等周边水源相对充足，覆盖度多集中在20%～40%。</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总体上看，区域植被覆盖度极低，是以荒漠植被为主的低植被覆盖度区。</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③生物量和生产力</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根据《中亚干旱荒漠区植被碳储量估算》（陶冶、张元明，《干旱区地》—第36卷第4期）、《青藏高原主要植被类型生物生产量的比较研究》（罗天祥、李文华等，《生态学报》—第19卷第6期）及《柴达木盆地格尔木河流域生态需水量初步估算讨论》（李健、</w:t>
            </w:r>
            <w:r>
              <w:rPr>
                <w:color w:val="000000" w:themeColor="text1"/>
                <w:sz w:val="24"/>
                <w14:textFill>
                  <w14:solidFill>
                    <w14:schemeClr w14:val="tx1"/>
                  </w14:solidFill>
                </w14:textFill>
              </w:rPr>
              <w:drawing>
                <wp:anchor distT="0" distB="0" distL="0" distR="0" simplePos="0" relativeHeight="241537024" behindDoc="1" locked="0" layoutInCell="1" allowOverlap="1">
                  <wp:simplePos x="0" y="0"/>
                  <wp:positionH relativeFrom="page">
                    <wp:posOffset>3503295</wp:posOffset>
                  </wp:positionH>
                  <wp:positionV relativeFrom="paragraph">
                    <wp:posOffset>100330</wp:posOffset>
                  </wp:positionV>
                  <wp:extent cx="44450" cy="57150"/>
                  <wp:effectExtent l="0" t="0" r="6350" b="6350"/>
                  <wp:wrapNone/>
                  <wp:docPr id="27"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6.png"/>
                          <pic:cNvPicPr>
                            <a:picLocks noChangeAspect="1"/>
                          </pic:cNvPicPr>
                        </pic:nvPicPr>
                        <pic:blipFill>
                          <a:blip r:embed="rId19" cstate="print"/>
                          <a:stretch>
                            <a:fillRect/>
                          </a:stretch>
                        </pic:blipFill>
                        <pic:spPr>
                          <a:xfrm>
                            <a:off x="0" y="0"/>
                            <a:ext cx="44450" cy="57150"/>
                          </a:xfrm>
                          <a:prstGeom prst="rect">
                            <a:avLst/>
                          </a:prstGeom>
                        </pic:spPr>
                      </pic:pic>
                    </a:graphicData>
                  </a:graphic>
                </wp:anchor>
              </w:drawing>
            </w:r>
            <w:r>
              <w:rPr>
                <w:color w:val="000000" w:themeColor="text1"/>
                <w:sz w:val="24"/>
                <w14:textFill>
                  <w14:solidFill>
                    <w14:schemeClr w14:val="tx1"/>
                  </w14:solidFill>
                </w14:textFill>
              </w:rPr>
              <w:t>王辉等，《水文地质工程地质》—第3卷第1期）等资料，参照植被生物量和净生产量估计模型，并通过类比，估算出区域不同植被类型平均单位面积生物量和净第一性生产力指标：草地净第一性生产力最高，约为0.43t/h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·a，单位面积生物量约为4.29t/hm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；灌丛净第一性生产力为0.14t/hm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·a，单位面积生物量约为4.13t/hm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；稀疏草地净第一性生产力为0.12t/hm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·a，单位面积生物量约为2.71t/hm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；盐碱地最低，为0.01t/hm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·a，生物量约为0.64t/hm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w:t>
            </w:r>
          </w:p>
          <w:p>
            <w:pPr>
              <w:pStyle w:val="19"/>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野生动物调查与评价</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据《青海经济动物志》等资料统计，区域鸟类至少22科71种，哺乳类至少15科40种，爬行类至少2科2种。</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71种鸟类以古北界种类最多，共61种；其余10种为广布种。主要包括疣鼻天鹅、灰雁、赤麻鸭、雉鸡、原鸽和渡鸦等种类。鸟类的居留型以留鸟最多，占鸟类总数的48.61%；其次为夏候鸟，占总数的31.94%，夏季温度适宜，日照时间长，食物丰富，有良好的筑巢场所，为鸟类繁殖提供了良好的条件。旅鸟最少，占鸟类总数的19.44%。冬季严寒、食物相对缺乏，没有冬候鸟在这里越冬，但区域是我国西部鸟类迁徙路线的停歇地和夏候鸟繁殖地。</w:t>
            </w:r>
          </w:p>
          <w:p>
            <w:pPr>
              <w:pStyle w:val="19"/>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42种兽类主要包括藏野驴、骆驼、藏原羚、狼、赤狐、岩羊、子午沙鼠、青海沙蜥等，主要分布在青藏区且多为广布种，以高山裸岩、高山灌丛、草甸草原、山地森林、荒漠半荒漠、干草原、羌塘草原、沼泽草甸为主要生存环境。</w:t>
            </w:r>
          </w:p>
          <w:p>
            <w:pPr>
              <w:pStyle w:val="19"/>
              <w:spacing w:line="360" w:lineRule="auto"/>
              <w:ind w:firstLine="480"/>
              <w:rPr>
                <w:rFonts w:hint="eastAsia"/>
                <w:color w:val="000000" w:themeColor="text1"/>
                <w:sz w:val="24"/>
                <w14:textFill>
                  <w14:solidFill>
                    <w14:schemeClr w14:val="tx1"/>
                  </w14:solidFill>
                </w14:textFill>
              </w:rPr>
            </w:pPr>
          </w:p>
          <w:p>
            <w:pPr>
              <w:pStyle w:val="19"/>
              <w:spacing w:line="360" w:lineRule="auto"/>
              <w:ind w:firstLine="480"/>
              <w:rPr>
                <w:rFonts w:hint="eastAsia"/>
                <w:color w:val="000000" w:themeColor="text1"/>
                <w:sz w:val="24"/>
                <w14:textFill>
                  <w14:solidFill>
                    <w14:schemeClr w14:val="tx1"/>
                  </w14:solidFill>
                </w14:textFill>
              </w:rPr>
            </w:pPr>
          </w:p>
          <w:p>
            <w:pPr>
              <w:pStyle w:val="19"/>
              <w:spacing w:line="360" w:lineRule="auto"/>
              <w:ind w:firstLine="480"/>
              <w:rPr>
                <w:rFonts w:hint="eastAsia"/>
                <w:color w:val="000000" w:themeColor="text1"/>
                <w:sz w:val="24"/>
                <w14:textFill>
                  <w14:solidFill>
                    <w14:schemeClr w14:val="tx1"/>
                  </w14:solidFill>
                </w14:textFill>
              </w:rPr>
            </w:pPr>
          </w:p>
          <w:p>
            <w:pPr>
              <w:pStyle w:val="19"/>
              <w:spacing w:line="360" w:lineRule="auto"/>
              <w:ind w:firstLine="480"/>
              <w:rPr>
                <w:rFonts w:hint="eastAsia"/>
                <w:color w:val="000000" w:themeColor="text1"/>
                <w:sz w:val="24"/>
                <w14:textFill>
                  <w14:solidFill>
                    <w14:schemeClr w14:val="tx1"/>
                  </w14:solidFill>
                </w14:textFill>
              </w:rPr>
            </w:pPr>
          </w:p>
          <w:p>
            <w:pPr>
              <w:pStyle w:val="19"/>
              <w:spacing w:line="360" w:lineRule="auto"/>
              <w:ind w:firstLine="480"/>
              <w:rPr>
                <w:rFonts w:hint="eastAsia"/>
                <w:color w:val="000000" w:themeColor="text1"/>
                <w:sz w:val="24"/>
                <w14:textFill>
                  <w14:solidFill>
                    <w14:schemeClr w14:val="tx1"/>
                  </w14:solidFill>
                </w14:textFill>
              </w:rPr>
            </w:pPr>
          </w:p>
          <w:p>
            <w:pPr>
              <w:pStyle w:val="19"/>
              <w:spacing w:line="360" w:lineRule="auto"/>
              <w:ind w:left="0" w:leftChars="0" w:firstLine="0" w:firstLineChars="0"/>
              <w:rPr>
                <w:rFonts w:hint="eastAsia"/>
                <w:color w:val="000000" w:themeColor="text1"/>
                <w:sz w:val="24"/>
                <w14:textFill>
                  <w14:solidFill>
                    <w14:schemeClr w14:val="tx1"/>
                  </w14:solidFill>
                </w14:textFill>
              </w:rPr>
            </w:pPr>
          </w:p>
          <w:p>
            <w:pPr>
              <w:pStyle w:val="19"/>
              <w:spacing w:line="360" w:lineRule="auto"/>
              <w:ind w:left="0" w:leftChars="0" w:firstLine="0" w:firstLineChars="0"/>
              <w:rPr>
                <w:rFonts w:hint="eastAsia"/>
                <w:color w:val="000000" w:themeColor="text1"/>
                <w:sz w:val="24"/>
                <w14:textFill>
                  <w14:solidFill>
                    <w14:schemeClr w14:val="tx1"/>
                  </w14:solidFill>
                </w14:textFill>
              </w:rPr>
            </w:pPr>
          </w:p>
          <w:p>
            <w:pPr>
              <w:pStyle w:val="19"/>
              <w:spacing w:line="360" w:lineRule="auto"/>
              <w:ind w:firstLine="480"/>
              <w:rPr>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tcPr>
          <w:p>
            <w:pPr>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主要环境保护目标（列出名单及保护级别）：</w:t>
            </w:r>
          </w:p>
          <w:p>
            <w:pPr>
              <w:pStyle w:val="19"/>
              <w:numPr>
                <w:ilvl w:val="0"/>
                <w:numId w:val="0"/>
              </w:numPr>
              <w:spacing w:line="360" w:lineRule="auto"/>
              <w:ind w:leftChars="0" w:firstLine="480" w:firstLineChars="200"/>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pPr>
            <w:bookmarkStart w:id="13" w:name="_Hlk11074135"/>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本项目工作时间为2022-2026年，其中2022年钻孔位置已确定，2023-2026年钻孔的位置尚未确定。</w:t>
            </w:r>
          </w:p>
          <w:p>
            <w:pPr>
              <w:pStyle w:val="19"/>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1、生态</w:t>
            </w:r>
            <w:r>
              <w:rPr>
                <w:rFonts w:hint="eastAsia"/>
                <w:b/>
                <w:bCs/>
                <w:color w:val="000000" w:themeColor="text1"/>
                <w:sz w:val="24"/>
                <w14:textFill>
                  <w14:solidFill>
                    <w14:schemeClr w14:val="tx1"/>
                  </w14:solidFill>
                </w14:textFill>
              </w:rPr>
              <w:t>环境敏感区</w:t>
            </w:r>
          </w:p>
          <w:p>
            <w:pPr>
              <w:pStyle w:val="9"/>
              <w:spacing w:after="0" w:line="360" w:lineRule="auto"/>
              <w:ind w:left="0" w:leftChars="0" w:firstLine="480" w:firstLineChars="200"/>
              <w:rPr>
                <w:rFonts w:hAnsi="宋体"/>
                <w:color w:val="000000" w:themeColor="text1"/>
                <w:sz w:val="24"/>
                <w14:textFill>
                  <w14:solidFill>
                    <w14:schemeClr w14:val="tx1"/>
                  </w14:solidFill>
                </w14:textFill>
              </w:rPr>
            </w:pPr>
            <w:r>
              <w:rPr>
                <w:rFonts w:hint="eastAsia"/>
                <w:bCs/>
                <w:color w:val="000000" w:themeColor="text1"/>
                <w:sz w:val="24"/>
                <w:lang w:eastAsia="zh-CN"/>
                <w14:textFill>
                  <w14:solidFill>
                    <w14:schemeClr w14:val="tx1"/>
                  </w14:solidFill>
                </w14:textFill>
              </w:rPr>
              <w:t>勘查区</w:t>
            </w:r>
            <w:r>
              <w:rPr>
                <w:rFonts w:hint="eastAsia"/>
                <w:bCs/>
                <w:color w:val="000000" w:themeColor="text1"/>
                <w:sz w:val="24"/>
                <w:lang w:val="en-US" w:eastAsia="zh-CN"/>
                <w14:textFill>
                  <w14:solidFill>
                    <w14:schemeClr w14:val="tx1"/>
                  </w14:solidFill>
                </w14:textFill>
              </w:rPr>
              <w:t>内分布</w:t>
            </w:r>
            <w:r>
              <w:rPr>
                <w:rFonts w:hint="eastAsia"/>
                <w:bCs/>
                <w:color w:val="000000" w:themeColor="text1"/>
                <w:sz w:val="24"/>
                <w14:textFill>
                  <w14:solidFill>
                    <w14:schemeClr w14:val="tx1"/>
                  </w14:solidFill>
                </w14:textFill>
              </w:rPr>
              <w:t>有5个省级自然保护区（青海格尔木胡杨林自然保护区、青海省诺木洪自然保护区、克鲁克湖-托素湖自然保护区、大苏干湖自然保护区和小苏干湖自然保护区）、1个国家级自然保护区（青海柴达木梭梭林自然保护区）、1个省级风景名胜区（柴达木魔鬼城风景名胜区）、1个省级森林公园（青海德令哈柏树山省级森林公园）、1个省级地质公园（青海德令哈柏树山省级森林公园）、2个湿地（苏干湖湿地和小苏干湖湿地）、4个水源保护地（阿拉尔水源保护地、冷湖水源保护地、大柴旦水源保护地和巴音河水源保护地）。</w:t>
            </w:r>
            <w:r>
              <w:rPr>
                <w:rFonts w:hint="eastAsia"/>
                <w:color w:val="000000" w:themeColor="text1"/>
                <w:sz w:val="24"/>
                <w14:textFill>
                  <w14:solidFill>
                    <w14:schemeClr w14:val="tx1"/>
                  </w14:solidFill>
                </w14:textFill>
              </w:rPr>
              <w:t>钻孔距最近敏感区为冷湖水源保护地，相距约3.4km。</w:t>
            </w:r>
          </w:p>
          <w:p>
            <w:pPr>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本项目2022年的钻孔不占用上述环境敏感区，同时评价要求勘查过程中调整的钻孔以及2023-2026年拟布设的钻孔选址应对上述环境敏感区进行避让，钻孔位置明确后及时向审批部门及属地监管部门进行报备。</w:t>
            </w:r>
          </w:p>
          <w:p>
            <w:pPr>
              <w:spacing w:line="360" w:lineRule="auto"/>
              <w:ind w:firstLine="480" w:firstLineChars="200"/>
              <w:rPr>
                <w:rFonts w:hAnsi="宋体"/>
                <w:color w:val="000000" w:themeColor="text1"/>
                <w:sz w:val="24"/>
                <w14:textFill>
                  <w14:solidFill>
                    <w14:schemeClr w14:val="tx1"/>
                  </w14:solidFill>
                </w14:textFill>
              </w:rPr>
            </w:pPr>
            <w:r>
              <w:rPr>
                <w:rFonts w:hint="eastAsia" w:hAnsi="宋体"/>
                <w:color w:val="000000" w:themeColor="text1"/>
                <w:sz w:val="24"/>
                <w14:textFill>
                  <w14:solidFill>
                    <w14:schemeClr w14:val="tx1"/>
                  </w14:solidFill>
                </w14:textFill>
              </w:rPr>
              <w:t>本项目</w:t>
            </w:r>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14:textFill>
                  <w14:solidFill>
                    <w14:schemeClr w14:val="tx1"/>
                  </w14:solidFill>
                </w14:textFill>
              </w:rPr>
              <w:t>周边环境敏感区分布情况及位置关系见表</w:t>
            </w:r>
            <w:r>
              <w:rPr>
                <w:rFonts w:hAnsi="宋体"/>
                <w:color w:val="000000" w:themeColor="text1"/>
                <w:sz w:val="24"/>
                <w14:textFill>
                  <w14:solidFill>
                    <w14:schemeClr w14:val="tx1"/>
                  </w14:solidFill>
                </w14:textFill>
              </w:rPr>
              <w:t>5-6</w:t>
            </w:r>
            <w:r>
              <w:rPr>
                <w:rFonts w:hint="eastAsia" w:hAnsi="宋体"/>
                <w:color w:val="000000" w:themeColor="text1"/>
                <w:sz w:val="24"/>
                <w14:textFill>
                  <w14:solidFill>
                    <w14:schemeClr w14:val="tx1"/>
                  </w14:solidFill>
                </w14:textFill>
              </w:rPr>
              <w:t>，</w:t>
            </w:r>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lang w:val="en-US" w:eastAsia="zh-CN"/>
                <w14:textFill>
                  <w14:solidFill>
                    <w14:schemeClr w14:val="tx1"/>
                  </w14:solidFill>
                </w14:textFill>
              </w:rPr>
              <w:t>内</w:t>
            </w:r>
            <w:r>
              <w:rPr>
                <w:rFonts w:hint="eastAsia"/>
                <w:color w:val="000000" w:themeColor="text1"/>
                <w:sz w:val="24"/>
                <w14:textFill>
                  <w14:solidFill>
                    <w14:schemeClr w14:val="tx1"/>
                  </w14:solidFill>
                </w14:textFill>
              </w:rPr>
              <w:t>周边环境敏感区分布情况及位置关系</w:t>
            </w:r>
            <w:r>
              <w:rPr>
                <w:rFonts w:hint="eastAsia" w:hAnsi="宋体"/>
                <w:color w:val="000000" w:themeColor="text1"/>
                <w:sz w:val="24"/>
                <w14:textFill>
                  <w14:solidFill>
                    <w14:schemeClr w14:val="tx1"/>
                  </w14:solidFill>
                </w14:textFill>
              </w:rPr>
              <w:t>见附图</w:t>
            </w:r>
            <w:r>
              <w:rPr>
                <w:rFonts w:hint="eastAsia" w:hAnsi="宋体"/>
                <w:color w:val="000000" w:themeColor="text1"/>
                <w:sz w:val="24"/>
                <w:lang w:val="en-US" w:eastAsia="zh-CN"/>
                <w14:textFill>
                  <w14:solidFill>
                    <w14:schemeClr w14:val="tx1"/>
                  </w14:solidFill>
                </w14:textFill>
              </w:rPr>
              <w:t>7</w:t>
            </w:r>
            <w:r>
              <w:rPr>
                <w:rFonts w:hint="eastAsia" w:hAnsi="宋体"/>
                <w:color w:val="000000" w:themeColor="text1"/>
                <w:sz w:val="24"/>
                <w14:textFill>
                  <w14:solidFill>
                    <w14:schemeClr w14:val="tx1"/>
                  </w14:solidFill>
                </w14:textFill>
              </w:rPr>
              <w:t>。</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表5-6  本项目</w:t>
            </w:r>
            <w:r>
              <w:rPr>
                <w:rFonts w:hint="eastAsia"/>
                <w:color w:val="000000" w:themeColor="text1"/>
                <w:sz w:val="24"/>
                <w:lang w:eastAsia="zh-CN"/>
                <w14:textFill>
                  <w14:solidFill>
                    <w14:schemeClr w14:val="tx1"/>
                  </w14:solidFill>
                </w14:textFill>
              </w:rPr>
              <w:t>勘查区</w:t>
            </w:r>
            <w:r>
              <w:rPr>
                <w:rFonts w:hint="eastAsia"/>
                <w:color w:val="000000" w:themeColor="text1"/>
                <w:sz w:val="24"/>
                <w:lang w:val="en-US" w:eastAsia="zh-CN"/>
                <w14:textFill>
                  <w14:solidFill>
                    <w14:schemeClr w14:val="tx1"/>
                  </w14:solidFill>
                </w14:textFill>
              </w:rPr>
              <w:t>内</w:t>
            </w:r>
            <w:r>
              <w:rPr>
                <w:rFonts w:hint="eastAsia"/>
                <w:color w:val="000000" w:themeColor="text1"/>
                <w:sz w:val="24"/>
                <w14:textFill>
                  <w14:solidFill>
                    <w14:schemeClr w14:val="tx1"/>
                  </w14:solidFill>
                </w14:textFill>
              </w:rPr>
              <w:t>周边环境敏感区分布情况及位置关系一览表</w:t>
            </w:r>
          </w:p>
          <w:tbl>
            <w:tblPr>
              <w:tblStyle w:val="12"/>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33"/>
              <w:gridCol w:w="1952"/>
              <w:gridCol w:w="814"/>
              <w:gridCol w:w="1630"/>
              <w:gridCol w:w="1250"/>
              <w:gridCol w:w="916"/>
              <w:gridCol w:w="198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敏感区</w:t>
                  </w:r>
                </w:p>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类别</w:t>
                  </w: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敏感区名称</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级别</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主要保护</w:t>
                  </w:r>
                </w:p>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对象或类型</w:t>
                  </w:r>
                </w:p>
              </w:tc>
              <w:tc>
                <w:tcPr>
                  <w:tcW w:w="659" w:type="pct"/>
                  <w:vAlign w:val="center"/>
                </w:tcPr>
                <w:p>
                  <w:pPr>
                    <w:autoSpaceDE w:val="0"/>
                    <w:autoSpaceDN w:val="0"/>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与</w:t>
                  </w:r>
                  <w:r>
                    <w:rPr>
                      <w:rFonts w:hint="eastAsia"/>
                      <w:color w:val="000000" w:themeColor="text1"/>
                      <w:szCs w:val="21"/>
                      <w:lang w:eastAsia="zh-CN"/>
                      <w14:textFill>
                        <w14:solidFill>
                          <w14:schemeClr w14:val="tx1"/>
                        </w14:solidFill>
                      </w14:textFill>
                    </w:rPr>
                    <w:t>勘查区</w:t>
                  </w:r>
                </w:p>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位置关系</w:t>
                  </w:r>
                </w:p>
              </w:tc>
              <w:tc>
                <w:tcPr>
                  <w:tcW w:w="483"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方位</w:t>
                  </w:r>
                </w:p>
              </w:tc>
              <w:tc>
                <w:tcPr>
                  <w:tcW w:w="1045"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最近距离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Merge w:val="restar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自然</w:t>
                  </w:r>
                </w:p>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保护区</w:t>
                  </w: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青海柴达木梭梭林自然保护区</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国家级</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梭梭林、鹅喉羚及荒漠植被生态系统</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ZKHB1-2与其最近，距离17.9km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Merge w:val="continue"/>
                  <w:vAlign w:val="center"/>
                </w:tcPr>
                <w:p>
                  <w:pPr>
                    <w:autoSpaceDE w:val="0"/>
                    <w:autoSpaceDN w:val="0"/>
                    <w:jc w:val="center"/>
                    <w:rPr>
                      <w:color w:val="000000" w:themeColor="text1"/>
                      <w:szCs w:val="21"/>
                      <w14:textFill>
                        <w14:solidFill>
                          <w14:schemeClr w14:val="tx1"/>
                        </w14:solidFill>
                      </w14:textFill>
                    </w:rPr>
                  </w:pP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青海格尔木胡杨林自然保护区</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省级</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ascii="宋体" w:hAnsi="宋体" w:cs="宋体"/>
                      <w:color w:val="000000" w:themeColor="text1"/>
                      <w:kern w:val="0"/>
                      <w:sz w:val="20"/>
                      <w:szCs w:val="20"/>
                      <w14:textFill>
                        <w14:solidFill>
                          <w14:schemeClr w14:val="tx1"/>
                        </w14:solidFill>
                      </w14:textFill>
                    </w:rPr>
                    <w:t>水禽鸟类及湿地生态系统</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S</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ZKGE2-1与其最近，距离81.6km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Merge w:val="continue"/>
                  <w:vAlign w:val="center"/>
                </w:tcPr>
                <w:p>
                  <w:pPr>
                    <w:autoSpaceDE w:val="0"/>
                    <w:autoSpaceDN w:val="0"/>
                    <w:jc w:val="center"/>
                    <w:rPr>
                      <w:color w:val="000000" w:themeColor="text1"/>
                      <w:szCs w:val="21"/>
                      <w14:textFill>
                        <w14:solidFill>
                          <w14:schemeClr w14:val="tx1"/>
                        </w14:solidFill>
                      </w14:textFill>
                    </w:rPr>
                  </w:pP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青海省诺木洪自然保护区</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省级</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湿地、森林生态系统</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S</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ZKHB1-1与其最近，距离36.7km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Merge w:val="continue"/>
                  <w:vAlign w:val="center"/>
                </w:tcPr>
                <w:p>
                  <w:pPr>
                    <w:autoSpaceDE w:val="0"/>
                    <w:autoSpaceDN w:val="0"/>
                    <w:jc w:val="center"/>
                    <w:rPr>
                      <w:color w:val="000000" w:themeColor="text1"/>
                      <w:szCs w:val="21"/>
                      <w14:textFill>
                        <w14:solidFill>
                          <w14:schemeClr w14:val="tx1"/>
                        </w14:solidFill>
                      </w14:textFill>
                    </w:rPr>
                  </w:pP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克鲁克湖-托素湖自然保护区</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省级</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ascii="宋体" w:hAnsi="宋体" w:cs="宋体"/>
                      <w:color w:val="000000" w:themeColor="text1"/>
                      <w:kern w:val="0"/>
                      <w:sz w:val="20"/>
                      <w:szCs w:val="20"/>
                      <w14:textFill>
                        <w14:solidFill>
                          <w14:schemeClr w14:val="tx1"/>
                        </w14:solidFill>
                      </w14:textFill>
                    </w:rPr>
                    <w:t>梭梭林、鹅喉羚及荒漠植被</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ZKHB1-2与其最近，距离53.2km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Merge w:val="continue"/>
                  <w:vAlign w:val="center"/>
                </w:tcPr>
                <w:p>
                  <w:pPr>
                    <w:autoSpaceDE w:val="0"/>
                    <w:autoSpaceDN w:val="0"/>
                    <w:jc w:val="center"/>
                    <w:rPr>
                      <w:color w:val="000000" w:themeColor="text1"/>
                      <w:szCs w:val="21"/>
                      <w14:textFill>
                        <w14:solidFill>
                          <w14:schemeClr w14:val="tx1"/>
                        </w14:solidFill>
                      </w14:textFill>
                    </w:rPr>
                  </w:pP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大苏干湖自然保护区</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省级</w:t>
                  </w:r>
                </w:p>
              </w:tc>
              <w:tc>
                <w:tcPr>
                  <w:tcW w:w="859" w:type="pct"/>
                  <w:vAlign w:val="center"/>
                </w:tcPr>
                <w:p>
                  <w:pPr>
                    <w:autoSpaceDE w:val="0"/>
                    <w:autoSpaceDN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天鹅、黑颈鹤</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E</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ZKSX0-3与其最近，距离25.6km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Merge w:val="continue"/>
                  <w:vAlign w:val="center"/>
                </w:tcPr>
                <w:p>
                  <w:pPr>
                    <w:autoSpaceDE w:val="0"/>
                    <w:autoSpaceDN w:val="0"/>
                    <w:jc w:val="center"/>
                    <w:rPr>
                      <w:color w:val="000000" w:themeColor="text1"/>
                      <w:szCs w:val="21"/>
                      <w14:textFill>
                        <w14:solidFill>
                          <w14:schemeClr w14:val="tx1"/>
                        </w14:solidFill>
                      </w14:textFill>
                    </w:rPr>
                  </w:pP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小苏干湖自然保护区</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省级</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候鸟、湖泊、湿地</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S</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ZKSX0-3与其最近，距离11.6km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风景名胜区</w:t>
                  </w: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柴达木魔鬼城风景名胜区</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省级</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自然景观</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NW</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ZKLC1-1与其最近，距离61.2km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森林</w:t>
                  </w:r>
                </w:p>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公园</w:t>
                  </w: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青海德令哈柏树山省级森林公园</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省级</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ascii="宋体" w:hAnsi="宋体" w:cs="宋体"/>
                      <w:color w:val="000000" w:themeColor="text1"/>
                      <w:kern w:val="0"/>
                      <w:sz w:val="20"/>
                      <w:szCs w:val="20"/>
                      <w14:textFill>
                        <w14:solidFill>
                          <w14:schemeClr w14:val="tx1"/>
                        </w14:solidFill>
                      </w14:textFill>
                    </w:rPr>
                    <w:t>森林生态和自然景观</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ZKLC2-2与其最近，距离97.4km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地质</w:t>
                  </w:r>
                </w:p>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公园</w:t>
                  </w: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青海德令哈柏树山省级地质公园</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省级</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kern w:val="0"/>
                      <w:sz w:val="20"/>
                      <w:szCs w:val="20"/>
                      <w14:textFill>
                        <w14:solidFill>
                          <w14:schemeClr w14:val="tx1"/>
                        </w14:solidFill>
                      </w14:textFill>
                    </w:rPr>
                    <w:t>高寒干旱岩溶与湖泊景观</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ZKLC2-2与其最近，距离78.5km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Merge w:val="restar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水源保护地</w:t>
                  </w: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阿拉尔水源保护地</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浅层地下水</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ZKY32-3与其最近，距离12.8km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Merge w:val="continue"/>
                  <w:vAlign w:val="center"/>
                </w:tcPr>
                <w:p>
                  <w:pPr>
                    <w:autoSpaceDE w:val="0"/>
                    <w:autoSpaceDN w:val="0"/>
                    <w:jc w:val="center"/>
                    <w:rPr>
                      <w:color w:val="000000" w:themeColor="text1"/>
                      <w:szCs w:val="21"/>
                      <w14:textFill>
                        <w14:solidFill>
                          <w14:schemeClr w14:val="tx1"/>
                        </w14:solidFill>
                      </w14:textFill>
                    </w:rPr>
                  </w:pP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冷湖水源保护地</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浅层地下水</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w:t>
                  </w:r>
                </w:p>
              </w:tc>
              <w:tc>
                <w:tcPr>
                  <w:tcW w:w="1045" w:type="pct"/>
                  <w:vAlign w:val="center"/>
                </w:tcPr>
                <w:p>
                  <w:pPr>
                    <w:autoSpaceDE w:val="0"/>
                    <w:autoSpaceDN w:val="0"/>
                    <w:rPr>
                      <w:color w:val="000000" w:themeColor="text1"/>
                      <w:szCs w:val="21"/>
                      <w14:textFill>
                        <w14:solidFill>
                          <w14:schemeClr w14:val="tx1"/>
                        </w14:solidFill>
                      </w14:textFill>
                    </w:rPr>
                  </w:pPr>
                  <w:r>
                    <w:rPr>
                      <w:rFonts w:eastAsia="等线"/>
                      <w:color w:val="000000" w:themeColor="text1"/>
                      <w:kern w:val="0"/>
                      <w:szCs w:val="21"/>
                      <w:lang w:bidi="ar"/>
                      <w14:textFill>
                        <w14:solidFill>
                          <w14:schemeClr w14:val="tx1"/>
                        </w14:solidFill>
                      </w14:textFill>
                    </w:rPr>
                    <w:t>ZKLH2-5</w:t>
                  </w:r>
                  <w:r>
                    <w:rPr>
                      <w:rFonts w:hint="eastAsia"/>
                      <w:color w:val="000000" w:themeColor="text1"/>
                      <w:szCs w:val="21"/>
                      <w14:textFill>
                        <w14:solidFill>
                          <w14:schemeClr w14:val="tx1"/>
                        </w14:solidFill>
                      </w14:textFill>
                    </w:rPr>
                    <w:t>与其最近，距离3.4km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492" w:type="pct"/>
                  <w:vMerge w:val="continue"/>
                  <w:vAlign w:val="center"/>
                </w:tcPr>
                <w:p>
                  <w:pPr>
                    <w:autoSpaceDE w:val="0"/>
                    <w:autoSpaceDN w:val="0"/>
                    <w:jc w:val="center"/>
                    <w:rPr>
                      <w:color w:val="000000" w:themeColor="text1"/>
                      <w:szCs w:val="21"/>
                      <w14:textFill>
                        <w14:solidFill>
                          <w14:schemeClr w14:val="tx1"/>
                        </w14:solidFill>
                      </w14:textFill>
                    </w:rPr>
                  </w:pPr>
                </w:p>
              </w:tc>
              <w:tc>
                <w:tcPr>
                  <w:tcW w:w="10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大柴旦水源保护地</w:t>
                  </w:r>
                </w:p>
              </w:tc>
              <w:tc>
                <w:tcPr>
                  <w:tcW w:w="42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8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浅层地下水</w:t>
                  </w:r>
                </w:p>
              </w:tc>
              <w:tc>
                <w:tcPr>
                  <w:tcW w:w="659" w:type="pct"/>
                  <w:vAlign w:val="center"/>
                </w:tcPr>
                <w:p>
                  <w:pPr>
                    <w:autoSpaceDE w:val="0"/>
                    <w:autoSpaceDN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c>
                <w:tcPr>
                  <w:tcW w:w="483" w:type="pct"/>
                  <w:vAlign w:val="center"/>
                </w:tcPr>
                <w:p>
                  <w:pPr>
                    <w:autoSpaceDE w:val="0"/>
                    <w:autoSpaceDN w:val="0"/>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NE</w:t>
                  </w:r>
                </w:p>
              </w:tc>
              <w:tc>
                <w:tcPr>
                  <w:tcW w:w="1045" w:type="pct"/>
                  <w:vAlign w:val="center"/>
                </w:tcPr>
                <w:p>
                  <w:pPr>
                    <w:autoSpaceDE w:val="0"/>
                    <w:autoSpaceDN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ZKLC2-2与其最近，距离34.1km</w:t>
                  </w:r>
                </w:p>
              </w:tc>
            </w:tr>
          </w:tbl>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lang w:eastAsia="zh-CN"/>
                <w14:textFill>
                  <w14:solidFill>
                    <w14:schemeClr w14:val="tx1"/>
                  </w14:solidFill>
                </w14:textFill>
              </w:rPr>
              <w:t>、</w:t>
            </w:r>
            <w:r>
              <w:rPr>
                <w:rFonts w:hint="eastAsia"/>
                <w:b/>
                <w:bCs/>
                <w:color w:val="000000" w:themeColor="text1"/>
                <w:sz w:val="24"/>
                <w14:textFill>
                  <w14:solidFill>
                    <w14:schemeClr w14:val="tx1"/>
                  </w14:solidFill>
                </w14:textFill>
              </w:rPr>
              <w:t>环境保护目标</w:t>
            </w:r>
          </w:p>
          <w:bookmarkEnd w:id="13"/>
          <w:p>
            <w:pPr>
              <w:pStyle w:val="9"/>
              <w:spacing w:after="0" w:line="360" w:lineRule="auto"/>
              <w:ind w:left="0" w:leftChars="0" w:firstLine="480" w:firstLineChars="200"/>
              <w:rPr>
                <w:rFonts w:hAnsi="宋体"/>
                <w:color w:val="000000" w:themeColor="text1"/>
                <w:sz w:val="24"/>
                <w14:textFill>
                  <w14:solidFill>
                    <w14:schemeClr w14:val="tx1"/>
                  </w14:solidFill>
                </w14:textFill>
              </w:rPr>
            </w:pPr>
            <w:r>
              <w:rPr>
                <w:rFonts w:hint="eastAsia" w:hAnsi="宋体"/>
                <w:color w:val="000000" w:themeColor="text1"/>
                <w:sz w:val="24"/>
                <w14:textFill>
                  <w14:solidFill>
                    <w14:schemeClr w14:val="tx1"/>
                  </w14:solidFill>
                </w14:textFill>
              </w:rPr>
              <w:t>本项目噪声评价范围内无敏感点，环境空气、地表水环境、声环境、辐射环境各要素主要环境保护目标见表5</w:t>
            </w:r>
            <w:r>
              <w:rPr>
                <w:rFonts w:hAnsi="宋体"/>
                <w:color w:val="000000" w:themeColor="text1"/>
                <w:sz w:val="24"/>
                <w14:textFill>
                  <w14:solidFill>
                    <w14:schemeClr w14:val="tx1"/>
                  </w14:solidFill>
                </w14:textFill>
              </w:rPr>
              <w:t>-7</w:t>
            </w:r>
            <w:r>
              <w:rPr>
                <w:rFonts w:hint="eastAsia" w:hAnsi="宋体"/>
                <w:color w:val="000000" w:themeColor="text1"/>
                <w:sz w:val="24"/>
                <w14:textFill>
                  <w14:solidFill>
                    <w14:schemeClr w14:val="tx1"/>
                  </w14:solidFill>
                </w14:textFill>
              </w:rPr>
              <w:t>，</w:t>
            </w:r>
            <w:bookmarkStart w:id="14" w:name="_Hlk36127139"/>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lang w:val="en-US" w:eastAsia="zh-CN"/>
                <w14:textFill>
                  <w14:solidFill>
                    <w14:schemeClr w14:val="tx1"/>
                  </w14:solidFill>
                </w14:textFill>
              </w:rPr>
              <w:t>主要环境敏感目标</w:t>
            </w:r>
            <w:r>
              <w:rPr>
                <w:rFonts w:hint="eastAsia" w:hAnsi="宋体"/>
                <w:color w:val="000000" w:themeColor="text1"/>
                <w:sz w:val="24"/>
                <w14:textFill>
                  <w14:solidFill>
                    <w14:schemeClr w14:val="tx1"/>
                  </w14:solidFill>
                </w14:textFill>
              </w:rPr>
              <w:t>分布</w:t>
            </w:r>
            <w:bookmarkEnd w:id="14"/>
            <w:r>
              <w:rPr>
                <w:rFonts w:hint="eastAsia" w:hAnsi="宋体"/>
                <w:color w:val="000000" w:themeColor="text1"/>
                <w:sz w:val="24"/>
                <w14:textFill>
                  <w14:solidFill>
                    <w14:schemeClr w14:val="tx1"/>
                  </w14:solidFill>
                </w14:textFill>
              </w:rPr>
              <w:t>见</w:t>
            </w:r>
            <w:bookmarkStart w:id="15" w:name="_Hlk36127144"/>
            <w:r>
              <w:rPr>
                <w:rFonts w:hint="eastAsia" w:hAnsi="宋体"/>
                <w:color w:val="000000" w:themeColor="text1"/>
                <w:sz w:val="24"/>
                <w:szCs w:val="24"/>
                <w14:textFill>
                  <w14:solidFill>
                    <w14:schemeClr w14:val="tx1"/>
                  </w14:solidFill>
                </w14:textFill>
              </w:rPr>
              <w:t>附图</w:t>
            </w:r>
            <w:bookmarkEnd w:id="15"/>
            <w:r>
              <w:rPr>
                <w:rFonts w:hint="eastAsia" w:hAnsi="宋体"/>
                <w:color w:val="000000" w:themeColor="text1"/>
                <w:sz w:val="24"/>
                <w:szCs w:val="24"/>
                <w:lang w:val="en-US" w:eastAsia="zh-CN"/>
                <w14:textFill>
                  <w14:solidFill>
                    <w14:schemeClr w14:val="tx1"/>
                  </w14:solidFill>
                </w14:textFill>
              </w:rPr>
              <w:t>8</w:t>
            </w:r>
            <w:r>
              <w:rPr>
                <w:rFonts w:hint="eastAsia" w:hAnsi="宋体"/>
                <w:color w:val="000000" w:themeColor="text1"/>
                <w:sz w:val="24"/>
                <w:szCs w:val="24"/>
                <w14:textFill>
                  <w14:solidFill>
                    <w14:schemeClr w14:val="tx1"/>
                  </w14:solidFill>
                </w14:textFill>
              </w:rPr>
              <w:t>。</w:t>
            </w:r>
          </w:p>
          <w:p>
            <w:pPr>
              <w:jc w:val="center"/>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表5-7  主要环境保护目标表</w:t>
            </w:r>
          </w:p>
          <w:tbl>
            <w:tblPr>
              <w:tblStyle w:val="12"/>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479"/>
              <w:gridCol w:w="1296"/>
              <w:gridCol w:w="461"/>
              <w:gridCol w:w="504"/>
              <w:gridCol w:w="2788"/>
              <w:gridCol w:w="1490"/>
              <w:gridCol w:w="245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要素</w:t>
                  </w:r>
                </w:p>
              </w:tc>
              <w:tc>
                <w:tcPr>
                  <w:tcW w:w="684"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保护目标</w:t>
                  </w:r>
                </w:p>
              </w:tc>
              <w:tc>
                <w:tcPr>
                  <w:tcW w:w="509" w:type="pct"/>
                  <w:gridSpan w:val="2"/>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相对方位</w:t>
                  </w:r>
                </w:p>
              </w:tc>
              <w:tc>
                <w:tcPr>
                  <w:tcW w:w="1471"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保护目标基本情况</w:t>
                  </w:r>
                </w:p>
              </w:tc>
              <w:tc>
                <w:tcPr>
                  <w:tcW w:w="786"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w:t>
                  </w:r>
                  <w:r>
                    <w:rPr>
                      <w:color w:val="000000" w:themeColor="text1"/>
                      <w:szCs w:val="21"/>
                      <w14:textFill>
                        <w14:solidFill>
                          <w14:schemeClr w14:val="tx1"/>
                        </w14:solidFill>
                      </w14:textFill>
                    </w:rPr>
                    <w:t>功能区</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（保护级别、要求）</w:t>
                  </w:r>
                </w:p>
              </w:tc>
              <w:tc>
                <w:tcPr>
                  <w:tcW w:w="1295"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方位</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距离</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km</w:t>
                  </w:r>
                </w:p>
              </w:tc>
              <w:tc>
                <w:tcPr>
                  <w:tcW w:w="1471"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环境空气</w:t>
                  </w:r>
                </w:p>
              </w:tc>
              <w:tc>
                <w:tcPr>
                  <w:tcW w:w="684" w:type="pct"/>
                  <w:tcBorders>
                    <w:tl2br w:val="nil"/>
                    <w:tr2bl w:val="nil"/>
                  </w:tcBorders>
                  <w:tcMar>
                    <w:top w:w="15" w:type="dxa"/>
                    <w:left w:w="15" w:type="dxa"/>
                    <w:bottom w:w="0" w:type="dxa"/>
                    <w:right w:w="15" w:type="dxa"/>
                  </w:tcMar>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格尔木市</w:t>
                  </w:r>
                </w:p>
              </w:tc>
              <w:tc>
                <w:tcPr>
                  <w:tcW w:w="243"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县级市</w:t>
                  </w:r>
                </w:p>
              </w:tc>
              <w:tc>
                <w:tcPr>
                  <w:tcW w:w="786"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《环境空气质量标准》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GB3095-2012</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中的二级标准</w:t>
                  </w:r>
                </w:p>
              </w:tc>
              <w:tc>
                <w:tcPr>
                  <w:tcW w:w="1295"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茫崖市</w:t>
                  </w:r>
                </w:p>
              </w:tc>
              <w:tc>
                <w:tcPr>
                  <w:tcW w:w="243"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NW</w:t>
                  </w:r>
                </w:p>
              </w:tc>
              <w:tc>
                <w:tcPr>
                  <w:tcW w:w="266"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19.5</w:t>
                  </w:r>
                </w:p>
              </w:tc>
              <w:tc>
                <w:tcPr>
                  <w:tcW w:w="1471" w:type="pct"/>
                  <w:tcBorders>
                    <w:tl2br w:val="nil"/>
                    <w:tr2bl w:val="nil"/>
                  </w:tcBorders>
                  <w:tcMar>
                    <w:top w:w="15" w:type="dxa"/>
                    <w:left w:w="15" w:type="dxa"/>
                    <w:bottom w:w="0" w:type="dxa"/>
                    <w:right w:w="15" w:type="dxa"/>
                  </w:tcMar>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县级市</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与</w:t>
                  </w:r>
                  <w:r>
                    <w:rPr>
                      <w:rFonts w:eastAsia="等线"/>
                      <w:color w:val="000000" w:themeColor="text1"/>
                      <w:kern w:val="0"/>
                      <w:sz w:val="21"/>
                      <w:szCs w:val="21"/>
                      <w:lang w:bidi="ar"/>
                      <w14:textFill>
                        <w14:solidFill>
                          <w14:schemeClr w14:val="tx1"/>
                        </w14:solidFill>
                      </w14:textFill>
                    </w:rPr>
                    <w:t>ZKQD0-3</w:t>
                  </w:r>
                  <w:r>
                    <w:rPr>
                      <w:rFonts w:hint="eastAsia" w:cs="Times New Roman"/>
                      <w:color w:val="000000" w:themeColor="text1"/>
                      <w:kern w:val="0"/>
                      <w:sz w:val="21"/>
                      <w:szCs w:val="21"/>
                      <w:lang w:val="en-US" w:eastAsia="zh-CN" w:bidi="ar"/>
                      <w14:textFill>
                        <w14:solidFill>
                          <w14:schemeClr w14:val="tx1"/>
                        </w14:solidFill>
                      </w14:textFill>
                    </w:rPr>
                    <w:t>钻孔</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德令哈市</w:t>
                  </w:r>
                </w:p>
              </w:tc>
              <w:tc>
                <w:tcPr>
                  <w:tcW w:w="243"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县级市</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大柴旦镇</w:t>
                  </w:r>
                </w:p>
              </w:tc>
              <w:tc>
                <w:tcPr>
                  <w:tcW w:w="243"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NE</w:t>
                  </w:r>
                </w:p>
              </w:tc>
              <w:tc>
                <w:tcPr>
                  <w:tcW w:w="266"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33.3</w:t>
                  </w:r>
                </w:p>
              </w:tc>
              <w:tc>
                <w:tcPr>
                  <w:tcW w:w="1471"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乡镇级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与</w:t>
                  </w:r>
                  <w:r>
                    <w:rPr>
                      <w:rFonts w:hint="default" w:ascii="Times New Roman" w:hAnsi="Times New Roman" w:eastAsia="宋体" w:cs="Times New Roman"/>
                      <w:color w:val="000000" w:themeColor="text1"/>
                      <w:kern w:val="0"/>
                      <w:sz w:val="21"/>
                      <w:szCs w:val="21"/>
                      <w:lang w:bidi="ar"/>
                      <w14:textFill>
                        <w14:solidFill>
                          <w14:schemeClr w14:val="tx1"/>
                        </w14:solidFill>
                      </w14:textFill>
                    </w:rPr>
                    <w:t>ZKLC2-2</w:t>
                  </w:r>
                  <w:r>
                    <w:rPr>
                      <w:rFonts w:hint="eastAsia" w:cs="Times New Roman"/>
                      <w:color w:val="000000" w:themeColor="text1"/>
                      <w:kern w:val="0"/>
                      <w:sz w:val="21"/>
                      <w:szCs w:val="21"/>
                      <w:lang w:val="en-US" w:eastAsia="zh-CN" w:bidi="ar"/>
                      <w14:textFill>
                        <w14:solidFill>
                          <w14:schemeClr w14:val="tx1"/>
                        </w14:solidFill>
                      </w14:textFill>
                    </w:rPr>
                    <w:t>钻孔</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冷湖镇</w:t>
                  </w:r>
                </w:p>
              </w:tc>
              <w:tc>
                <w:tcPr>
                  <w:tcW w:w="243"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E</w:t>
                  </w:r>
                </w:p>
              </w:tc>
              <w:tc>
                <w:tcPr>
                  <w:tcW w:w="266"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4.6</w:t>
                  </w:r>
                </w:p>
              </w:tc>
              <w:tc>
                <w:tcPr>
                  <w:tcW w:w="1471" w:type="pct"/>
                  <w:tcBorders>
                    <w:tl2br w:val="nil"/>
                    <w:tr2bl w:val="nil"/>
                  </w:tcBorders>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14:textFill>
                        <w14:solidFill>
                          <w14:schemeClr w14:val="tx1"/>
                        </w14:solidFill>
                      </w14:textFill>
                    </w:rPr>
                    <w:t>行政区（县级）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与</w:t>
                  </w:r>
                  <w:r>
                    <w:rPr>
                      <w:rFonts w:hint="default" w:ascii="Times New Roman" w:hAnsi="Times New Roman" w:eastAsia="宋体" w:cs="Times New Roman"/>
                      <w:color w:val="000000" w:themeColor="text1"/>
                      <w:kern w:val="0"/>
                      <w:sz w:val="21"/>
                      <w:szCs w:val="21"/>
                      <w:lang w:bidi="ar"/>
                      <w14:textFill>
                        <w14:solidFill>
                          <w14:schemeClr w14:val="tx1"/>
                        </w14:solidFill>
                      </w14:textFill>
                    </w:rPr>
                    <w:t>ZKLH2-5</w:t>
                  </w:r>
                  <w:r>
                    <w:rPr>
                      <w:rFonts w:hint="eastAsia" w:cs="Times New Roman"/>
                      <w:color w:val="000000" w:themeColor="text1"/>
                      <w:kern w:val="0"/>
                      <w:sz w:val="21"/>
                      <w:szCs w:val="21"/>
                      <w:lang w:val="en-US" w:eastAsia="zh-CN" w:bidi="ar"/>
                      <w14:textFill>
                        <w14:solidFill>
                          <w14:schemeClr w14:val="tx1"/>
                        </w14:solidFill>
                      </w14:textFill>
                    </w:rPr>
                    <w:t>钻孔</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茫崖镇</w:t>
                  </w:r>
                </w:p>
              </w:tc>
              <w:tc>
                <w:tcPr>
                  <w:tcW w:w="243" w:type="pct"/>
                  <w:tcBorders>
                    <w:tl2br w:val="nil"/>
                    <w:tr2bl w:val="nil"/>
                  </w:tcBorders>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S</w:t>
                  </w:r>
                </w:p>
              </w:tc>
              <w:tc>
                <w:tcPr>
                  <w:tcW w:w="266"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0.56</w:t>
                  </w:r>
                </w:p>
              </w:tc>
              <w:tc>
                <w:tcPr>
                  <w:tcW w:w="1471"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镇级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与</w:t>
                  </w:r>
                  <w:r>
                    <w:rPr>
                      <w:rFonts w:hint="default" w:ascii="Times New Roman" w:hAnsi="Times New Roman" w:eastAsia="宋体" w:cs="Times New Roman"/>
                      <w:color w:val="000000" w:themeColor="text1"/>
                      <w:kern w:val="0"/>
                      <w:sz w:val="21"/>
                      <w:szCs w:val="21"/>
                      <w:lang w:bidi="ar"/>
                      <w14:textFill>
                        <w14:solidFill>
                          <w14:schemeClr w14:val="tx1"/>
                        </w14:solidFill>
                      </w14:textFill>
                    </w:rPr>
                    <w:t>ZKA23-2</w:t>
                  </w:r>
                  <w:r>
                    <w:rPr>
                      <w:rFonts w:hint="eastAsia" w:cs="Times New Roman"/>
                      <w:color w:val="000000" w:themeColor="text1"/>
                      <w:kern w:val="0"/>
                      <w:sz w:val="21"/>
                      <w:szCs w:val="21"/>
                      <w:lang w:val="en-US" w:eastAsia="zh-CN" w:bidi="ar"/>
                      <w14:textFill>
                        <w14:solidFill>
                          <w14:schemeClr w14:val="tx1"/>
                        </w14:solidFill>
                      </w14:textFill>
                    </w:rPr>
                    <w:t>钻孔</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乌图美仁乡</w:t>
                  </w:r>
                </w:p>
              </w:tc>
              <w:tc>
                <w:tcPr>
                  <w:tcW w:w="243"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镇级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郭勒木德镇</w:t>
                  </w:r>
                </w:p>
              </w:tc>
              <w:tc>
                <w:tcPr>
                  <w:tcW w:w="243"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镇级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锡铁山镇</w:t>
                  </w:r>
                </w:p>
              </w:tc>
              <w:tc>
                <w:tcPr>
                  <w:tcW w:w="243"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NW</w:t>
                  </w:r>
                </w:p>
              </w:tc>
              <w:tc>
                <w:tcPr>
                  <w:tcW w:w="266"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39.4</w:t>
                  </w:r>
                </w:p>
              </w:tc>
              <w:tc>
                <w:tcPr>
                  <w:tcW w:w="1471"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镇级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与</w:t>
                  </w:r>
                  <w:r>
                    <w:rPr>
                      <w:rFonts w:eastAsia="等线"/>
                      <w:color w:val="000000" w:themeColor="text1"/>
                      <w:kern w:val="0"/>
                      <w:sz w:val="21"/>
                      <w:szCs w:val="21"/>
                      <w:lang w:bidi="ar"/>
                      <w14:textFill>
                        <w14:solidFill>
                          <w14:schemeClr w14:val="tx1"/>
                        </w14:solidFill>
                      </w14:textFill>
                    </w:rPr>
                    <w:t>ZKHB2-2</w:t>
                  </w:r>
                  <w:r>
                    <w:rPr>
                      <w:rFonts w:hint="eastAsia" w:cs="Times New Roman"/>
                      <w:color w:val="000000" w:themeColor="text1"/>
                      <w:kern w:val="0"/>
                      <w:sz w:val="21"/>
                      <w:szCs w:val="21"/>
                      <w:lang w:val="en-US" w:eastAsia="zh-CN" w:bidi="ar"/>
                      <w14:textFill>
                        <w14:solidFill>
                          <w14:schemeClr w14:val="tx1"/>
                        </w14:solidFill>
                      </w14:textFill>
                    </w:rPr>
                    <w:t>钻孔</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怀头他拉镇</w:t>
                  </w:r>
                </w:p>
              </w:tc>
              <w:tc>
                <w:tcPr>
                  <w:tcW w:w="243"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镇级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柯鲁柯镇</w:t>
                  </w:r>
                </w:p>
              </w:tc>
              <w:tc>
                <w:tcPr>
                  <w:tcW w:w="243"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镇级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海镇</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镇级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阿伊纳乡</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镇级</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w:t>
                  </w: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那林格勒河</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长度约111.2km</w:t>
                  </w:r>
                </w:p>
              </w:tc>
              <w:tc>
                <w:tcPr>
                  <w:tcW w:w="786"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《地表水环境质量标准》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GB3838-2002</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Ⅲ类标准</w:t>
                  </w:r>
                </w:p>
              </w:tc>
              <w:tc>
                <w:tcPr>
                  <w:tcW w:w="1295"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14:textFill>
                        <w14:solidFill>
                          <w14:schemeClr w14:val="tx1"/>
                        </w14:solidFill>
                      </w14:textFill>
                    </w:rPr>
                    <w:t>铁木里克河</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长度约27.6km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格尔木河</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长度约92.2km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柴达木河</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长度约168.9km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大苏干湖</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面积100.89km</w:t>
                  </w:r>
                  <w:r>
                    <w:rPr>
                      <w:rFonts w:hint="eastAsia"/>
                      <w:color w:val="000000" w:themeColor="text1"/>
                      <w:szCs w:val="21"/>
                      <w:vertAlign w:val="superscript"/>
                      <w14:textFill>
                        <w14:solidFill>
                          <w14:schemeClr w14:val="tx1"/>
                        </w14:solidFill>
                      </w14:textFill>
                    </w:rPr>
                    <w:t>2</w:t>
                  </w:r>
                  <w:r>
                    <w:rPr>
                      <w:rFonts w:hint="eastAsia"/>
                      <w:color w:val="000000" w:themeColor="text1"/>
                      <w:szCs w:val="21"/>
                      <w14:textFill>
                        <w14:solidFill>
                          <w14:schemeClr w14:val="tx1"/>
                        </w14:solidFill>
                      </w14:textFill>
                    </w:rPr>
                    <w:t>，属咸水湖，平均水深2.84m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小苏干湖</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面积11.85km</w:t>
                  </w:r>
                  <w:r>
                    <w:rPr>
                      <w:rFonts w:hint="eastAsia"/>
                      <w:color w:val="000000" w:themeColor="text1"/>
                      <w:szCs w:val="21"/>
                      <w:vertAlign w:val="superscript"/>
                      <w14:textFill>
                        <w14:solidFill>
                          <w14:schemeClr w14:val="tx1"/>
                        </w14:solidFill>
                      </w14:textFill>
                    </w:rPr>
                    <w:t>2</w:t>
                  </w:r>
                  <w:r>
                    <w:rPr>
                      <w:rFonts w:hint="eastAsia"/>
                      <w:color w:val="000000" w:themeColor="text1"/>
                      <w:szCs w:val="21"/>
                      <w14:textFill>
                        <w14:solidFill>
                          <w14:schemeClr w14:val="tx1"/>
                        </w14:solidFill>
                      </w14:textFill>
                    </w:rPr>
                    <w:t>，平均水深0.1-0.6m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14:textFill>
                        <w14:solidFill>
                          <w14:schemeClr w14:val="tx1"/>
                        </w14:solidFill>
                      </w14:textFill>
                    </w:rPr>
                    <w:t>尕斯库勒湖</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pacing w:val="-18"/>
                      <w14:textFill>
                        <w14:solidFill>
                          <w14:schemeClr w14:val="tx1"/>
                        </w14:solidFill>
                      </w14:textFill>
                    </w:rPr>
                    <w:t xml:space="preserve">面积 </w:t>
                  </w:r>
                  <w:r>
                    <w:rPr>
                      <w:rFonts w:eastAsia="Times New Roman"/>
                      <w:color w:val="000000" w:themeColor="text1"/>
                      <w14:textFill>
                        <w14:solidFill>
                          <w14:schemeClr w14:val="tx1"/>
                        </w14:solidFill>
                      </w14:textFill>
                    </w:rPr>
                    <w:t>103km</w:t>
                  </w:r>
                  <w:r>
                    <w:rPr>
                      <w:rFonts w:eastAsia="Times New Roman"/>
                      <w:color w:val="000000" w:themeColor="text1"/>
                      <w:vertAlign w:val="superscript"/>
                      <w14:textFill>
                        <w14:solidFill>
                          <w14:schemeClr w14:val="tx1"/>
                        </w14:solidFill>
                      </w14:textFill>
                    </w:rPr>
                    <w:t>2</w:t>
                  </w:r>
                  <w:r>
                    <w:rPr>
                      <w:color w:val="000000" w:themeColor="text1"/>
                      <w:spacing w:val="-14"/>
                      <w14:textFill>
                        <w14:solidFill>
                          <w14:schemeClr w14:val="tx1"/>
                        </w14:solidFill>
                      </w14:textFill>
                    </w:rPr>
                    <w:t xml:space="preserve">，水深 </w:t>
                  </w:r>
                  <w:r>
                    <w:rPr>
                      <w:rFonts w:eastAsia="Times New Roman"/>
                      <w:color w:val="000000" w:themeColor="text1"/>
                      <w14:textFill>
                        <w14:solidFill>
                          <w14:schemeClr w14:val="tx1"/>
                        </w14:solidFill>
                      </w14:textFill>
                    </w:rPr>
                    <w:t>0.65m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4"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东台吉乃尔湖</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面积116km</w:t>
                  </w:r>
                  <w:r>
                    <w:rPr>
                      <w:rFonts w:hint="eastAsia"/>
                      <w:color w:val="000000" w:themeColor="text1"/>
                      <w:szCs w:val="21"/>
                      <w:vertAlign w:val="superscript"/>
                      <w14:textFill>
                        <w14:solidFill>
                          <w14:schemeClr w14:val="tx1"/>
                        </w14:solidFill>
                      </w14:textFill>
                    </w:rPr>
                    <w:t>2</w:t>
                  </w:r>
                  <w:r>
                    <w:rPr>
                      <w:rFonts w:hint="eastAsia"/>
                      <w:color w:val="000000" w:themeColor="text1"/>
                      <w:szCs w:val="21"/>
                      <w14:textFill>
                        <w14:solidFill>
                          <w14:schemeClr w14:val="tx1"/>
                        </w14:solidFill>
                      </w14:textFill>
                    </w:rPr>
                    <w:t>，水深0.6～1.0m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4"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西台吉乃尔湖</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面积82km</w:t>
                  </w:r>
                  <w:r>
                    <w:rPr>
                      <w:rFonts w:hint="eastAsia"/>
                      <w:color w:val="000000" w:themeColor="text1"/>
                      <w:szCs w:val="21"/>
                      <w:vertAlign w:val="superscript"/>
                      <w14:textFill>
                        <w14:solidFill>
                          <w14:schemeClr w14:val="tx1"/>
                        </w14:solidFill>
                      </w14:textFill>
                    </w:rPr>
                    <w:t>2</w:t>
                  </w:r>
                  <w:r>
                    <w:rPr>
                      <w:rFonts w:hint="eastAsia"/>
                      <w:color w:val="000000" w:themeColor="text1"/>
                      <w:szCs w:val="21"/>
                      <w14:textFill>
                        <w14:solidFill>
                          <w14:schemeClr w14:val="tx1"/>
                        </w14:solidFill>
                      </w14:textFill>
                    </w:rPr>
                    <w:t>，水深0.3～0.4m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达布逊湖</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湖水面积184～334km</w:t>
                  </w:r>
                  <w:r>
                    <w:rPr>
                      <w:rFonts w:hint="eastAsia"/>
                      <w:color w:val="000000" w:themeColor="text1"/>
                      <w:szCs w:val="21"/>
                      <w:vertAlign w:val="superscript"/>
                      <w14:textFill>
                        <w14:solidFill>
                          <w14:schemeClr w14:val="tx1"/>
                        </w14:solidFill>
                      </w14:textFill>
                    </w:rPr>
                    <w:t>2</w:t>
                  </w:r>
                  <w:r>
                    <w:rPr>
                      <w:rFonts w:hint="eastAsia"/>
                      <w:color w:val="000000" w:themeColor="text1"/>
                      <w:szCs w:val="21"/>
                      <w14:textFill>
                        <w14:solidFill>
                          <w14:schemeClr w14:val="tx1"/>
                        </w14:solidFill>
                      </w14:textFill>
                    </w:rPr>
                    <w:t>，最大水深1.72m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托素湖</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面积140km</w:t>
                  </w:r>
                  <w:r>
                    <w:rPr>
                      <w:rFonts w:hint="eastAsia"/>
                      <w:color w:val="000000" w:themeColor="text1"/>
                      <w:szCs w:val="21"/>
                      <w:vertAlign w:val="superscript"/>
                      <w14:textFill>
                        <w14:solidFill>
                          <w14:schemeClr w14:val="tx1"/>
                        </w14:solidFill>
                      </w14:textFill>
                    </w:rPr>
                    <w:t>2</w:t>
                  </w:r>
                  <w:r>
                    <w:rPr>
                      <w:rFonts w:hint="eastAsia"/>
                      <w:color w:val="000000" w:themeColor="text1"/>
                      <w:szCs w:val="21"/>
                      <w14:textFill>
                        <w14:solidFill>
                          <w14:schemeClr w14:val="tx1"/>
                        </w14:solidFill>
                      </w14:textFill>
                    </w:rPr>
                    <w:t>，最大水深25.7m</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南霍鲁逊湖</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684"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北霍鲁逊湖</w:t>
                  </w:r>
                </w:p>
              </w:tc>
              <w:tc>
                <w:tcPr>
                  <w:tcW w:w="24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6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471"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8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95"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53"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辐射环境</w:t>
                  </w:r>
                </w:p>
              </w:tc>
              <w:tc>
                <w:tcPr>
                  <w:tcW w:w="2664" w:type="pct"/>
                  <w:gridSpan w:val="4"/>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铀矿地质钻探场地500m评价范围内居民</w:t>
                  </w:r>
                </w:p>
              </w:tc>
              <w:tc>
                <w:tcPr>
                  <w:tcW w:w="78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本项目</w:t>
                  </w:r>
                  <w:r>
                    <w:rPr>
                      <w:rFonts w:hint="eastAsia" w:ascii="Times New Roman" w:hAnsi="Times New Roman" w:cs="Times New Roman"/>
                      <w:color w:val="000000" w:themeColor="text1"/>
                      <w:sz w:val="21"/>
                      <w:szCs w:val="21"/>
                      <w:lang w:eastAsia="zh-CN"/>
                      <w14:textFill>
                        <w14:solidFill>
                          <w14:schemeClr w14:val="tx1"/>
                        </w14:solidFill>
                      </w14:textFill>
                    </w:rPr>
                    <w:t>未</w:t>
                  </w:r>
                  <w:r>
                    <w:rPr>
                      <w:rFonts w:ascii="Times New Roman" w:hAnsi="Times New Roman" w:cs="Times New Roman"/>
                      <w:color w:val="000000" w:themeColor="text1"/>
                      <w:sz w:val="21"/>
                      <w:szCs w:val="21"/>
                      <w:lang w:eastAsia="zh-CN"/>
                      <w14:textFill>
                        <w14:solidFill>
                          <w14:schemeClr w14:val="tx1"/>
                        </w14:solidFill>
                      </w14:textFill>
                    </w:rPr>
                    <w:t>设置公众剂量</w:t>
                  </w:r>
                  <w:r>
                    <w:rPr>
                      <w:rFonts w:hint="eastAsia" w:ascii="Times New Roman" w:hAnsi="Times New Roman" w:cs="Times New Roman"/>
                      <w:color w:val="000000" w:themeColor="text1"/>
                      <w:sz w:val="21"/>
                      <w:szCs w:val="21"/>
                      <w:lang w:eastAsia="zh-CN"/>
                      <w14:textFill>
                        <w14:solidFill>
                          <w14:schemeClr w14:val="tx1"/>
                        </w14:solidFill>
                      </w14:textFill>
                    </w:rPr>
                    <w:t>约束值，作业过程中应</w:t>
                  </w:r>
                  <w:r>
                    <w:rPr>
                      <w:rFonts w:hint="eastAsia" w:ascii="Times New Roman" w:cs="Times New Roman"/>
                      <w:color w:val="000000" w:themeColor="text1"/>
                      <w:lang w:eastAsia="zh-CN"/>
                      <w14:textFill>
                        <w14:solidFill>
                          <w14:schemeClr w14:val="tx1"/>
                        </w14:solidFill>
                      </w14:textFill>
                    </w:rPr>
                    <w:t>确保不对公众造成影响</w:t>
                  </w:r>
                </w:p>
              </w:tc>
              <w:tc>
                <w:tcPr>
                  <w:tcW w:w="1295"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bl>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rFonts w:hint="eastAsia"/>
                <w:color w:val="000000" w:themeColor="text1"/>
                <w14:textFill>
                  <w14:solidFill>
                    <w14:schemeClr w14:val="tx1"/>
                  </w14:solidFill>
                </w14:textFill>
              </w:rPr>
            </w:pPr>
          </w:p>
          <w:p>
            <w:pPr>
              <w:rPr>
                <w:rFonts w:hint="eastAsia"/>
                <w:color w:val="000000" w:themeColor="text1"/>
                <w:sz w:val="24"/>
                <w14:textFill>
                  <w14:solidFill>
                    <w14:schemeClr w14:val="tx1"/>
                  </w14:solidFill>
                </w14:textFill>
              </w:rPr>
            </w:pPr>
          </w:p>
          <w:p>
            <w:pPr>
              <w:pStyle w:val="2"/>
              <w:rPr>
                <w:rFonts w:hint="eastAsia"/>
                <w:color w:val="000000" w:themeColor="text1"/>
                <w:sz w:val="24"/>
                <w14:textFill>
                  <w14:solidFill>
                    <w14:schemeClr w14:val="tx1"/>
                  </w14:solidFill>
                </w14:textFill>
              </w:rPr>
            </w:pPr>
          </w:p>
          <w:p>
            <w:pPr>
              <w:rPr>
                <w:color w:val="000000" w:themeColor="text1"/>
                <w14:textFill>
                  <w14:solidFill>
                    <w14:schemeClr w14:val="tx1"/>
                  </w14:solidFill>
                </w14:textFill>
              </w:rPr>
            </w:pPr>
          </w:p>
          <w:p>
            <w:pPr>
              <w:pStyle w:val="9"/>
              <w:spacing w:after="0" w:line="360" w:lineRule="auto"/>
              <w:ind w:left="0" w:leftChars="0" w:firstLine="560" w:firstLineChars="200"/>
              <w:rPr>
                <w:rFonts w:eastAsia="黑体"/>
                <w:color w:val="000000" w:themeColor="text1"/>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bookmarkStart w:id="16" w:name="_Toc3795901"/>
      <w:r>
        <w:rPr>
          <w:rFonts w:hint="eastAsia" w:eastAsia="黑体"/>
          <w:color w:val="000000" w:themeColor="text1"/>
          <w:w w:val="95"/>
          <w:sz w:val="32"/>
          <w14:textFill>
            <w14:solidFill>
              <w14:schemeClr w14:val="tx1"/>
            </w14:solidFill>
          </w14:textFill>
        </w:rPr>
        <w:t>六、</w:t>
      </w:r>
      <w:r>
        <w:rPr>
          <w:rFonts w:eastAsia="黑体"/>
          <w:color w:val="000000" w:themeColor="text1"/>
          <w:w w:val="95"/>
          <w:sz w:val="32"/>
          <w14:textFill>
            <w14:solidFill>
              <w14:schemeClr w14:val="tx1"/>
            </w14:solidFill>
          </w14:textFill>
        </w:rPr>
        <w:t>建设项目工程分析</w:t>
      </w:r>
      <w:bookmarkEnd w:id="16"/>
    </w:p>
    <w:tbl>
      <w:tblPr>
        <w:tblStyle w:val="12"/>
        <w:tblW w:w="491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00" w:type="pct"/>
          </w:tcPr>
          <w:p>
            <w:pPr>
              <w:spacing w:line="360" w:lineRule="auto"/>
              <w:rPr>
                <w:rFonts w:eastAsia="黑体"/>
                <w:color w:val="000000" w:themeColor="text1"/>
                <w:sz w:val="28"/>
                <w14:textFill>
                  <w14:solidFill>
                    <w14:schemeClr w14:val="tx1"/>
                  </w14:solidFill>
                </w14:textFill>
              </w:rPr>
            </w:pPr>
            <w:r>
              <w:rPr>
                <w:rFonts w:hint="eastAsia" w:eastAsia="黑体"/>
                <w:color w:val="000000" w:themeColor="text1"/>
                <w:sz w:val="28"/>
                <w14:textFill>
                  <w14:solidFill>
                    <w14:schemeClr w14:val="tx1"/>
                  </w14:solidFill>
                </w14:textFill>
              </w:rPr>
              <w:t>工艺流程及产污环节简述</w:t>
            </w:r>
          </w:p>
          <w:p>
            <w:pPr>
              <w:widowControl/>
              <w:spacing w:line="360" w:lineRule="auto"/>
              <w:rPr>
                <w:rFonts w:hint="default" w:eastAsia="宋体"/>
                <w:b/>
                <w:bCs/>
                <w:color w:val="000000" w:themeColor="text1"/>
                <w:kern w:val="0"/>
                <w:sz w:val="24"/>
                <w:lang w:val="en-US" w:eastAsia="zh-CN" w:bidi="ar"/>
                <w14:textFill>
                  <w14:solidFill>
                    <w14:schemeClr w14:val="tx1"/>
                  </w14:solidFill>
                </w14:textFill>
              </w:rPr>
            </w:pPr>
            <w:r>
              <w:rPr>
                <w:rFonts w:hint="eastAsia"/>
                <w:b/>
                <w:bCs/>
                <w:color w:val="000000" w:themeColor="text1"/>
                <w:kern w:val="0"/>
                <w:sz w:val="24"/>
                <w:lang w:val="en-US" w:eastAsia="zh-CN" w:bidi="ar"/>
                <w14:textFill>
                  <w14:solidFill>
                    <w14:schemeClr w14:val="tx1"/>
                  </w14:solidFill>
                </w14:textFill>
              </w:rPr>
              <w:t>1、钻探施工工艺</w:t>
            </w:r>
          </w:p>
          <w:p>
            <w:pPr>
              <w:widowControl/>
              <w:spacing w:line="360" w:lineRule="auto"/>
              <w:ind w:firstLine="480" w:firstLineChars="200"/>
              <w:rPr>
                <w:color w:val="000000" w:themeColor="text1"/>
                <w:kern w:val="0"/>
                <w:sz w:val="24"/>
                <w:lang w:bidi="ar"/>
                <w14:textFill>
                  <w14:solidFill>
                    <w14:schemeClr w14:val="tx1"/>
                  </w14:solidFill>
                </w14:textFill>
              </w:rPr>
            </w:pPr>
            <w:r>
              <w:rPr>
                <w:color w:val="000000" w:themeColor="text1"/>
                <w:kern w:val="0"/>
                <w:sz w:val="24"/>
                <w:lang w:bidi="ar"/>
                <w14:textFill>
                  <w14:solidFill>
                    <w14:schemeClr w14:val="tx1"/>
                  </w14:solidFill>
                </w14:textFill>
              </w:rPr>
              <w:t>本项目钻探工程主要为地质孔钻探</w:t>
            </w:r>
            <w:r>
              <w:rPr>
                <w:rFonts w:hint="eastAsia"/>
                <w:color w:val="000000" w:themeColor="text1"/>
                <w:kern w:val="0"/>
                <w:sz w:val="24"/>
                <w:lang w:eastAsia="zh-CN" w:bidi="ar"/>
                <w14:textFill>
                  <w14:solidFill>
                    <w14:schemeClr w14:val="tx1"/>
                  </w14:solidFill>
                </w14:textFill>
              </w:rPr>
              <w:t>，</w:t>
            </w:r>
            <w:r>
              <w:rPr>
                <w:color w:val="000000" w:themeColor="text1"/>
                <w:kern w:val="0"/>
                <w:sz w:val="24"/>
                <w:lang w:bidi="ar"/>
                <w14:textFill>
                  <w14:solidFill>
                    <w14:schemeClr w14:val="tx1"/>
                  </w14:solidFill>
                </w14:textFill>
              </w:rPr>
              <w:t>依据钻孔设计特点，结合勘查区地质情况和以往施工经验，施工工艺流程如下：</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（1）钻前准备</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钻前准备工作包括钻孔测量定位、平整场地、孔位复合、设备进场安装、开孔前技术交底、安全检查、设备试运行等工作，本项目采用了无毒无害或毒性极小的水基钻井液，不使用油基钻井液，钻井液主要成分为水、钠基膨润土、腐殖酸钾、纤维素等。</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（2）钻井施工</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钻孔用水基泥浆作冲洗液用普通回转钻进方法施工，一般钻孔第四系沉积层采用Φ132全面钻进钻头钻穿第四系进入稳定基岩深度达1～3m后，下入表层套管隔离松散层，然后换用取心钻头钻进至设计深度。钻探机组以柴油发电机组作为动力，带动钻机、泥浆泵钻进钻孔，带动泥浆搅拌机搅拌钻进钻孔用的泥浆，带动除砂器清除泥浆中的岩渣。</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）取芯测样</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提取岩芯后，按先后顺序摆放在岩芯箱内，进行全孔岩芯编录，非矿段岩</w:t>
            </w:r>
            <w:r>
              <w:rPr>
                <w:rFonts w:hint="eastAsia"/>
                <w:color w:val="000000" w:themeColor="text1"/>
                <w:lang w:eastAsia="zh-CN"/>
                <w14:textFill>
                  <w14:solidFill>
                    <w14:schemeClr w14:val="tx1"/>
                  </w14:solidFill>
                </w14:textFill>
              </w:rPr>
              <w:t>芯</w:t>
            </w:r>
            <w:r>
              <w:rPr>
                <w:rFonts w:hint="eastAsia"/>
                <w:color w:val="000000" w:themeColor="text1"/>
                <w:sz w:val="24"/>
                <w:szCs w:val="24"/>
                <w:lang w:eastAsia="zh-CN" w:bidi="ar"/>
                <w14:textFill>
                  <w14:solidFill>
                    <w14:schemeClr w14:val="tx1"/>
                  </w14:solidFill>
                </w14:textFill>
              </w:rPr>
              <w:t>填埋，矿段岩芯放置在岩</w:t>
            </w:r>
            <w:r>
              <w:rPr>
                <w:rFonts w:hint="eastAsia"/>
                <w:color w:val="000000" w:themeColor="text1"/>
                <w:lang w:eastAsia="zh-CN"/>
                <w14:textFill>
                  <w14:solidFill>
                    <w14:schemeClr w14:val="tx1"/>
                  </w14:solidFill>
                </w14:textFill>
              </w:rPr>
              <w:t>芯</w:t>
            </w:r>
            <w:r>
              <w:rPr>
                <w:rFonts w:hint="eastAsia"/>
                <w:color w:val="000000" w:themeColor="text1"/>
                <w:sz w:val="24"/>
                <w:szCs w:val="24"/>
                <w:lang w:eastAsia="zh-CN" w:bidi="ar"/>
                <w14:textFill>
                  <w14:solidFill>
                    <w14:schemeClr w14:val="tx1"/>
                  </w14:solidFill>
                </w14:textFill>
              </w:rPr>
              <w:t>库内，后期带回分析、化验。</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4</w:t>
            </w:r>
            <w:r>
              <w:rPr>
                <w:rFonts w:hint="eastAsia"/>
                <w:color w:val="000000" w:themeColor="text1"/>
                <w:sz w:val="24"/>
                <w:lang w:eastAsia="zh-CN"/>
                <w14:textFill>
                  <w14:solidFill>
                    <w14:schemeClr w14:val="tx1"/>
                  </w14:solidFill>
                </w14:textFill>
              </w:rPr>
              <w:t>）孔内测试</w:t>
            </w:r>
          </w:p>
          <w:p>
            <w:pPr>
              <w:widowControl/>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终孔后进行简易水文观测，并进行物探综合测井。</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5</w:t>
            </w:r>
            <w:r>
              <w:rPr>
                <w:rFonts w:hint="eastAsia"/>
                <w:color w:val="000000" w:themeColor="text1"/>
                <w:sz w:val="24"/>
                <w:lang w:eastAsia="zh-CN"/>
                <w14:textFill>
                  <w14:solidFill>
                    <w14:schemeClr w14:val="tx1"/>
                  </w14:solidFill>
                </w14:textFill>
              </w:rPr>
              <w:t>）水泥封孔</w:t>
            </w:r>
          </w:p>
          <w:p>
            <w:pPr>
              <w:widowControl/>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全部测试工作完成后进行封孔，为防止含矿含水层与其上下的含水层贯通，采用高标号4</w:t>
            </w:r>
            <w:r>
              <w:rPr>
                <w:color w:val="000000" w:themeColor="text1"/>
                <w:sz w:val="24"/>
                <w:lang w:eastAsia="zh-CN"/>
                <w14:textFill>
                  <w14:solidFill>
                    <w14:schemeClr w14:val="tx1"/>
                  </w14:solidFill>
                </w14:textFill>
              </w:rPr>
              <w:t>25</w:t>
            </w:r>
            <w:r>
              <w:rPr>
                <w:rFonts w:hint="eastAsia"/>
                <w:color w:val="000000" w:themeColor="text1"/>
                <w:sz w:val="24"/>
                <w:lang w:eastAsia="zh-CN"/>
                <w14:textFill>
                  <w14:solidFill>
                    <w14:schemeClr w14:val="tx1"/>
                  </w14:solidFill>
                </w14:textFill>
              </w:rPr>
              <w:t>#水泥进行全孔封闭，水泥水灰比为2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1，将注浆管下至距封闭孔段底部</w:t>
            </w:r>
            <w:r>
              <w:rPr>
                <w:color w:val="000000" w:themeColor="text1"/>
                <w:sz w:val="24"/>
                <w:lang w:eastAsia="zh-CN"/>
                <w14:textFill>
                  <w14:solidFill>
                    <w14:schemeClr w14:val="tx1"/>
                  </w14:solidFill>
                </w14:textFill>
              </w:rPr>
              <w:t>1m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2m</w:t>
            </w:r>
            <w:r>
              <w:rPr>
                <w:rFonts w:hint="eastAsia"/>
                <w:color w:val="000000" w:themeColor="text1"/>
                <w:sz w:val="24"/>
                <w:lang w:eastAsia="zh-CN"/>
                <w14:textFill>
                  <w14:solidFill>
                    <w14:schemeClr w14:val="tx1"/>
                  </w14:solidFill>
                </w14:textFill>
              </w:rPr>
              <w:t>位置，将水泥经注浆管注入井内，水泥在通过泥浆泵的压力作用下，置换出钻孔内的钻井泥浆，完成固井封孔。</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（6）场地环境恢复</w:t>
            </w:r>
          </w:p>
          <w:p>
            <w:pPr>
              <w:widowControl/>
              <w:autoSpaceDE/>
              <w:autoSpaceDN/>
              <w:spacing w:line="360" w:lineRule="auto"/>
              <w:ind w:firstLine="480" w:firstLineChars="200"/>
              <w:jc w:val="both"/>
              <w:rPr>
                <w:color w:val="000000" w:themeColor="text1"/>
                <w:kern w:val="0"/>
                <w:sz w:val="24"/>
                <w14:textFill>
                  <w14:solidFill>
                    <w14:schemeClr w14:val="tx1"/>
                  </w14:solidFill>
                </w14:textFill>
              </w:rPr>
            </w:pPr>
            <w:r>
              <w:rPr>
                <w:rFonts w:hint="eastAsia"/>
                <w:color w:val="000000" w:themeColor="text1"/>
                <w:sz w:val="24"/>
                <w:lang w:eastAsia="zh-CN"/>
                <w14:textFill>
                  <w14:solidFill>
                    <w14:schemeClr w14:val="tx1"/>
                  </w14:solidFill>
                </w14:textFill>
              </w:rPr>
              <w:t>设备搬迁后，及时进行场地恢复工作，包括垃圾、废浆、油污清理，泥浆坑、循环槽填埋等。</w:t>
            </w:r>
          </w:p>
          <w:p>
            <w:pPr>
              <w:spacing w:line="360" w:lineRule="auto"/>
              <w:ind w:firstLine="480" w:firstLineChars="200"/>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项目工艺流程及产污环节见图6-1。</w:t>
            </w:r>
          </w:p>
          <w:p>
            <w:pPr>
              <w:spacing w:line="360" w:lineRule="auto"/>
              <w:jc w:val="center"/>
              <w:rPr>
                <w:color w:val="000000" w:themeColor="text1"/>
                <w14:textFill>
                  <w14:solidFill>
                    <w14:schemeClr w14:val="tx1"/>
                  </w14:solidFill>
                </w14:textFill>
              </w:rPr>
            </w:pPr>
            <w:r>
              <w:rPr>
                <w:color w:val="000000" w:themeColor="text1"/>
                <w:lang w:eastAsia="zh-CN"/>
                <w14:textFill>
                  <w14:solidFill>
                    <w14:schemeClr w14:val="tx1"/>
                  </w14:solidFill>
                </w14:textFill>
              </w:rPr>
              <w:object>
                <v:shape id="_x0000_i1025" o:spt="75" type="#_x0000_t75" style="height:484.65pt;width:277.05pt;" o:ole="t" filled="f" o:preferrelative="t" stroked="f" coordsize="21600,21600">
                  <v:path/>
                  <v:fill on="f" focussize="0,0"/>
                  <v:stroke on="f"/>
                  <v:imagedata r:id="rId21" o:title=""/>
                  <o:lock v:ext="edit" aspectratio="f"/>
                  <w10:wrap type="none"/>
                  <w10:anchorlock/>
                </v:shape>
                <o:OLEObject Type="Embed" ProgID="Visio.Drawing.11" ShapeID="_x0000_i1025" DrawAspect="Content" ObjectID="_1468075725" r:id="rId20">
                  <o:LockedField>false</o:LockedField>
                </o:OLEObject>
              </w:object>
            </w:r>
          </w:p>
          <w:p>
            <w:pPr>
              <w:spacing w:line="360" w:lineRule="auto"/>
              <w:jc w:val="center"/>
              <w:rPr>
                <w:bCs/>
                <w:color w:val="000000" w:themeColor="text1"/>
                <w:sz w:val="24"/>
                <w14:textFill>
                  <w14:solidFill>
                    <w14:schemeClr w14:val="tx1"/>
                  </w14:solidFill>
                </w14:textFill>
              </w:rPr>
            </w:pPr>
            <w:r>
              <w:rPr>
                <w:bCs/>
                <w:color w:val="000000" w:themeColor="text1"/>
                <w:sz w:val="24"/>
                <w14:textFill>
                  <w14:solidFill>
                    <w14:schemeClr w14:val="tx1"/>
                  </w14:solidFill>
                </w14:textFill>
              </w:rPr>
              <w:t>图6</w:t>
            </w:r>
            <w:r>
              <w:rPr>
                <w:rFonts w:hint="eastAsia"/>
                <w:bCs/>
                <w:color w:val="000000" w:themeColor="text1"/>
                <w:sz w:val="24"/>
                <w14:textFill>
                  <w14:solidFill>
                    <w14:schemeClr w14:val="tx1"/>
                  </w14:solidFill>
                </w14:textFill>
              </w:rPr>
              <w:t>-1</w:t>
            </w:r>
            <w:r>
              <w:rPr>
                <w:bCs/>
                <w:color w:val="000000" w:themeColor="text1"/>
                <w:sz w:val="24"/>
                <w14:textFill>
                  <w14:solidFill>
                    <w14:schemeClr w14:val="tx1"/>
                  </w14:solidFill>
                </w14:textFill>
              </w:rPr>
              <w:t xml:space="preserve">  钻井工艺流程</w:t>
            </w:r>
            <w:r>
              <w:rPr>
                <w:rFonts w:hint="eastAsia"/>
                <w:bCs/>
                <w:color w:val="000000" w:themeColor="text1"/>
                <w:sz w:val="24"/>
                <w14:textFill>
                  <w14:solidFill>
                    <w14:schemeClr w14:val="tx1"/>
                  </w14:solidFill>
                </w14:textFill>
              </w:rPr>
              <w:t>及</w:t>
            </w:r>
            <w:r>
              <w:rPr>
                <w:rFonts w:hint="eastAsia"/>
                <w:bCs/>
                <w:color w:val="000000" w:themeColor="text1"/>
                <w:sz w:val="24"/>
                <w:lang w:val="en-US" w:eastAsia="zh-CN"/>
                <w14:textFill>
                  <w14:solidFill>
                    <w14:schemeClr w14:val="tx1"/>
                  </w14:solidFill>
                </w14:textFill>
              </w:rPr>
              <w:t>产污</w:t>
            </w:r>
            <w:r>
              <w:rPr>
                <w:rFonts w:hint="eastAsia"/>
                <w:bCs/>
                <w:color w:val="000000" w:themeColor="text1"/>
                <w:sz w:val="24"/>
                <w14:textFill>
                  <w14:solidFill>
                    <w14:schemeClr w14:val="tx1"/>
                  </w14:solidFill>
                </w14:textFill>
              </w:rPr>
              <w:t>环节</w:t>
            </w:r>
            <w:r>
              <w:rPr>
                <w:bCs/>
                <w:color w:val="000000" w:themeColor="text1"/>
                <w:sz w:val="24"/>
                <w14:textFill>
                  <w14:solidFill>
                    <w14:schemeClr w14:val="tx1"/>
                  </w14:solidFill>
                </w14:textFill>
              </w:rPr>
              <w:t>图</w:t>
            </w:r>
          </w:p>
          <w:p>
            <w:pPr>
              <w:spacing w:line="360" w:lineRule="auto"/>
              <w:ind w:firstLine="480" w:firstLineChars="200"/>
              <w:jc w:val="both"/>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本项目产污环节情况详见表6-1。</w:t>
            </w:r>
          </w:p>
          <w:p>
            <w:pPr>
              <w:adjustRightInd w:val="0"/>
              <w:spacing w:line="240" w:lineRule="auto"/>
              <w:jc w:val="center"/>
              <w:textAlignment w:val="baseline"/>
              <w:rPr>
                <w:rFonts w:ascii="Times New Roman" w:hAnsi="Times New Roman" w:cs="Times New Roman"/>
                <w:b w:val="0"/>
                <w:bCs/>
                <w:color w:val="000000" w:themeColor="text1"/>
                <w:kern w:val="2"/>
                <w:sz w:val="24"/>
                <w:szCs w:val="24"/>
                <w14:textFill>
                  <w14:solidFill>
                    <w14:schemeClr w14:val="tx1"/>
                  </w14:solidFill>
                </w14:textFill>
              </w:rPr>
            </w:pPr>
            <w:r>
              <w:rPr>
                <w:rFonts w:ascii="Times New Roman" w:hAnsi="Times New Roman" w:cs="Times New Roman"/>
                <w:b w:val="0"/>
                <w:bCs/>
                <w:color w:val="000000" w:themeColor="text1"/>
                <w:kern w:val="2"/>
                <w:sz w:val="24"/>
                <w:szCs w:val="24"/>
                <w14:textFill>
                  <w14:solidFill>
                    <w14:schemeClr w14:val="tx1"/>
                  </w14:solidFill>
                </w14:textFill>
              </w:rPr>
              <w:t>表6-</w:t>
            </w:r>
            <w:r>
              <w:rPr>
                <w:rFonts w:hint="eastAsia" w:ascii="Times New Roman" w:hAnsi="Times New Roman" w:cs="Times New Roman"/>
                <w:b w:val="0"/>
                <w:bCs/>
                <w:color w:val="000000" w:themeColor="text1"/>
                <w:kern w:val="2"/>
                <w:sz w:val="24"/>
                <w:szCs w:val="24"/>
                <w:lang w:eastAsia="zh-CN"/>
                <w14:textFill>
                  <w14:solidFill>
                    <w14:schemeClr w14:val="tx1"/>
                  </w14:solidFill>
                </w14:textFill>
              </w:rPr>
              <w:t>1</w:t>
            </w:r>
            <w:r>
              <w:rPr>
                <w:rFonts w:ascii="Times New Roman" w:hAnsi="Times New Roman" w:cs="Times New Roman"/>
                <w:b w:val="0"/>
                <w:bCs/>
                <w:color w:val="000000" w:themeColor="text1"/>
                <w:kern w:val="2"/>
                <w:sz w:val="24"/>
                <w:szCs w:val="24"/>
                <w14:textFill>
                  <w14:solidFill>
                    <w14:schemeClr w14:val="tx1"/>
                  </w14:solidFill>
                </w14:textFill>
              </w:rPr>
              <w:t xml:space="preserve">  主要产污环节一览表</w:t>
            </w:r>
          </w:p>
          <w:tbl>
            <w:tblPr>
              <w:tblStyle w:val="12"/>
              <w:tblW w:w="497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287"/>
              <w:gridCol w:w="3759"/>
              <w:gridCol w:w="2744"/>
              <w:gridCol w:w="171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污染类型</w:t>
                  </w:r>
                </w:p>
              </w:tc>
              <w:tc>
                <w:tcPr>
                  <w:tcW w:w="1977"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产污工序</w:t>
                  </w:r>
                </w:p>
              </w:tc>
              <w:tc>
                <w:tcPr>
                  <w:tcW w:w="1443"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污染物种类</w:t>
                  </w:r>
                </w:p>
              </w:tc>
              <w:tc>
                <w:tcPr>
                  <w:tcW w:w="901"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产生方式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restar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废气</w:t>
                  </w:r>
                </w:p>
              </w:tc>
              <w:tc>
                <w:tcPr>
                  <w:tcW w:w="1977" w:type="pct"/>
                  <w:noWrap w:val="0"/>
                  <w:vAlign w:val="center"/>
                </w:tcPr>
                <w:p>
                  <w:pPr>
                    <w:adjustRightInd w:val="0"/>
                    <w:jc w:val="center"/>
                    <w:textAlignment w:val="baseline"/>
                    <w:rPr>
                      <w:rFonts w:ascii="Times New Roman" w:hAnsi="Times New Roman" w:cs="Times New Roman"/>
                      <w:bCs/>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平整场地</w:t>
                  </w:r>
                </w:p>
              </w:tc>
              <w:tc>
                <w:tcPr>
                  <w:tcW w:w="1443" w:type="pct"/>
                  <w:noWrap w:val="0"/>
                  <w:vAlign w:val="center"/>
                </w:tcPr>
                <w:p>
                  <w:pPr>
                    <w:adjustRightInd w:val="0"/>
                    <w:jc w:val="center"/>
                    <w:textAlignment w:val="baseline"/>
                    <w:rPr>
                      <w:rFonts w:ascii="Times New Roman" w:hAnsi="Times New Roman" w:cs="Times New Roman"/>
                      <w:bCs/>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扬尘</w:t>
                  </w:r>
                </w:p>
              </w:tc>
              <w:tc>
                <w:tcPr>
                  <w:tcW w:w="90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间断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柴油发电机</w:t>
                  </w:r>
                </w:p>
              </w:tc>
              <w:tc>
                <w:tcPr>
                  <w:tcW w:w="1443"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烟尘、NOx、SO</w:t>
                  </w:r>
                  <w:r>
                    <w:rPr>
                      <w:rFonts w:ascii="Times New Roman" w:hAnsi="Times New Roman" w:cs="Times New Roman"/>
                      <w:bCs/>
                      <w:color w:val="000000" w:themeColor="text1"/>
                      <w:kern w:val="2"/>
                      <w:sz w:val="21"/>
                      <w:szCs w:val="21"/>
                      <w:vertAlign w:val="subscript"/>
                      <w14:textFill>
                        <w14:solidFill>
                          <w14:schemeClr w14:val="tx1"/>
                        </w14:solidFill>
                      </w14:textFill>
                    </w:rPr>
                    <w:t>2</w:t>
                  </w:r>
                  <w:r>
                    <w:rPr>
                      <w:rFonts w:ascii="Times New Roman" w:hAnsi="Times New Roman" w:cs="Times New Roman"/>
                      <w:bCs/>
                      <w:color w:val="000000" w:themeColor="text1"/>
                      <w:kern w:val="2"/>
                      <w:sz w:val="21"/>
                      <w:szCs w:val="21"/>
                      <w14:textFill>
                        <w14:solidFill>
                          <w14:schemeClr w14:val="tx1"/>
                        </w14:solidFill>
                      </w14:textFill>
                    </w:rPr>
                    <w:t>、</w:t>
                  </w:r>
                  <w:r>
                    <w:rPr>
                      <w:rFonts w:hint="eastAsia" w:cs="Times New Roman"/>
                      <w:bCs/>
                      <w:color w:val="000000" w:themeColor="text1"/>
                      <w:kern w:val="2"/>
                      <w:sz w:val="21"/>
                      <w:szCs w:val="21"/>
                      <w:lang w:val="en-US" w:eastAsia="zh-CN"/>
                      <w14:textFill>
                        <w14:solidFill>
                          <w14:schemeClr w14:val="tx1"/>
                        </w14:solidFill>
                      </w14:textFill>
                    </w:rPr>
                    <w:t>CO</w:t>
                  </w:r>
                  <w:r>
                    <w:rPr>
                      <w:rFonts w:ascii="Times New Roman" w:hAnsi="Times New Roman" w:cs="Times New Roman"/>
                      <w:bCs/>
                      <w:color w:val="000000" w:themeColor="text1"/>
                      <w:kern w:val="2"/>
                      <w:sz w:val="21"/>
                      <w:szCs w:val="21"/>
                      <w14:textFill>
                        <w14:solidFill>
                          <w14:schemeClr w14:val="tx1"/>
                        </w14:solidFill>
                      </w14:textFill>
                    </w:rPr>
                    <w:t>、</w:t>
                  </w:r>
                  <w:r>
                    <w:rPr>
                      <w:rFonts w:hint="eastAsia" w:cs="Times New Roman"/>
                      <w:bCs/>
                      <w:color w:val="000000" w:themeColor="text1"/>
                      <w:kern w:val="2"/>
                      <w:sz w:val="21"/>
                      <w:szCs w:val="21"/>
                      <w:lang w:val="en-US" w:eastAsia="zh-CN"/>
                      <w14:textFill>
                        <w14:solidFill>
                          <w14:schemeClr w14:val="tx1"/>
                        </w14:solidFill>
                      </w14:textFill>
                    </w:rPr>
                    <w:t>总烃</w:t>
                  </w:r>
                </w:p>
              </w:tc>
              <w:tc>
                <w:tcPr>
                  <w:tcW w:w="90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废水</w:t>
                  </w: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职工生活</w:t>
                  </w:r>
                </w:p>
              </w:tc>
              <w:tc>
                <w:tcPr>
                  <w:tcW w:w="1443"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生活污水</w:t>
                  </w:r>
                </w:p>
              </w:tc>
              <w:tc>
                <w:tcPr>
                  <w:tcW w:w="90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噪声</w:t>
                  </w:r>
                </w:p>
              </w:tc>
              <w:tc>
                <w:tcPr>
                  <w:tcW w:w="1977" w:type="pct"/>
                  <w:noWrap w:val="0"/>
                  <w:vAlign w:val="center"/>
                </w:tcPr>
                <w:p>
                  <w:pPr>
                    <w:adjustRightInd w:val="0"/>
                    <w:jc w:val="center"/>
                    <w:textAlignment w:val="baseline"/>
                    <w:rPr>
                      <w:rFonts w:hint="eastAsia" w:ascii="Times New Roman" w:hAnsi="Times New Roman" w:cs="Times New Roman"/>
                      <w:color w:val="000000" w:themeColor="text1"/>
                      <w:kern w:val="2"/>
                      <w:sz w:val="21"/>
                      <w:szCs w:val="21"/>
                      <w:lang w:eastAsia="zh-CN"/>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钻探机组</w:t>
                  </w:r>
                  <w:r>
                    <w:rPr>
                      <w:rFonts w:hint="eastAsia" w:ascii="Times New Roman" w:hAnsi="Times New Roman" w:cs="Times New Roman"/>
                      <w:color w:val="000000" w:themeColor="text1"/>
                      <w:kern w:val="2"/>
                      <w:sz w:val="21"/>
                      <w:szCs w:val="21"/>
                      <w:lang w:eastAsia="zh-CN"/>
                      <w14:textFill>
                        <w14:solidFill>
                          <w14:schemeClr w14:val="tx1"/>
                        </w14:solidFill>
                      </w14:textFill>
                    </w:rPr>
                    <w:t>、柴油发电机、除砂器、</w:t>
                  </w:r>
                </w:p>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除砂器</w:t>
                  </w:r>
                  <w:r>
                    <w:rPr>
                      <w:rFonts w:ascii="Times New Roman" w:hAnsi="Times New Roman" w:cs="Times New Roman"/>
                      <w:color w:val="000000" w:themeColor="text1"/>
                      <w:kern w:val="2"/>
                      <w:sz w:val="21"/>
                      <w:szCs w:val="21"/>
                      <w:lang w:eastAsia="zh-CN"/>
                      <w14:textFill>
                        <w14:solidFill>
                          <w14:schemeClr w14:val="tx1"/>
                        </w14:solidFill>
                      </w14:textFill>
                    </w:rPr>
                    <w:t>及泥浆搅拌机</w:t>
                  </w:r>
                </w:p>
              </w:tc>
              <w:tc>
                <w:tcPr>
                  <w:tcW w:w="1443"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等效声级</w:t>
                  </w:r>
                </w:p>
              </w:tc>
              <w:tc>
                <w:tcPr>
                  <w:tcW w:w="90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restar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固体废物</w:t>
                  </w: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钻孔、封孔</w:t>
                  </w:r>
                </w:p>
              </w:tc>
              <w:tc>
                <w:tcPr>
                  <w:tcW w:w="1443"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钻孔泥浆</w:t>
                  </w:r>
                </w:p>
              </w:tc>
              <w:tc>
                <w:tcPr>
                  <w:tcW w:w="90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取芯测试</w:t>
                  </w:r>
                </w:p>
              </w:tc>
              <w:tc>
                <w:tcPr>
                  <w:tcW w:w="1443"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矿段</w:t>
                  </w:r>
                  <w:r>
                    <w:rPr>
                      <w:rFonts w:ascii="Times New Roman" w:hAnsi="Times New Roman" w:cs="Times New Roman"/>
                      <w:color w:val="000000" w:themeColor="text1"/>
                      <w:kern w:val="2"/>
                      <w:sz w:val="21"/>
                      <w:szCs w:val="21"/>
                      <w:lang w:eastAsia="zh-CN"/>
                      <w14:textFill>
                        <w14:solidFill>
                          <w14:schemeClr w14:val="tx1"/>
                        </w14:solidFill>
                      </w14:textFill>
                    </w:rPr>
                    <w:t>岩芯</w:t>
                  </w:r>
                  <w:r>
                    <w:rPr>
                      <w:rFonts w:hint="eastAsia" w:ascii="Times New Roman" w:hAnsi="Times New Roman" w:cs="Times New Roman"/>
                      <w:color w:val="000000" w:themeColor="text1"/>
                      <w:kern w:val="2"/>
                      <w:sz w:val="21"/>
                      <w:szCs w:val="21"/>
                      <w:lang w:eastAsia="zh-CN"/>
                      <w14:textFill>
                        <w14:solidFill>
                          <w14:schemeClr w14:val="tx1"/>
                        </w14:solidFill>
                      </w14:textFill>
                    </w:rPr>
                    <w:t>及非矿段岩芯</w:t>
                  </w:r>
                </w:p>
              </w:tc>
              <w:tc>
                <w:tcPr>
                  <w:tcW w:w="90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设备维护</w:t>
                  </w:r>
                </w:p>
              </w:tc>
              <w:tc>
                <w:tcPr>
                  <w:tcW w:w="1443"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废机油</w:t>
                  </w:r>
                </w:p>
              </w:tc>
              <w:tc>
                <w:tcPr>
                  <w:tcW w:w="90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间断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职工生活</w:t>
                  </w:r>
                </w:p>
              </w:tc>
              <w:tc>
                <w:tcPr>
                  <w:tcW w:w="1443"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生活垃圾</w:t>
                  </w:r>
                </w:p>
              </w:tc>
              <w:tc>
                <w:tcPr>
                  <w:tcW w:w="90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生态环境</w:t>
                  </w:r>
                </w:p>
              </w:tc>
              <w:tc>
                <w:tcPr>
                  <w:tcW w:w="19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平整场地</w:t>
                  </w:r>
                </w:p>
              </w:tc>
              <w:tc>
                <w:tcPr>
                  <w:tcW w:w="1443"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植被破坏、水土流失、影响野生动物及景观</w:t>
                  </w:r>
                </w:p>
              </w:tc>
              <w:tc>
                <w:tcPr>
                  <w:tcW w:w="901"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间断</w:t>
                  </w:r>
                </w:p>
              </w:tc>
            </w:tr>
          </w:tbl>
          <w:p>
            <w:pPr>
              <w:widowControl/>
              <w:spacing w:line="360" w:lineRule="auto"/>
              <w:rPr>
                <w:rFonts w:hint="default" w:ascii="Times New Roman" w:hAnsi="Times New Roman" w:eastAsia="宋体" w:cs="Times New Roman"/>
                <w:b/>
                <w:bCs/>
                <w:color w:val="000000" w:themeColor="text1"/>
                <w:kern w:val="0"/>
                <w:sz w:val="24"/>
                <w:lang w:val="en-US" w:eastAsia="zh-CN" w:bidi="ar"/>
                <w14:textFill>
                  <w14:solidFill>
                    <w14:schemeClr w14:val="tx1"/>
                  </w14:solidFill>
                </w14:textFill>
              </w:rPr>
            </w:pPr>
            <w:r>
              <w:rPr>
                <w:rFonts w:hint="default" w:ascii="Times New Roman" w:hAnsi="Times New Roman" w:eastAsia="宋体" w:cs="Times New Roman"/>
                <w:b/>
                <w:bCs/>
                <w:color w:val="000000" w:themeColor="text1"/>
                <w:kern w:val="0"/>
                <w:sz w:val="24"/>
                <w:lang w:val="en-US" w:eastAsia="zh-CN" w:bidi="ar"/>
                <w14:textFill>
                  <w14:solidFill>
                    <w14:schemeClr w14:val="tx1"/>
                  </w14:solidFill>
                </w14:textFill>
              </w:rPr>
              <w:t>2</w:t>
            </w:r>
            <w:r>
              <w:rPr>
                <w:rFonts w:hint="eastAsia" w:ascii="Times New Roman" w:hAnsi="Times New Roman" w:eastAsia="宋体" w:cs="Times New Roman"/>
                <w:b/>
                <w:bCs/>
                <w:color w:val="000000" w:themeColor="text1"/>
                <w:kern w:val="0"/>
                <w:sz w:val="24"/>
                <w:lang w:val="en-US" w:eastAsia="zh-CN" w:bidi="ar"/>
                <w14:textFill>
                  <w14:solidFill>
                    <w14:schemeClr w14:val="tx1"/>
                  </w14:solidFill>
                </w14:textFill>
              </w:rPr>
              <w:t>、主要原辅材料清单</w:t>
            </w:r>
          </w:p>
          <w:p>
            <w:pPr>
              <w:spacing w:line="360" w:lineRule="auto"/>
              <w:ind w:firstLine="465"/>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本项目主要原辅材料消耗见表</w:t>
            </w:r>
            <w:r>
              <w:rPr>
                <w:rFonts w:hint="eastAsia"/>
                <w:bCs/>
                <w:color w:val="000000" w:themeColor="text1"/>
                <w:sz w:val="24"/>
                <w:lang w:val="en-US" w:eastAsia="zh-CN"/>
                <w14:textFill>
                  <w14:solidFill>
                    <w14:schemeClr w14:val="tx1"/>
                  </w14:solidFill>
                </w14:textFill>
              </w:rPr>
              <w:t>6</w:t>
            </w:r>
            <w:r>
              <w:rPr>
                <w:bCs/>
                <w:color w:val="000000" w:themeColor="text1"/>
                <w:sz w:val="24"/>
                <w14:textFill>
                  <w14:solidFill>
                    <w14:schemeClr w14:val="tx1"/>
                  </w14:solidFill>
                </w14:textFill>
              </w:rPr>
              <w:t>-</w:t>
            </w:r>
            <w:r>
              <w:rPr>
                <w:rFonts w:hint="eastAsia"/>
                <w:bCs/>
                <w:color w:val="000000" w:themeColor="text1"/>
                <w:sz w:val="24"/>
                <w:lang w:val="en-US" w:eastAsia="zh-CN"/>
                <w14:textFill>
                  <w14:solidFill>
                    <w14:schemeClr w14:val="tx1"/>
                  </w14:solidFill>
                </w14:textFill>
              </w:rPr>
              <w:t>2</w:t>
            </w:r>
            <w:r>
              <w:rPr>
                <w:rFonts w:hint="eastAsia"/>
                <w:bCs/>
                <w:color w:val="000000" w:themeColor="text1"/>
                <w:sz w:val="24"/>
                <w14:textFill>
                  <w14:solidFill>
                    <w14:schemeClr w14:val="tx1"/>
                  </w14:solidFill>
                </w14:textFill>
              </w:rPr>
              <w:t>。</w:t>
            </w:r>
          </w:p>
          <w:p>
            <w:pPr>
              <w:adjustRightInd w:val="0"/>
              <w:jc w:val="center"/>
              <w:rPr>
                <w:bCs/>
                <w:color w:val="000000" w:themeColor="text1"/>
                <w:sz w:val="24"/>
                <w:szCs w:val="20"/>
                <w14:textFill>
                  <w14:solidFill>
                    <w14:schemeClr w14:val="tx1"/>
                  </w14:solidFill>
                </w14:textFill>
              </w:rPr>
            </w:pPr>
            <w:r>
              <w:rPr>
                <w:rFonts w:hint="eastAsia"/>
                <w:bCs/>
                <w:color w:val="000000" w:themeColor="text1"/>
                <w:sz w:val="24"/>
                <w:szCs w:val="20"/>
                <w14:textFill>
                  <w14:solidFill>
                    <w14:schemeClr w14:val="tx1"/>
                  </w14:solidFill>
                </w14:textFill>
              </w:rPr>
              <w:t>表</w:t>
            </w:r>
            <w:r>
              <w:rPr>
                <w:rFonts w:hint="eastAsia"/>
                <w:bCs/>
                <w:color w:val="000000" w:themeColor="text1"/>
                <w:sz w:val="24"/>
                <w:szCs w:val="20"/>
                <w:lang w:val="en-US" w:eastAsia="zh-CN"/>
                <w14:textFill>
                  <w14:solidFill>
                    <w14:schemeClr w14:val="tx1"/>
                  </w14:solidFill>
                </w14:textFill>
              </w:rPr>
              <w:t>6</w:t>
            </w:r>
            <w:r>
              <w:rPr>
                <w:rFonts w:hint="eastAsia"/>
                <w:bCs/>
                <w:color w:val="000000" w:themeColor="text1"/>
                <w:sz w:val="24"/>
                <w:szCs w:val="20"/>
                <w14:textFill>
                  <w14:solidFill>
                    <w14:schemeClr w14:val="tx1"/>
                  </w14:solidFill>
                </w14:textFill>
              </w:rPr>
              <w:t>-</w:t>
            </w:r>
            <w:r>
              <w:rPr>
                <w:rFonts w:hint="eastAsia"/>
                <w:bCs/>
                <w:color w:val="000000" w:themeColor="text1"/>
                <w:sz w:val="24"/>
                <w:szCs w:val="20"/>
                <w:lang w:val="en-US" w:eastAsia="zh-CN"/>
                <w14:textFill>
                  <w14:solidFill>
                    <w14:schemeClr w14:val="tx1"/>
                  </w14:solidFill>
                </w14:textFill>
              </w:rPr>
              <w:t>2</w:t>
            </w:r>
            <w:r>
              <w:rPr>
                <w:rFonts w:hint="eastAsia"/>
                <w:bCs/>
                <w:color w:val="000000" w:themeColor="text1"/>
                <w:sz w:val="24"/>
                <w:szCs w:val="20"/>
                <w14:textFill>
                  <w14:solidFill>
                    <w14:schemeClr w14:val="tx1"/>
                  </w14:solidFill>
                </w14:textFill>
              </w:rPr>
              <w:t xml:space="preserve">  本项目原辅材料消耗一览表</w:t>
            </w:r>
          </w:p>
          <w:tbl>
            <w:tblPr>
              <w:tblStyle w:val="12"/>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720"/>
              <w:gridCol w:w="970"/>
              <w:gridCol w:w="2422"/>
              <w:gridCol w:w="1859"/>
              <w:gridCol w:w="1806"/>
              <w:gridCol w:w="176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78" w:type="pct"/>
                  <w:tcBorders>
                    <w:tl2br w:val="nil"/>
                    <w:tr2bl w:val="nil"/>
                  </w:tcBorders>
                  <w:vAlign w:val="center"/>
                </w:tcPr>
                <w:p>
                  <w:pPr>
                    <w:pStyle w:val="18"/>
                    <w:adjustRightInd/>
                    <w:jc w:val="center"/>
                    <w:rPr>
                      <w:color w:val="000000" w:themeColor="text1"/>
                      <w:sz w:val="22"/>
                      <w14:textFill>
                        <w14:solidFill>
                          <w14:schemeClr w14:val="tx1"/>
                        </w14:solidFill>
                      </w14:textFill>
                    </w:rPr>
                  </w:pPr>
                  <w:r>
                    <w:rPr>
                      <w:rFonts w:hAnsi="宋体"/>
                      <w:color w:val="000000" w:themeColor="text1"/>
                      <w:sz w:val="22"/>
                      <w14:textFill>
                        <w14:solidFill>
                          <w14:schemeClr w14:val="tx1"/>
                        </w14:solidFill>
                      </w14:textFill>
                    </w:rPr>
                    <w:t>序号</w:t>
                  </w:r>
                </w:p>
              </w:tc>
              <w:tc>
                <w:tcPr>
                  <w:tcW w:w="1777"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名称</w:t>
                  </w:r>
                </w:p>
              </w:tc>
              <w:tc>
                <w:tcPr>
                  <w:tcW w:w="974" w:type="pct"/>
                  <w:tcBorders>
                    <w:tl2br w:val="nil"/>
                    <w:tr2bl w:val="nil"/>
                  </w:tcBorders>
                  <w:vAlign w:val="center"/>
                </w:tcPr>
                <w:p>
                  <w:pPr>
                    <w:widowControl/>
                    <w:jc w:val="center"/>
                    <w:rPr>
                      <w:color w:val="000000" w:themeColor="text1"/>
                      <w:sz w:val="22"/>
                      <w14:textFill>
                        <w14:solidFill>
                          <w14:schemeClr w14:val="tx1"/>
                        </w14:solidFill>
                      </w14:textFill>
                    </w:rPr>
                  </w:pPr>
                  <w:r>
                    <w:rPr>
                      <w:rFonts w:hint="eastAsia" w:hAnsi="宋体"/>
                      <w:color w:val="000000" w:themeColor="text1"/>
                      <w:kern w:val="0"/>
                      <w:szCs w:val="21"/>
                      <w:lang w:bidi="ar"/>
                      <w14:textFill>
                        <w14:solidFill>
                          <w14:schemeClr w14:val="tx1"/>
                        </w14:solidFill>
                      </w14:textFill>
                    </w:rPr>
                    <w:t>单位消耗量</w:t>
                  </w:r>
                </w:p>
              </w:tc>
              <w:tc>
                <w:tcPr>
                  <w:tcW w:w="946" w:type="pct"/>
                  <w:tcBorders>
                    <w:tl2br w:val="nil"/>
                    <w:tr2bl w:val="nil"/>
                  </w:tcBorders>
                  <w:vAlign w:val="center"/>
                </w:tcPr>
                <w:p>
                  <w:pPr>
                    <w:widowControl/>
                    <w:jc w:val="center"/>
                    <w:rPr>
                      <w:color w:val="000000" w:themeColor="text1"/>
                      <w:kern w:val="0"/>
                      <w:szCs w:val="21"/>
                      <w:lang w:bidi="ar"/>
                      <w14:textFill>
                        <w14:solidFill>
                          <w14:schemeClr w14:val="tx1"/>
                        </w14:solidFill>
                      </w14:textFill>
                    </w:rPr>
                  </w:pPr>
                  <w:r>
                    <w:rPr>
                      <w:color w:val="000000" w:themeColor="text1"/>
                      <w:kern w:val="0"/>
                      <w:szCs w:val="21"/>
                      <w:lang w:bidi="ar"/>
                      <w14:textFill>
                        <w14:solidFill>
                          <w14:schemeClr w14:val="tx1"/>
                        </w14:solidFill>
                      </w14:textFill>
                    </w:rPr>
                    <w:t>202</w:t>
                  </w:r>
                  <w:r>
                    <w:rPr>
                      <w:rFonts w:hint="eastAsia"/>
                      <w:color w:val="000000" w:themeColor="text1"/>
                      <w:kern w:val="0"/>
                      <w:szCs w:val="21"/>
                      <w:lang w:bidi="ar"/>
                      <w14:textFill>
                        <w14:solidFill>
                          <w14:schemeClr w14:val="tx1"/>
                        </w14:solidFill>
                      </w14:textFill>
                    </w:rPr>
                    <w:t>2</w:t>
                  </w:r>
                  <w:r>
                    <w:rPr>
                      <w:rFonts w:hAnsi="宋体"/>
                      <w:color w:val="000000" w:themeColor="text1"/>
                      <w:kern w:val="0"/>
                      <w:szCs w:val="21"/>
                      <w:lang w:bidi="ar"/>
                      <w14:textFill>
                        <w14:solidFill>
                          <w14:schemeClr w14:val="tx1"/>
                        </w14:solidFill>
                      </w14:textFill>
                    </w:rPr>
                    <w:t>年度</w:t>
                  </w:r>
                </w:p>
              </w:tc>
              <w:tc>
                <w:tcPr>
                  <w:tcW w:w="923" w:type="pct"/>
                  <w:tcBorders>
                    <w:tl2br w:val="nil"/>
                    <w:tr2bl w:val="nil"/>
                  </w:tcBorders>
                  <w:vAlign w:val="center"/>
                </w:tcPr>
                <w:p>
                  <w:pPr>
                    <w:widowControl/>
                    <w:jc w:val="center"/>
                    <w:rPr>
                      <w:color w:val="000000" w:themeColor="text1"/>
                      <w:kern w:val="0"/>
                      <w:szCs w:val="21"/>
                      <w:lang w:bidi="ar"/>
                      <w14:textFill>
                        <w14:solidFill>
                          <w14:schemeClr w14:val="tx1"/>
                        </w14:solidFill>
                      </w14:textFill>
                    </w:rPr>
                  </w:pPr>
                  <w:r>
                    <w:rPr>
                      <w:rFonts w:hint="eastAsia"/>
                      <w:color w:val="000000" w:themeColor="text1"/>
                      <w:kern w:val="0"/>
                      <w:szCs w:val="21"/>
                      <w:lang w:bidi="ar"/>
                      <w14:textFill>
                        <w14:solidFill>
                          <w14:schemeClr w14:val="tx1"/>
                        </w14:solidFill>
                      </w14:textFill>
                    </w:rPr>
                    <w:t>2023</w:t>
                  </w:r>
                  <w:r>
                    <w:rPr>
                      <w:rFonts w:hint="eastAsia"/>
                      <w:color w:val="000000" w:themeColor="text1"/>
                      <w:kern w:val="0"/>
                      <w:szCs w:val="21"/>
                      <w:lang w:val="en-US" w:eastAsia="zh-CN" w:bidi="ar"/>
                      <w14:textFill>
                        <w14:solidFill>
                          <w14:schemeClr w14:val="tx1"/>
                        </w14:solidFill>
                      </w14:textFill>
                    </w:rPr>
                    <w:t>-2026</w:t>
                  </w:r>
                  <w:r>
                    <w:rPr>
                      <w:rFonts w:hint="eastAsia"/>
                      <w:color w:val="000000" w:themeColor="text1"/>
                      <w:kern w:val="0"/>
                      <w:szCs w:val="21"/>
                      <w:lang w:bidi="ar"/>
                      <w14:textFill>
                        <w14:solidFill>
                          <w14:schemeClr w14:val="tx1"/>
                        </w14:solidFill>
                      </w14:textFill>
                    </w:rPr>
                    <w:t>年度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78" w:type="pct"/>
                  <w:vMerge w:val="restart"/>
                  <w:tcBorders>
                    <w:tl2br w:val="nil"/>
                    <w:tr2bl w:val="nil"/>
                  </w:tcBorders>
                  <w:vAlign w:val="center"/>
                </w:tcPr>
                <w:p>
                  <w:pPr>
                    <w:pStyle w:val="18"/>
                    <w:adjustRightInd/>
                    <w:jc w:val="center"/>
                    <w:rPr>
                      <w:color w:val="000000" w:themeColor="text1"/>
                      <w:sz w:val="22"/>
                      <w14:textFill>
                        <w14:solidFill>
                          <w14:schemeClr w14:val="tx1"/>
                        </w14:solidFill>
                      </w14:textFill>
                    </w:rPr>
                  </w:pPr>
                  <w:r>
                    <w:rPr>
                      <w:color w:val="000000" w:themeColor="text1"/>
                      <w:sz w:val="22"/>
                      <w14:textFill>
                        <w14:solidFill>
                          <w14:schemeClr w14:val="tx1"/>
                        </w14:solidFill>
                      </w14:textFill>
                    </w:rPr>
                    <w:t>1</w:t>
                  </w:r>
                </w:p>
              </w:tc>
              <w:tc>
                <w:tcPr>
                  <w:tcW w:w="1777" w:type="pct"/>
                  <w:gridSpan w:val="2"/>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钻井液</w:t>
                  </w:r>
                </w:p>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（包括膨润土、</w:t>
                  </w:r>
                  <w:r>
                    <w:rPr>
                      <w:rFonts w:hint="eastAsia" w:hAnsi="宋体"/>
                      <w:color w:val="000000" w:themeColor="text1"/>
                      <w:kern w:val="0"/>
                      <w:szCs w:val="21"/>
                      <w:lang w:bidi="ar"/>
                      <w14:textFill>
                        <w14:solidFill>
                          <w14:schemeClr w14:val="tx1"/>
                        </w14:solidFill>
                      </w14:textFill>
                    </w:rPr>
                    <w:t>腐植酸钾</w:t>
                  </w:r>
                  <w:r>
                    <w:rPr>
                      <w:rFonts w:hAnsi="宋体"/>
                      <w:color w:val="000000" w:themeColor="text1"/>
                      <w:kern w:val="0"/>
                      <w:szCs w:val="21"/>
                      <w:lang w:bidi="ar"/>
                      <w14:textFill>
                        <w14:solidFill>
                          <w14:schemeClr w14:val="tx1"/>
                        </w14:solidFill>
                      </w14:textFill>
                    </w:rPr>
                    <w:t>、纤维素）</w:t>
                  </w:r>
                </w:p>
              </w:tc>
              <w:tc>
                <w:tcPr>
                  <w:tcW w:w="974"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0.535kg/m</w:t>
                  </w:r>
                </w:p>
              </w:tc>
              <w:tc>
                <w:tcPr>
                  <w:tcW w:w="946" w:type="pct"/>
                  <w:tcBorders>
                    <w:tl2br w:val="nil"/>
                    <w:tr2bl w:val="nil"/>
                  </w:tcBorders>
                  <w:vAlign w:val="center"/>
                </w:tcPr>
                <w:p>
                  <w:pPr>
                    <w:widowControl/>
                    <w:jc w:val="center"/>
                    <w:textAlignment w:val="center"/>
                    <w:rPr>
                      <w:color w:val="000000" w:themeColor="text1"/>
                      <w:szCs w:val="21"/>
                      <w14:textFill>
                        <w14:solidFill>
                          <w14:schemeClr w14:val="tx1"/>
                        </w14:solidFill>
                      </w14:textFill>
                    </w:rPr>
                  </w:pPr>
                  <w:r>
                    <w:rPr>
                      <w:color w:val="000000" w:themeColor="text1"/>
                      <w:kern w:val="0"/>
                      <w:szCs w:val="21"/>
                      <w:lang w:bidi="ar"/>
                      <w14:textFill>
                        <w14:solidFill>
                          <w14:schemeClr w14:val="tx1"/>
                        </w14:solidFill>
                      </w14:textFill>
                    </w:rPr>
                    <w:t>14.98</w:t>
                  </w:r>
                  <w:r>
                    <w:rPr>
                      <w:rFonts w:hint="eastAsia"/>
                      <w:color w:val="000000" w:themeColor="text1"/>
                      <w:kern w:val="0"/>
                      <w:szCs w:val="21"/>
                      <w:lang w:bidi="ar"/>
                      <w14:textFill>
                        <w14:solidFill>
                          <w14:schemeClr w14:val="tx1"/>
                        </w14:solidFill>
                      </w14:textFill>
                    </w:rPr>
                    <w:t>t</w:t>
                  </w:r>
                </w:p>
              </w:tc>
              <w:tc>
                <w:tcPr>
                  <w:tcW w:w="923" w:type="pct"/>
                  <w:tcBorders>
                    <w:tl2br w:val="nil"/>
                    <w:tr2bl w:val="nil"/>
                  </w:tcBorders>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79.18</w:t>
                  </w:r>
                  <w:r>
                    <w:rPr>
                      <w:rFonts w:hint="eastAsia"/>
                      <w:color w:val="000000" w:themeColor="text1"/>
                      <w:kern w:val="0"/>
                      <w:szCs w:val="21"/>
                      <w:lang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78" w:type="pct"/>
                  <w:vMerge w:val="continue"/>
                  <w:tcBorders>
                    <w:tl2br w:val="nil"/>
                    <w:tr2bl w:val="nil"/>
                  </w:tcBorders>
                  <w:vAlign w:val="center"/>
                </w:tcPr>
                <w:p>
                  <w:pPr>
                    <w:pStyle w:val="18"/>
                    <w:adjustRightInd/>
                    <w:jc w:val="center"/>
                    <w:rPr>
                      <w:color w:val="000000" w:themeColor="text1"/>
                      <w:sz w:val="22"/>
                      <w14:textFill>
                        <w14:solidFill>
                          <w14:schemeClr w14:val="tx1"/>
                        </w14:solidFill>
                      </w14:textFill>
                    </w:rPr>
                  </w:pPr>
                </w:p>
              </w:tc>
              <w:tc>
                <w:tcPr>
                  <w:tcW w:w="508" w:type="pct"/>
                  <w:vMerge w:val="restart"/>
                  <w:tcBorders>
                    <w:tl2br w:val="nil"/>
                    <w:tr2bl w:val="nil"/>
                  </w:tcBorders>
                  <w:vAlign w:val="center"/>
                </w:tcPr>
                <w:p>
                  <w:pPr>
                    <w:widowControl/>
                    <w:jc w:val="center"/>
                    <w:rPr>
                      <w:color w:val="000000" w:themeColor="text1"/>
                      <w:kern w:val="0"/>
                      <w:szCs w:val="21"/>
                      <w:lang w:bidi="ar"/>
                      <w14:textFill>
                        <w14:solidFill>
                          <w14:schemeClr w14:val="tx1"/>
                        </w14:solidFill>
                      </w14:textFill>
                    </w:rPr>
                  </w:pPr>
                  <w:r>
                    <w:rPr>
                      <w:rFonts w:hint="eastAsia"/>
                      <w:color w:val="000000" w:themeColor="text1"/>
                      <w:kern w:val="0"/>
                      <w:szCs w:val="21"/>
                      <w:lang w:bidi="ar"/>
                      <w14:textFill>
                        <w14:solidFill>
                          <w14:schemeClr w14:val="tx1"/>
                        </w14:solidFill>
                      </w14:textFill>
                    </w:rPr>
                    <w:t>钻井液</w:t>
                  </w:r>
                </w:p>
              </w:tc>
              <w:tc>
                <w:tcPr>
                  <w:tcW w:w="1268" w:type="pct"/>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膨润土</w:t>
                  </w:r>
                </w:p>
              </w:tc>
              <w:tc>
                <w:tcPr>
                  <w:tcW w:w="974"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0.487kg/m</w:t>
                  </w:r>
                </w:p>
              </w:tc>
              <w:tc>
                <w:tcPr>
                  <w:tcW w:w="946" w:type="pct"/>
                  <w:tcBorders>
                    <w:tl2br w:val="nil"/>
                    <w:tr2bl w:val="nil"/>
                  </w:tcBorders>
                  <w:vAlign w:val="center"/>
                </w:tcPr>
                <w:p>
                  <w:pPr>
                    <w:widowControl/>
                    <w:jc w:val="center"/>
                    <w:textAlignment w:val="center"/>
                    <w:rPr>
                      <w:color w:val="000000" w:themeColor="text1"/>
                      <w:szCs w:val="21"/>
                      <w14:textFill>
                        <w14:solidFill>
                          <w14:schemeClr w14:val="tx1"/>
                        </w14:solidFill>
                      </w14:textFill>
                    </w:rPr>
                  </w:pPr>
                  <w:r>
                    <w:rPr>
                      <w:color w:val="000000" w:themeColor="text1"/>
                      <w:kern w:val="0"/>
                      <w:szCs w:val="21"/>
                      <w:lang w:bidi="ar"/>
                      <w14:textFill>
                        <w14:solidFill>
                          <w14:schemeClr w14:val="tx1"/>
                        </w14:solidFill>
                      </w14:textFill>
                    </w:rPr>
                    <w:t>13.636</w:t>
                  </w:r>
                  <w:r>
                    <w:rPr>
                      <w:rFonts w:hint="eastAsia"/>
                      <w:color w:val="000000" w:themeColor="text1"/>
                      <w:kern w:val="0"/>
                      <w:szCs w:val="21"/>
                      <w:lang w:bidi="ar"/>
                      <w14:textFill>
                        <w14:solidFill>
                          <w14:schemeClr w14:val="tx1"/>
                        </w14:solidFill>
                      </w14:textFill>
                    </w:rPr>
                    <w:t>t</w:t>
                  </w:r>
                </w:p>
              </w:tc>
              <w:tc>
                <w:tcPr>
                  <w:tcW w:w="923" w:type="pct"/>
                  <w:tcBorders>
                    <w:tl2br w:val="nil"/>
                    <w:tr2bl w:val="nil"/>
                  </w:tcBorders>
                  <w:vAlign w:val="center"/>
                </w:tcPr>
                <w:p>
                  <w:pPr>
                    <w:widowControl/>
                    <w:jc w:val="center"/>
                    <w:textAlignment w:val="center"/>
                    <w:rPr>
                      <w:rFonts w:eastAsia="等线"/>
                      <w:color w:val="000000" w:themeColor="text1"/>
                      <w:szCs w:val="21"/>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72.076</w:t>
                  </w:r>
                  <w:r>
                    <w:rPr>
                      <w:rFonts w:hint="eastAsia"/>
                      <w:color w:val="000000" w:themeColor="text1"/>
                      <w:kern w:val="0"/>
                      <w:szCs w:val="21"/>
                      <w:lang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78" w:type="pct"/>
                  <w:vMerge w:val="continue"/>
                  <w:tcBorders>
                    <w:tl2br w:val="nil"/>
                    <w:tr2bl w:val="nil"/>
                  </w:tcBorders>
                  <w:vAlign w:val="center"/>
                </w:tcPr>
                <w:p>
                  <w:pPr>
                    <w:pStyle w:val="18"/>
                    <w:adjustRightInd/>
                    <w:jc w:val="center"/>
                    <w:rPr>
                      <w:color w:val="000000" w:themeColor="text1"/>
                      <w:sz w:val="22"/>
                      <w14:textFill>
                        <w14:solidFill>
                          <w14:schemeClr w14:val="tx1"/>
                        </w14:solidFill>
                      </w14:textFill>
                    </w:rPr>
                  </w:pPr>
                </w:p>
              </w:tc>
              <w:tc>
                <w:tcPr>
                  <w:tcW w:w="508" w:type="pct"/>
                  <w:vMerge w:val="continue"/>
                  <w:tcBorders>
                    <w:tl2br w:val="nil"/>
                    <w:tr2bl w:val="nil"/>
                  </w:tcBorders>
                  <w:vAlign w:val="center"/>
                </w:tcPr>
                <w:p>
                  <w:pPr>
                    <w:widowControl/>
                    <w:jc w:val="center"/>
                    <w:rPr>
                      <w:color w:val="000000" w:themeColor="text1"/>
                      <w:kern w:val="0"/>
                      <w:szCs w:val="21"/>
                      <w:lang w:bidi="ar"/>
                      <w14:textFill>
                        <w14:solidFill>
                          <w14:schemeClr w14:val="tx1"/>
                        </w14:solidFill>
                      </w14:textFill>
                    </w:rPr>
                  </w:pPr>
                </w:p>
              </w:tc>
              <w:tc>
                <w:tcPr>
                  <w:tcW w:w="1268" w:type="pct"/>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int="eastAsia" w:hAnsi="宋体"/>
                      <w:color w:val="000000" w:themeColor="text1"/>
                      <w:kern w:val="0"/>
                      <w:szCs w:val="21"/>
                      <w:lang w:bidi="ar"/>
                      <w14:textFill>
                        <w14:solidFill>
                          <w14:schemeClr w14:val="tx1"/>
                        </w14:solidFill>
                      </w14:textFill>
                    </w:rPr>
                    <w:t>腐植酸钾</w:t>
                  </w:r>
                </w:p>
              </w:tc>
              <w:tc>
                <w:tcPr>
                  <w:tcW w:w="974"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0.041kg/m</w:t>
                  </w:r>
                </w:p>
              </w:tc>
              <w:tc>
                <w:tcPr>
                  <w:tcW w:w="946" w:type="pct"/>
                  <w:tcBorders>
                    <w:tl2br w:val="nil"/>
                    <w:tr2bl w:val="nil"/>
                  </w:tcBorders>
                  <w:vAlign w:val="center"/>
                </w:tcPr>
                <w:p>
                  <w:pPr>
                    <w:widowControl/>
                    <w:jc w:val="center"/>
                    <w:textAlignment w:val="center"/>
                    <w:rPr>
                      <w:color w:val="000000" w:themeColor="text1"/>
                      <w:szCs w:val="21"/>
                      <w14:textFill>
                        <w14:solidFill>
                          <w14:schemeClr w14:val="tx1"/>
                        </w14:solidFill>
                      </w14:textFill>
                    </w:rPr>
                  </w:pPr>
                  <w:r>
                    <w:rPr>
                      <w:color w:val="000000" w:themeColor="text1"/>
                      <w:kern w:val="0"/>
                      <w:szCs w:val="21"/>
                      <w:lang w:bidi="ar"/>
                      <w14:textFill>
                        <w14:solidFill>
                          <w14:schemeClr w14:val="tx1"/>
                        </w14:solidFill>
                      </w14:textFill>
                    </w:rPr>
                    <w:t>1.148</w:t>
                  </w:r>
                  <w:r>
                    <w:rPr>
                      <w:rFonts w:hint="eastAsia"/>
                      <w:color w:val="000000" w:themeColor="text1"/>
                      <w:kern w:val="0"/>
                      <w:szCs w:val="21"/>
                      <w:lang w:bidi="ar"/>
                      <w14:textFill>
                        <w14:solidFill>
                          <w14:schemeClr w14:val="tx1"/>
                        </w14:solidFill>
                      </w14:textFill>
                    </w:rPr>
                    <w:t>t</w:t>
                  </w:r>
                </w:p>
              </w:tc>
              <w:tc>
                <w:tcPr>
                  <w:tcW w:w="923" w:type="pct"/>
                  <w:tcBorders>
                    <w:tl2br w:val="nil"/>
                    <w:tr2bl w:val="nil"/>
                  </w:tcBorders>
                  <w:vAlign w:val="center"/>
                </w:tcPr>
                <w:p>
                  <w:pPr>
                    <w:widowControl/>
                    <w:jc w:val="center"/>
                    <w:textAlignment w:val="center"/>
                    <w:rPr>
                      <w:rFonts w:eastAsia="等线"/>
                      <w:color w:val="000000" w:themeColor="text1"/>
                      <w:szCs w:val="21"/>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6.068</w:t>
                  </w:r>
                  <w:r>
                    <w:rPr>
                      <w:rFonts w:hint="eastAsia"/>
                      <w:color w:val="000000" w:themeColor="text1"/>
                      <w:kern w:val="0"/>
                      <w:szCs w:val="21"/>
                      <w:lang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78" w:type="pct"/>
                  <w:vMerge w:val="continue"/>
                  <w:tcBorders>
                    <w:tl2br w:val="nil"/>
                    <w:tr2bl w:val="nil"/>
                  </w:tcBorders>
                  <w:vAlign w:val="center"/>
                </w:tcPr>
                <w:p>
                  <w:pPr>
                    <w:pStyle w:val="18"/>
                    <w:adjustRightInd/>
                    <w:jc w:val="center"/>
                    <w:rPr>
                      <w:color w:val="000000" w:themeColor="text1"/>
                      <w:sz w:val="22"/>
                      <w14:textFill>
                        <w14:solidFill>
                          <w14:schemeClr w14:val="tx1"/>
                        </w14:solidFill>
                      </w14:textFill>
                    </w:rPr>
                  </w:pPr>
                </w:p>
              </w:tc>
              <w:tc>
                <w:tcPr>
                  <w:tcW w:w="508" w:type="pct"/>
                  <w:vMerge w:val="continue"/>
                  <w:tcBorders>
                    <w:tl2br w:val="nil"/>
                    <w:tr2bl w:val="nil"/>
                  </w:tcBorders>
                  <w:vAlign w:val="center"/>
                </w:tcPr>
                <w:p>
                  <w:pPr>
                    <w:widowControl/>
                    <w:jc w:val="center"/>
                    <w:rPr>
                      <w:color w:val="000000" w:themeColor="text1"/>
                      <w:kern w:val="0"/>
                      <w:szCs w:val="21"/>
                      <w:lang w:bidi="ar"/>
                      <w14:textFill>
                        <w14:solidFill>
                          <w14:schemeClr w14:val="tx1"/>
                        </w14:solidFill>
                      </w14:textFill>
                    </w:rPr>
                  </w:pPr>
                </w:p>
              </w:tc>
              <w:tc>
                <w:tcPr>
                  <w:tcW w:w="1268" w:type="pct"/>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纤维素</w:t>
                  </w:r>
                </w:p>
              </w:tc>
              <w:tc>
                <w:tcPr>
                  <w:tcW w:w="974"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0.007kg/m</w:t>
                  </w:r>
                </w:p>
              </w:tc>
              <w:tc>
                <w:tcPr>
                  <w:tcW w:w="946" w:type="pct"/>
                  <w:tcBorders>
                    <w:tl2br w:val="nil"/>
                    <w:tr2bl w:val="nil"/>
                  </w:tcBorders>
                  <w:vAlign w:val="center"/>
                </w:tcPr>
                <w:p>
                  <w:pPr>
                    <w:widowControl/>
                    <w:jc w:val="center"/>
                    <w:textAlignment w:val="center"/>
                    <w:rPr>
                      <w:color w:val="000000" w:themeColor="text1"/>
                      <w:szCs w:val="21"/>
                      <w14:textFill>
                        <w14:solidFill>
                          <w14:schemeClr w14:val="tx1"/>
                        </w14:solidFill>
                      </w14:textFill>
                    </w:rPr>
                  </w:pPr>
                  <w:r>
                    <w:rPr>
                      <w:color w:val="000000" w:themeColor="text1"/>
                      <w:kern w:val="0"/>
                      <w:szCs w:val="21"/>
                      <w:lang w:bidi="ar"/>
                      <w14:textFill>
                        <w14:solidFill>
                          <w14:schemeClr w14:val="tx1"/>
                        </w14:solidFill>
                      </w14:textFill>
                    </w:rPr>
                    <w:t>0.196</w:t>
                  </w:r>
                  <w:r>
                    <w:rPr>
                      <w:rFonts w:hint="eastAsia"/>
                      <w:color w:val="000000" w:themeColor="text1"/>
                      <w:kern w:val="0"/>
                      <w:szCs w:val="21"/>
                      <w:lang w:bidi="ar"/>
                      <w14:textFill>
                        <w14:solidFill>
                          <w14:schemeClr w14:val="tx1"/>
                        </w14:solidFill>
                      </w14:textFill>
                    </w:rPr>
                    <w:t>t</w:t>
                  </w:r>
                </w:p>
              </w:tc>
              <w:tc>
                <w:tcPr>
                  <w:tcW w:w="923" w:type="pct"/>
                  <w:tcBorders>
                    <w:tl2br w:val="nil"/>
                    <w:tr2bl w:val="nil"/>
                  </w:tcBorders>
                  <w:vAlign w:val="center"/>
                </w:tcPr>
                <w:p>
                  <w:pPr>
                    <w:widowControl/>
                    <w:jc w:val="center"/>
                    <w:textAlignment w:val="center"/>
                    <w:rPr>
                      <w:rFonts w:eastAsia="等线"/>
                      <w:color w:val="000000" w:themeColor="text1"/>
                      <w:szCs w:val="21"/>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1.036</w:t>
                  </w:r>
                  <w:r>
                    <w:rPr>
                      <w:rFonts w:hint="eastAsia"/>
                      <w:color w:val="000000" w:themeColor="text1"/>
                      <w:kern w:val="0"/>
                      <w:szCs w:val="21"/>
                      <w:lang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78" w:type="pct"/>
                  <w:tcBorders>
                    <w:tl2br w:val="nil"/>
                    <w:tr2bl w:val="nil"/>
                  </w:tcBorders>
                  <w:vAlign w:val="center"/>
                </w:tcPr>
                <w:p>
                  <w:pPr>
                    <w:pStyle w:val="18"/>
                    <w:adjustRightInd/>
                    <w:jc w:val="center"/>
                    <w:rPr>
                      <w:color w:val="000000" w:themeColor="text1"/>
                      <w:sz w:val="22"/>
                      <w14:textFill>
                        <w14:solidFill>
                          <w14:schemeClr w14:val="tx1"/>
                        </w14:solidFill>
                      </w14:textFill>
                    </w:rPr>
                  </w:pPr>
                  <w:r>
                    <w:rPr>
                      <w:color w:val="000000" w:themeColor="text1"/>
                      <w:sz w:val="22"/>
                      <w14:textFill>
                        <w14:solidFill>
                          <w14:schemeClr w14:val="tx1"/>
                        </w14:solidFill>
                      </w14:textFill>
                    </w:rPr>
                    <w:t>2</w:t>
                  </w:r>
                </w:p>
              </w:tc>
              <w:tc>
                <w:tcPr>
                  <w:tcW w:w="1777"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水泥</w:t>
                  </w:r>
                </w:p>
              </w:tc>
              <w:tc>
                <w:tcPr>
                  <w:tcW w:w="974"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1</w:t>
                  </w:r>
                  <w:r>
                    <w:rPr>
                      <w:rFonts w:hint="eastAsia"/>
                      <w:bCs/>
                      <w:color w:val="000000" w:themeColor="text1"/>
                      <w:kern w:val="0"/>
                      <w:szCs w:val="21"/>
                      <w:lang w:bidi="ar"/>
                      <w14:textFill>
                        <w14:solidFill>
                          <w14:schemeClr w14:val="tx1"/>
                        </w14:solidFill>
                      </w14:textFill>
                    </w:rPr>
                    <w:t>0</w:t>
                  </w:r>
                  <w:r>
                    <w:rPr>
                      <w:bCs/>
                      <w:color w:val="000000" w:themeColor="text1"/>
                      <w:kern w:val="0"/>
                      <w:szCs w:val="21"/>
                      <w:lang w:bidi="ar"/>
                      <w14:textFill>
                        <w14:solidFill>
                          <w14:schemeClr w14:val="tx1"/>
                        </w14:solidFill>
                      </w14:textFill>
                    </w:rPr>
                    <w:t>kg/m</w:t>
                  </w:r>
                </w:p>
              </w:tc>
              <w:tc>
                <w:tcPr>
                  <w:tcW w:w="946" w:type="pct"/>
                  <w:tcBorders>
                    <w:tl2br w:val="nil"/>
                    <w:tr2bl w:val="nil"/>
                  </w:tcBorders>
                  <w:vAlign w:val="center"/>
                </w:tcPr>
                <w:p>
                  <w:pPr>
                    <w:widowControl/>
                    <w:jc w:val="center"/>
                    <w:textAlignment w:val="center"/>
                    <w:rPr>
                      <w:bCs/>
                      <w:color w:val="000000" w:themeColor="text1"/>
                      <w:kern w:val="0"/>
                      <w:szCs w:val="21"/>
                      <w:lang w:bidi="ar"/>
                      <w14:textFill>
                        <w14:solidFill>
                          <w14:schemeClr w14:val="tx1"/>
                        </w14:solidFill>
                      </w14:textFill>
                    </w:rPr>
                  </w:pPr>
                  <w:r>
                    <w:rPr>
                      <w:color w:val="000000" w:themeColor="text1"/>
                      <w:kern w:val="0"/>
                      <w:szCs w:val="21"/>
                      <w:lang w:bidi="ar"/>
                      <w14:textFill>
                        <w14:solidFill>
                          <w14:schemeClr w14:val="tx1"/>
                        </w14:solidFill>
                      </w14:textFill>
                    </w:rPr>
                    <w:t>280</w:t>
                  </w:r>
                  <w:r>
                    <w:rPr>
                      <w:rFonts w:hint="eastAsia"/>
                      <w:color w:val="000000" w:themeColor="text1"/>
                      <w:kern w:val="0"/>
                      <w:szCs w:val="21"/>
                      <w:lang w:bidi="ar"/>
                      <w14:textFill>
                        <w14:solidFill>
                          <w14:schemeClr w14:val="tx1"/>
                        </w14:solidFill>
                      </w14:textFill>
                    </w:rPr>
                    <w:t>t</w:t>
                  </w:r>
                </w:p>
              </w:tc>
              <w:tc>
                <w:tcPr>
                  <w:tcW w:w="923" w:type="pct"/>
                  <w:tcBorders>
                    <w:tl2br w:val="nil"/>
                    <w:tr2bl w:val="nil"/>
                  </w:tcBorders>
                  <w:vAlign w:val="center"/>
                </w:tcPr>
                <w:p>
                  <w:pPr>
                    <w:widowControl/>
                    <w:jc w:val="center"/>
                    <w:textAlignment w:val="center"/>
                    <w:rPr>
                      <w:rFonts w:eastAsia="等线"/>
                      <w:color w:val="000000" w:themeColor="text1"/>
                      <w:szCs w:val="21"/>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1480</w:t>
                  </w:r>
                  <w:r>
                    <w:rPr>
                      <w:rFonts w:hint="eastAsia"/>
                      <w:color w:val="000000" w:themeColor="text1"/>
                      <w:kern w:val="0"/>
                      <w:szCs w:val="21"/>
                      <w:lang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78" w:type="pct"/>
                  <w:tcBorders>
                    <w:tl2br w:val="nil"/>
                    <w:tr2bl w:val="nil"/>
                  </w:tcBorders>
                  <w:vAlign w:val="center"/>
                </w:tcPr>
                <w:p>
                  <w:pPr>
                    <w:pStyle w:val="18"/>
                    <w:adjustRightInd/>
                    <w:jc w:val="center"/>
                    <w:rPr>
                      <w:rFonts w:hint="eastAsia" w:eastAsia="宋体"/>
                      <w:color w:val="000000" w:themeColor="text1"/>
                      <w:sz w:val="22"/>
                      <w:lang w:eastAsia="zh-CN"/>
                      <w14:textFill>
                        <w14:solidFill>
                          <w14:schemeClr w14:val="tx1"/>
                        </w14:solidFill>
                      </w14:textFill>
                    </w:rPr>
                  </w:pPr>
                  <w:r>
                    <w:rPr>
                      <w:rFonts w:hint="eastAsia"/>
                      <w:color w:val="000000" w:themeColor="text1"/>
                      <w:sz w:val="22"/>
                      <w:lang w:val="en-US" w:eastAsia="zh-CN"/>
                      <w14:textFill>
                        <w14:solidFill>
                          <w14:schemeClr w14:val="tx1"/>
                        </w14:solidFill>
                      </w14:textFill>
                    </w:rPr>
                    <w:t>3</w:t>
                  </w:r>
                </w:p>
              </w:tc>
              <w:tc>
                <w:tcPr>
                  <w:tcW w:w="1777"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柴油</w:t>
                  </w:r>
                </w:p>
              </w:tc>
              <w:tc>
                <w:tcPr>
                  <w:tcW w:w="974"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3.6L/m</w:t>
                  </w:r>
                </w:p>
              </w:tc>
              <w:tc>
                <w:tcPr>
                  <w:tcW w:w="946" w:type="pct"/>
                  <w:tcBorders>
                    <w:tl2br w:val="nil"/>
                    <w:tr2bl w:val="nil"/>
                  </w:tcBorders>
                  <w:vAlign w:val="center"/>
                </w:tcPr>
                <w:p>
                  <w:pPr>
                    <w:widowControl/>
                    <w:jc w:val="center"/>
                    <w:textAlignment w:val="center"/>
                    <w:rPr>
                      <w:color w:val="000000" w:themeColor="text1"/>
                      <w:szCs w:val="21"/>
                      <w14:textFill>
                        <w14:solidFill>
                          <w14:schemeClr w14:val="tx1"/>
                        </w14:solidFill>
                      </w14:textFill>
                    </w:rPr>
                  </w:pPr>
                  <w:r>
                    <w:rPr>
                      <w:color w:val="000000" w:themeColor="text1"/>
                      <w:kern w:val="0"/>
                      <w:szCs w:val="21"/>
                      <w:lang w:bidi="ar"/>
                      <w14:textFill>
                        <w14:solidFill>
                          <w14:schemeClr w14:val="tx1"/>
                        </w14:solidFill>
                      </w14:textFill>
                    </w:rPr>
                    <w:t>100800</w:t>
                  </w:r>
                  <w:r>
                    <w:rPr>
                      <w:rFonts w:hint="eastAsia"/>
                      <w:color w:val="000000" w:themeColor="text1"/>
                      <w:kern w:val="0"/>
                      <w:szCs w:val="21"/>
                      <w:lang w:bidi="ar"/>
                      <w14:textFill>
                        <w14:solidFill>
                          <w14:schemeClr w14:val="tx1"/>
                        </w14:solidFill>
                      </w14:textFill>
                    </w:rPr>
                    <w:t>L</w:t>
                  </w:r>
                </w:p>
              </w:tc>
              <w:tc>
                <w:tcPr>
                  <w:tcW w:w="923" w:type="pct"/>
                  <w:tcBorders>
                    <w:tl2br w:val="nil"/>
                    <w:tr2bl w:val="nil"/>
                  </w:tcBorders>
                  <w:vAlign w:val="center"/>
                </w:tcPr>
                <w:p>
                  <w:pPr>
                    <w:widowControl/>
                    <w:jc w:val="center"/>
                    <w:textAlignment w:val="center"/>
                    <w:rPr>
                      <w:rFonts w:eastAsia="等线"/>
                      <w:color w:val="000000" w:themeColor="text1"/>
                      <w:szCs w:val="21"/>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532800</w:t>
                  </w:r>
                  <w:r>
                    <w:rPr>
                      <w:rFonts w:hint="eastAsia"/>
                      <w:color w:val="000000" w:themeColor="text1"/>
                      <w:kern w:val="0"/>
                      <w:szCs w:val="21"/>
                      <w:lang w:bidi="ar"/>
                      <w14:textFill>
                        <w14:solidFill>
                          <w14:schemeClr w14:val="tx1"/>
                        </w14:solidFill>
                      </w14:textFill>
                    </w:rPr>
                    <w:t>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78" w:type="pct"/>
                  <w:tcBorders>
                    <w:tl2br w:val="nil"/>
                    <w:tr2bl w:val="nil"/>
                  </w:tcBorders>
                  <w:vAlign w:val="center"/>
                </w:tcPr>
                <w:p>
                  <w:pPr>
                    <w:pStyle w:val="18"/>
                    <w:adjustRightInd/>
                    <w:jc w:val="center"/>
                    <w:rPr>
                      <w:rFonts w:hint="eastAsia" w:eastAsia="宋体"/>
                      <w:color w:val="000000" w:themeColor="text1"/>
                      <w:sz w:val="22"/>
                      <w:lang w:eastAsia="zh-CN"/>
                      <w14:textFill>
                        <w14:solidFill>
                          <w14:schemeClr w14:val="tx1"/>
                        </w14:solidFill>
                      </w14:textFill>
                    </w:rPr>
                  </w:pPr>
                  <w:r>
                    <w:rPr>
                      <w:rFonts w:hint="eastAsia"/>
                      <w:color w:val="000000" w:themeColor="text1"/>
                      <w:sz w:val="22"/>
                      <w:lang w:val="en-US" w:eastAsia="zh-CN"/>
                      <w14:textFill>
                        <w14:solidFill>
                          <w14:schemeClr w14:val="tx1"/>
                        </w14:solidFill>
                      </w14:textFill>
                    </w:rPr>
                    <w:t>4</w:t>
                  </w:r>
                </w:p>
              </w:tc>
              <w:tc>
                <w:tcPr>
                  <w:tcW w:w="1777" w:type="pct"/>
                  <w:gridSpan w:val="2"/>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int="eastAsia" w:hAnsi="宋体"/>
                      <w:color w:val="000000" w:themeColor="text1"/>
                      <w:kern w:val="0"/>
                      <w:szCs w:val="21"/>
                      <w:lang w:bidi="ar"/>
                      <w14:textFill>
                        <w14:solidFill>
                          <w14:schemeClr w14:val="tx1"/>
                        </w14:solidFill>
                      </w14:textFill>
                    </w:rPr>
                    <w:t>防渗膜（HDPE膜）</w:t>
                  </w:r>
                </w:p>
              </w:tc>
              <w:tc>
                <w:tcPr>
                  <w:tcW w:w="974"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70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r>
                    <w:rPr>
                      <w:bCs/>
                      <w:color w:val="000000" w:themeColor="text1"/>
                      <w:kern w:val="0"/>
                      <w:szCs w:val="21"/>
                      <w:lang w:bidi="ar"/>
                      <w14:textFill>
                        <w14:solidFill>
                          <w14:schemeClr w14:val="tx1"/>
                        </w14:solidFill>
                      </w14:textFill>
                    </w:rPr>
                    <w:t>/</w:t>
                  </w:r>
                  <w:r>
                    <w:rPr>
                      <w:rFonts w:hint="eastAsia"/>
                      <w:bCs/>
                      <w:color w:val="000000" w:themeColor="text1"/>
                      <w:kern w:val="0"/>
                      <w:szCs w:val="21"/>
                      <w:lang w:bidi="ar"/>
                      <w14:textFill>
                        <w14:solidFill>
                          <w14:schemeClr w14:val="tx1"/>
                        </w14:solidFill>
                      </w14:textFill>
                    </w:rPr>
                    <w:t>单井</w:t>
                  </w:r>
                </w:p>
              </w:tc>
              <w:tc>
                <w:tcPr>
                  <w:tcW w:w="946" w:type="pct"/>
                  <w:tcBorders>
                    <w:tl2br w:val="nil"/>
                    <w:tr2bl w:val="nil"/>
                  </w:tcBorders>
                  <w:vAlign w:val="center"/>
                </w:tcPr>
                <w:p>
                  <w:pPr>
                    <w:widowControl/>
                    <w:jc w:val="center"/>
                    <w:textAlignment w:val="center"/>
                    <w:rPr>
                      <w:rFonts w:eastAsia="等线"/>
                      <w:color w:val="000000" w:themeColor="text1"/>
                      <w:szCs w:val="21"/>
                      <w14:textFill>
                        <w14:solidFill>
                          <w14:schemeClr w14:val="tx1"/>
                        </w14:solidFill>
                      </w14:textFill>
                    </w:rPr>
                  </w:pPr>
                  <w:r>
                    <w:rPr>
                      <w:color w:val="000000" w:themeColor="text1"/>
                      <w:kern w:val="0"/>
                      <w:szCs w:val="21"/>
                      <w:lang w:bidi="ar"/>
                      <w14:textFill>
                        <w14:solidFill>
                          <w14:schemeClr w14:val="tx1"/>
                        </w14:solidFill>
                      </w14:textFill>
                    </w:rPr>
                    <w:t>3220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p>
              </w:tc>
              <w:tc>
                <w:tcPr>
                  <w:tcW w:w="923" w:type="pct"/>
                  <w:tcBorders>
                    <w:tl2br w:val="nil"/>
                    <w:tr2bl w:val="nil"/>
                  </w:tcBorders>
                  <w:vAlign w:val="center"/>
                </w:tcPr>
                <w:p>
                  <w:pPr>
                    <w:widowControl/>
                    <w:jc w:val="center"/>
                    <w:textAlignment w:val="center"/>
                    <w:rPr>
                      <w:rFonts w:eastAsia="等线"/>
                      <w:color w:val="000000" w:themeColor="text1"/>
                      <w:szCs w:val="21"/>
                      <w14:textFill>
                        <w14:solidFill>
                          <w14:schemeClr w14:val="tx1"/>
                        </w14:solidFill>
                      </w14:textFill>
                    </w:rPr>
                  </w:pPr>
                  <w:r>
                    <w:rPr>
                      <w:rFonts w:hint="eastAsia"/>
                      <w:bCs/>
                      <w:color w:val="000000" w:themeColor="text1"/>
                      <w:kern w:val="0"/>
                      <w:szCs w:val="21"/>
                      <w:lang w:val="en-US" w:eastAsia="zh-CN" w:bidi="ar"/>
                      <w14:textFill>
                        <w14:solidFill>
                          <w14:schemeClr w14:val="tx1"/>
                        </w14:solidFill>
                      </w14:textFill>
                    </w:rPr>
                    <w:t>16660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p>
              </w:tc>
            </w:tr>
          </w:tbl>
          <w:p>
            <w:pP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GB"/>
                <w14:textFill>
                  <w14:solidFill>
                    <w14:schemeClr w14:val="tx1"/>
                  </w14:solidFill>
                </w14:textFill>
              </w:rPr>
              <w:t>备注：</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①2023年-2026年度钻探预估工作量148000m/238孔；②本项目采用无毒无害的水基钻井液</w:t>
            </w:r>
          </w:p>
          <w:p>
            <w:pPr>
              <w:widowControl/>
              <w:spacing w:line="360" w:lineRule="auto"/>
              <w:rPr>
                <w:rFonts w:hint="default" w:ascii="Times New Roman" w:hAnsi="Times New Roman" w:eastAsia="宋体" w:cs="Times New Roman"/>
                <w:b/>
                <w:bCs/>
                <w:color w:val="000000" w:themeColor="text1"/>
                <w:kern w:val="0"/>
                <w:sz w:val="24"/>
                <w:lang w:val="en-US" w:eastAsia="zh-CN" w:bidi="ar"/>
                <w14:textFill>
                  <w14:solidFill>
                    <w14:schemeClr w14:val="tx1"/>
                  </w14:solidFill>
                </w14:textFill>
              </w:rPr>
            </w:pPr>
            <w:r>
              <w:rPr>
                <w:rFonts w:hint="eastAsia" w:ascii="Times New Roman" w:hAnsi="Times New Roman" w:eastAsia="宋体" w:cs="Times New Roman"/>
                <w:b/>
                <w:bCs/>
                <w:color w:val="000000" w:themeColor="text1"/>
                <w:kern w:val="0"/>
                <w:sz w:val="24"/>
                <w:lang w:val="en-US" w:eastAsia="zh-CN" w:bidi="ar"/>
                <w14:textFill>
                  <w14:solidFill>
                    <w14:schemeClr w14:val="tx1"/>
                  </w14:solidFill>
                </w14:textFill>
              </w:rPr>
              <w:t>3、水平衡</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（1）给水</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项目部生活用水依托所在村庄，钻探勘查区施工及生活用水采用水车从附近村庄拉运。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①2022年度</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2022年度该项目</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28</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46</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生产用水主要为配置钻井液用水以及封井水泥用水</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根据类比调查估算，202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年度钻井液用水均为</w:t>
            </w:r>
            <w:r>
              <w:rPr>
                <w:rFonts w:hint="eastAsia"/>
                <w:color w:val="000000" w:themeColor="text1"/>
                <w:sz w:val="24"/>
                <w:lang w:val="en-US" w:eastAsia="zh-CN"/>
                <w14:textFill>
                  <w14:solidFill>
                    <w14:schemeClr w14:val="tx1"/>
                  </w14:solidFill>
                </w14:textFill>
              </w:rPr>
              <w:t>280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/100m），</w:t>
            </w:r>
            <w:r>
              <w:rPr>
                <w:rFonts w:hint="eastAsia"/>
                <w:color w:val="000000" w:themeColor="text1"/>
                <w:sz w:val="24"/>
                <w:lang w:val="en-US" w:eastAsia="zh-CN"/>
                <w14:textFill>
                  <w14:solidFill>
                    <w14:schemeClr w14:val="tx1"/>
                  </w14:solidFill>
                </w14:textFill>
              </w:rPr>
              <w:t>即1.4</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/d；封井水泥用水量为</w:t>
            </w:r>
            <w:r>
              <w:rPr>
                <w:rFonts w:hint="eastAsia"/>
                <w:color w:val="000000" w:themeColor="text1"/>
                <w:sz w:val="24"/>
                <w:lang w:val="en-US" w:eastAsia="zh-CN"/>
                <w14:textFill>
                  <w14:solidFill>
                    <w14:schemeClr w14:val="tx1"/>
                  </w14:solidFill>
                </w14:textFill>
              </w:rPr>
              <w:t>140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/a（水灰比例1:2），</w:t>
            </w:r>
            <w:r>
              <w:rPr>
                <w:rFonts w:hint="eastAsia"/>
                <w:color w:val="000000" w:themeColor="text1"/>
                <w:sz w:val="24"/>
                <w:lang w:val="en-US" w:eastAsia="zh-CN"/>
                <w14:textFill>
                  <w14:solidFill>
                    <w14:schemeClr w14:val="tx1"/>
                  </w14:solidFill>
                </w14:textFill>
              </w:rPr>
              <w:t>即0.7</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/d；完井后</w:t>
            </w:r>
            <w:r>
              <w:rPr>
                <w:color w:val="000000" w:themeColor="text1"/>
                <w:sz w:val="24"/>
                <w:lang w:eastAsia="zh-CN"/>
                <w14:textFill>
                  <w14:solidFill>
                    <w14:schemeClr w14:val="tx1"/>
                  </w14:solidFill>
                </w14:textFill>
              </w:rPr>
              <w:t>钻具等冲洗水用</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69</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color w:val="000000" w:themeColor="text1"/>
                <w:sz w:val="24"/>
                <w:lang w:eastAsia="zh-CN"/>
                <w14:textFill>
                  <w14:solidFill>
                    <w14:schemeClr w14:val="tx1"/>
                  </w14:solidFill>
                </w14:textFill>
              </w:rPr>
              <w:t>/单井</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即0.345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spacing w:line="360" w:lineRule="auto"/>
              <w:ind w:firstLine="480" w:firstLineChars="200"/>
              <w:rPr>
                <w:rFonts w:hint="eastAsia"/>
                <w:color w:val="000000" w:themeColor="text1"/>
                <w:sz w:val="24"/>
                <w:lang w:val="en-GB"/>
                <w14:textFill>
                  <w14:solidFill>
                    <w14:schemeClr w14:val="tx1"/>
                  </w14:solidFill>
                </w14:textFill>
              </w:rPr>
            </w:pP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年度勘查所需人员为</w:t>
            </w:r>
            <w:r>
              <w:rPr>
                <w:rFonts w:hint="eastAsia"/>
                <w:color w:val="000000" w:themeColor="text1"/>
                <w:sz w:val="24"/>
                <w:lang w:val="en-US" w:eastAsia="zh-CN"/>
                <w14:textFill>
                  <w14:solidFill>
                    <w14:schemeClr w14:val="tx1"/>
                  </w14:solidFill>
                </w14:textFill>
              </w:rPr>
              <w:t>50</w:t>
            </w:r>
            <w:r>
              <w:rPr>
                <w:rFonts w:hint="eastAsia"/>
                <w:color w:val="000000" w:themeColor="text1"/>
                <w:sz w:val="24"/>
                <w:lang w:eastAsia="zh-CN"/>
                <w14:textFill>
                  <w14:solidFill>
                    <w14:schemeClr w14:val="tx1"/>
                  </w14:solidFill>
                </w14:textFill>
              </w:rPr>
              <w:t>人，</w:t>
            </w:r>
            <w:r>
              <w:rPr>
                <w:rFonts w:hint="eastAsia"/>
                <w:color w:val="000000" w:themeColor="text1"/>
                <w:sz w:val="24"/>
                <w:lang w:val="en-US" w:eastAsia="zh-CN"/>
                <w14:textFill>
                  <w14:solidFill>
                    <w14:schemeClr w14:val="tx1"/>
                  </w14:solidFill>
                </w14:textFill>
              </w:rPr>
              <w:t>生活用水量</w:t>
            </w:r>
            <w:r>
              <w:rPr>
                <w:rFonts w:hint="eastAsia"/>
                <w:color w:val="000000" w:themeColor="text1"/>
                <w:sz w:val="24"/>
                <w:lang w:val="en-GB"/>
                <w14:textFill>
                  <w14:solidFill>
                    <w14:schemeClr w14:val="tx1"/>
                  </w14:solidFill>
                </w14:textFill>
              </w:rPr>
              <w:t>按</w:t>
            </w:r>
            <w:r>
              <w:rPr>
                <w:rFonts w:hint="eastAsia" w:ascii="Times New Roman" w:hAnsi="Times New Roman" w:cs="Times New Roman"/>
                <w:color w:val="000000" w:themeColor="text1"/>
                <w:sz w:val="24"/>
                <w:lang w:val="en-US" w:eastAsia="zh-CN"/>
                <w14:textFill>
                  <w14:solidFill>
                    <w14:schemeClr w14:val="tx1"/>
                  </w14:solidFill>
                </w14:textFill>
              </w:rPr>
              <w:t>4</w:t>
            </w:r>
            <w:r>
              <w:rPr>
                <w:rFonts w:hint="default" w:ascii="Times New Roman" w:hAnsi="Times New Roman" w:cs="Times New Roman"/>
                <w:color w:val="000000" w:themeColor="text1"/>
                <w:sz w:val="24"/>
                <w:lang w:val="en-GB"/>
                <w14:textFill>
                  <w14:solidFill>
                    <w14:schemeClr w14:val="tx1"/>
                  </w14:solidFill>
                </w14:textFill>
              </w:rPr>
              <w:t>0L/人·d</w:t>
            </w:r>
            <w:r>
              <w:rPr>
                <w:rFonts w:hint="eastAsia"/>
                <w:color w:val="000000" w:themeColor="text1"/>
                <w:sz w:val="24"/>
                <w:lang w:val="en-GB"/>
                <w14:textFill>
                  <w14:solidFill>
                    <w14:schemeClr w14:val="tx1"/>
                  </w14:solidFill>
                </w14:textFill>
              </w:rPr>
              <w:t>计，</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年度项目生活用水量约</w:t>
            </w:r>
            <w:r>
              <w:rPr>
                <w:rFonts w:hint="eastAsia"/>
                <w:color w:val="000000" w:themeColor="text1"/>
                <w:sz w:val="24"/>
                <w:lang w:val="en-US" w:eastAsia="zh-CN"/>
                <w14:textFill>
                  <w14:solidFill>
                    <w14:schemeClr w14:val="tx1"/>
                  </w14:solidFill>
                </w14:textFill>
              </w:rPr>
              <w:t>2.0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/d（勘查期约为200天，则</w:t>
            </w:r>
            <w:r>
              <w:rPr>
                <w:rFonts w:hint="eastAsia"/>
                <w:color w:val="000000" w:themeColor="text1"/>
                <w:sz w:val="24"/>
                <w:lang w:val="en-US" w:eastAsia="zh-CN"/>
                <w14:textFill>
                  <w14:solidFill>
                    <w14:schemeClr w14:val="tx1"/>
                  </w14:solidFill>
                </w14:textFill>
              </w:rPr>
              <w:t>400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w:t>
            </w:r>
          </w:p>
          <w:p>
            <w:p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GB" w:eastAsia="zh-CN"/>
                <w14:textFill>
                  <w14:solidFill>
                    <w14:schemeClr w14:val="tx1"/>
                  </w14:solidFill>
                </w14:textFill>
              </w:rPr>
              <w:fldChar w:fldCharType="begin"/>
            </w:r>
            <w:r>
              <w:rPr>
                <w:rFonts w:hint="default" w:ascii="Times New Roman" w:hAnsi="Times New Roman" w:cs="Times New Roman"/>
                <w:color w:val="000000" w:themeColor="text1"/>
                <w:sz w:val="24"/>
                <w:lang w:val="en-GB" w:eastAsia="zh-CN"/>
                <w14:textFill>
                  <w14:solidFill>
                    <w14:schemeClr w14:val="tx1"/>
                  </w14:solidFill>
                </w14:textFill>
              </w:rPr>
              <w:instrText xml:space="preserve"> = 2 \* GB3 \* MERGEFORMAT </w:instrText>
            </w:r>
            <w:r>
              <w:rPr>
                <w:rFonts w:hint="default" w:ascii="Times New Roman" w:hAnsi="Times New Roman" w:cs="Times New Roman"/>
                <w:color w:val="000000" w:themeColor="text1"/>
                <w:sz w:val="24"/>
                <w:lang w:val="en-GB" w:eastAsia="zh-CN"/>
                <w14:textFill>
                  <w14:solidFill>
                    <w14:schemeClr w14:val="tx1"/>
                  </w14:solidFill>
                </w14:textFill>
              </w:rPr>
              <w:fldChar w:fldCharType="separate"/>
            </w:r>
            <w:r>
              <w:rPr>
                <w:rFonts w:hint="default" w:ascii="Times New Roman" w:hAnsi="Times New Roman" w:cs="Times New Roman"/>
                <w:color w:val="000000" w:themeColor="text1"/>
                <w:sz w:val="24"/>
                <w:lang w:val="en-GB"/>
                <w14:textFill>
                  <w14:solidFill>
                    <w14:schemeClr w14:val="tx1"/>
                  </w14:solidFill>
                </w14:textFill>
              </w:rPr>
              <w:t>②</w:t>
            </w:r>
            <w:r>
              <w:rPr>
                <w:rFonts w:hint="default" w:ascii="Times New Roman" w:hAnsi="Times New Roman" w:cs="Times New Roman"/>
                <w:color w:val="000000" w:themeColor="text1"/>
                <w:sz w:val="24"/>
                <w:lang w:val="en-GB"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2023-2026年度</w:t>
            </w:r>
          </w:p>
          <w:p>
            <w:pPr>
              <w:spacing w:line="360" w:lineRule="auto"/>
              <w:ind w:firstLine="480" w:firstLineChars="200"/>
              <w:rPr>
                <w:rFonts w:hint="default" w:ascii="Times New Roman" w:hAnsi="Times New Roman" w:cs="Times New Roman"/>
                <w:color w:val="000000" w:themeColor="text1"/>
                <w:sz w:val="24"/>
                <w:lang w:val="en-GB"/>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2023-2026年度该项目预估</w:t>
            </w:r>
            <w:r>
              <w:rPr>
                <w:rFonts w:hint="default" w:ascii="Times New Roman" w:hAnsi="Times New Roman" w:cs="Times New Roman"/>
                <w:b w:val="0"/>
                <w:bCs w:val="0"/>
                <w:color w:val="000000" w:themeColor="text1"/>
                <w:sz w:val="24"/>
                <w:lang w:eastAsia="zh-CN"/>
                <w14:textFill>
                  <w14:solidFill>
                    <w14:schemeClr w14:val="tx1"/>
                  </w14:solidFill>
                </w14:textFill>
              </w:rPr>
              <w:t>机械岩心钻探</w:t>
            </w:r>
            <w:r>
              <w:rPr>
                <w:rFonts w:hint="default" w:ascii="Times New Roman" w:hAnsi="Times New Roman" w:cs="Times New Roman"/>
                <w:b w:val="0"/>
                <w:bCs w:val="0"/>
                <w:color w:val="000000" w:themeColor="text1"/>
                <w:sz w:val="24"/>
                <w:lang w:val="en-US" w:eastAsia="zh-CN"/>
                <w14:textFill>
                  <w14:solidFill>
                    <w14:schemeClr w14:val="tx1"/>
                  </w14:solidFill>
                </w14:textFill>
              </w:rPr>
              <w:t>工作量148000</w:t>
            </w:r>
            <w:r>
              <w:rPr>
                <w:rFonts w:hint="default" w:ascii="Times New Roman" w:hAnsi="Times New Roman" w:cs="Times New Roman"/>
                <w:b w:val="0"/>
                <w:bCs w:val="0"/>
                <w:color w:val="000000" w:themeColor="text1"/>
                <w:sz w:val="24"/>
                <w14:textFill>
                  <w14:solidFill>
                    <w14:schemeClr w14:val="tx1"/>
                  </w14:solidFill>
                </w14:textFill>
              </w:rPr>
              <w:t>m</w:t>
            </w:r>
            <w:r>
              <w:rPr>
                <w:rFonts w:hint="default" w:ascii="Times New Roman" w:hAnsi="Times New Roman" w:cs="Times New Roman"/>
                <w:b w:val="0"/>
                <w:bCs w:val="0"/>
                <w:color w:val="000000" w:themeColor="text1"/>
                <w:sz w:val="24"/>
                <w:lang w:eastAsia="zh-CN"/>
                <w14:textFill>
                  <w14:solidFill>
                    <w14:schemeClr w14:val="tx1"/>
                  </w14:solidFill>
                </w14:textFill>
              </w:rPr>
              <w:t>，拟设钻孔</w:t>
            </w:r>
            <w:r>
              <w:rPr>
                <w:rFonts w:hint="default" w:ascii="Times New Roman" w:hAnsi="Times New Roman" w:cs="Times New Roman"/>
                <w:b w:val="0"/>
                <w:bCs w:val="0"/>
                <w:color w:val="000000" w:themeColor="text1"/>
                <w:sz w:val="24"/>
                <w:lang w:val="en-US" w:eastAsia="zh-CN"/>
                <w14:textFill>
                  <w14:solidFill>
                    <w14:schemeClr w14:val="tx1"/>
                  </w14:solidFill>
                </w14:textFill>
              </w:rPr>
              <w:t>238</w:t>
            </w:r>
            <w:r>
              <w:rPr>
                <w:rFonts w:hint="default" w:ascii="Times New Roman" w:hAnsi="Times New Roman" w:cs="Times New Roman"/>
                <w:b w:val="0"/>
                <w:bCs w:val="0"/>
                <w:color w:val="000000" w:themeColor="text1"/>
                <w:sz w:val="24"/>
                <w:lang w:eastAsia="zh-CN"/>
                <w14:textFill>
                  <w14:solidFill>
                    <w14:schemeClr w14:val="tx1"/>
                  </w14:solidFill>
                </w14:textFill>
              </w:rPr>
              <w:t>个，</w:t>
            </w:r>
            <w:r>
              <w:rPr>
                <w:rFonts w:hint="default" w:ascii="Times New Roman" w:hAnsi="Times New Roman" w:cs="Times New Roman"/>
                <w:color w:val="000000" w:themeColor="text1"/>
                <w:sz w:val="24"/>
                <w:lang w:eastAsia="zh-CN"/>
                <w14:textFill>
                  <w14:solidFill>
                    <w14:schemeClr w14:val="tx1"/>
                  </w14:solidFill>
                </w14:textFill>
              </w:rPr>
              <w:t>生产用水主要为配置钻井液用水以及封井水泥用水</w:t>
            </w:r>
            <w:r>
              <w:rPr>
                <w:rFonts w:hint="default" w:ascii="Times New Roman" w:hAnsi="Times New Roman" w:cs="Times New Roman"/>
                <w:b w:val="0"/>
                <w:bCs w:val="0"/>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eastAsia="zh-CN"/>
                <w14:textFill>
                  <w14:solidFill>
                    <w14:schemeClr w14:val="tx1"/>
                  </w14:solidFill>
                </w14:textFill>
              </w:rPr>
              <w:t>根据类比调查估算，202</w:t>
            </w:r>
            <w:r>
              <w:rPr>
                <w:rFonts w:hint="default" w:ascii="Times New Roman" w:hAnsi="Times New Roman" w:cs="Times New Roman"/>
                <w:color w:val="000000" w:themeColor="text1"/>
                <w:sz w:val="24"/>
                <w:lang w:val="en-US" w:eastAsia="zh-CN"/>
                <w14:textFill>
                  <w14:solidFill>
                    <w14:schemeClr w14:val="tx1"/>
                  </w14:solidFill>
                </w14:textFill>
              </w:rPr>
              <w:t>2</w:t>
            </w:r>
            <w:r>
              <w:rPr>
                <w:rFonts w:hint="default" w:ascii="Times New Roman" w:hAnsi="Times New Roman" w:cs="Times New Roman"/>
                <w:color w:val="000000" w:themeColor="text1"/>
                <w:sz w:val="24"/>
                <w:lang w:eastAsia="zh-CN"/>
                <w14:textFill>
                  <w14:solidFill>
                    <w14:schemeClr w14:val="tx1"/>
                  </w14:solidFill>
                </w14:textFill>
              </w:rPr>
              <w:t>年度钻井液用水均为</w:t>
            </w:r>
            <w:r>
              <w:rPr>
                <w:rFonts w:hint="default" w:ascii="Times New Roman" w:hAnsi="Times New Roman" w:cs="Times New Roman"/>
                <w:color w:val="000000" w:themeColor="text1"/>
                <w:sz w:val="24"/>
                <w:lang w:val="en-US" w:eastAsia="zh-CN"/>
                <w14:textFill>
                  <w14:solidFill>
                    <w14:schemeClr w14:val="tx1"/>
                  </w14:solidFill>
                </w14:textFill>
              </w:rPr>
              <w:t>1480</w:t>
            </w:r>
            <w:r>
              <w:rPr>
                <w:rFonts w:hint="default" w:ascii="Times New Roman" w:hAnsi="Times New Roman" w:cs="Times New Roman"/>
                <w:color w:val="000000" w:themeColor="text1"/>
                <w:sz w:val="24"/>
                <w:lang w:eastAsia="zh-CN"/>
                <w14:textFill>
                  <w14:solidFill>
                    <w14:schemeClr w14:val="tx1"/>
                  </w14:solidFill>
                </w14:textFill>
              </w:rPr>
              <w:t>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/a（1m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/100m），</w:t>
            </w:r>
            <w:r>
              <w:rPr>
                <w:rFonts w:hint="default" w:ascii="Times New Roman" w:hAnsi="Times New Roman" w:cs="Times New Roman"/>
                <w:color w:val="000000" w:themeColor="text1"/>
                <w:sz w:val="24"/>
                <w:lang w:val="en-US" w:eastAsia="zh-CN"/>
                <w14:textFill>
                  <w14:solidFill>
                    <w14:schemeClr w14:val="tx1"/>
                  </w14:solidFill>
                </w14:textFill>
              </w:rPr>
              <w:t>即1.85</w:t>
            </w:r>
            <w:r>
              <w:rPr>
                <w:rFonts w:hint="default" w:ascii="Times New Roman" w:hAnsi="Times New Roman" w:cs="Times New Roman"/>
                <w:color w:val="000000" w:themeColor="text1"/>
                <w:sz w:val="24"/>
                <w:lang w:eastAsia="zh-CN"/>
                <w14:textFill>
                  <w14:solidFill>
                    <w14:schemeClr w14:val="tx1"/>
                  </w14:solidFill>
                </w14:textFill>
              </w:rPr>
              <w:t>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/d；封井水泥用水量均为</w:t>
            </w:r>
            <w:r>
              <w:rPr>
                <w:rFonts w:hint="default" w:ascii="Times New Roman" w:hAnsi="Times New Roman" w:cs="Times New Roman"/>
                <w:color w:val="000000" w:themeColor="text1"/>
                <w:sz w:val="24"/>
                <w:lang w:val="en-US" w:eastAsia="zh-CN"/>
                <w14:textFill>
                  <w14:solidFill>
                    <w14:schemeClr w14:val="tx1"/>
                  </w14:solidFill>
                </w14:textFill>
              </w:rPr>
              <w:t>740</w:t>
            </w:r>
            <w:r>
              <w:rPr>
                <w:rFonts w:hint="default" w:ascii="Times New Roman" w:hAnsi="Times New Roman" w:cs="Times New Roman"/>
                <w:color w:val="000000" w:themeColor="text1"/>
                <w:sz w:val="24"/>
                <w:lang w:eastAsia="zh-CN"/>
                <w14:textFill>
                  <w14:solidFill>
                    <w14:schemeClr w14:val="tx1"/>
                  </w14:solidFill>
                </w14:textFill>
              </w:rPr>
              <w:t>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/a（水灰比例1:2），</w:t>
            </w:r>
            <w:r>
              <w:rPr>
                <w:rFonts w:hint="default" w:ascii="Times New Roman" w:hAnsi="Times New Roman" w:cs="Times New Roman"/>
                <w:color w:val="000000" w:themeColor="text1"/>
                <w:sz w:val="24"/>
                <w:lang w:val="en-US" w:eastAsia="zh-CN"/>
                <w14:textFill>
                  <w14:solidFill>
                    <w14:schemeClr w14:val="tx1"/>
                  </w14:solidFill>
                </w14:textFill>
              </w:rPr>
              <w:t>即0.925</w:t>
            </w:r>
            <w:r>
              <w:rPr>
                <w:rFonts w:hint="default" w:ascii="Times New Roman" w:hAnsi="Times New Roman" w:cs="Times New Roman"/>
                <w:color w:val="000000" w:themeColor="text1"/>
                <w:sz w:val="24"/>
                <w:lang w:eastAsia="zh-CN"/>
                <w14:textFill>
                  <w14:solidFill>
                    <w14:schemeClr w14:val="tx1"/>
                  </w14:solidFill>
                </w14:textFill>
              </w:rPr>
              <w:t>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/d；完井后钻具等冲洗水用为</w:t>
            </w:r>
            <w:r>
              <w:rPr>
                <w:rFonts w:hint="default" w:ascii="Times New Roman" w:hAnsi="Times New Roman" w:cs="Times New Roman"/>
                <w:color w:val="000000" w:themeColor="text1"/>
                <w:sz w:val="24"/>
                <w:lang w:val="en-US" w:eastAsia="zh-CN"/>
                <w14:textFill>
                  <w14:solidFill>
                    <w14:schemeClr w14:val="tx1"/>
                  </w14:solidFill>
                </w14:textFill>
              </w:rPr>
              <w:t>357</w:t>
            </w:r>
            <w:r>
              <w:rPr>
                <w:rFonts w:hint="default" w:ascii="Times New Roman" w:hAnsi="Times New Roman" w:cs="Times New Roman"/>
                <w:color w:val="000000" w:themeColor="text1"/>
                <w:sz w:val="24"/>
                <w:lang w:eastAsia="zh-CN"/>
                <w14:textFill>
                  <w14:solidFill>
                    <w14:schemeClr w14:val="tx1"/>
                  </w14:solidFill>
                </w14:textFill>
              </w:rPr>
              <w:t>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/a（1.5m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/单井），</w:t>
            </w:r>
            <w:r>
              <w:rPr>
                <w:rFonts w:hint="default" w:ascii="Times New Roman" w:hAnsi="Times New Roman" w:cs="Times New Roman"/>
                <w:color w:val="000000" w:themeColor="text1"/>
                <w:sz w:val="24"/>
                <w:lang w:val="en-US" w:eastAsia="zh-CN"/>
                <w14:textFill>
                  <w14:solidFill>
                    <w14:schemeClr w14:val="tx1"/>
                  </w14:solidFill>
                </w14:textFill>
              </w:rPr>
              <w:t>即0.45</w:t>
            </w:r>
            <w:r>
              <w:rPr>
                <w:rFonts w:hint="default" w:ascii="Times New Roman" w:hAnsi="Times New Roman" w:cs="Times New Roman"/>
                <w:color w:val="000000" w:themeColor="text1"/>
                <w:sz w:val="24"/>
                <w:lang w:eastAsia="zh-CN"/>
                <w14:textFill>
                  <w14:solidFill>
                    <w14:schemeClr w14:val="tx1"/>
                  </w14:solidFill>
                </w14:textFill>
              </w:rPr>
              <w:t>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/d。</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2023-2026年度</w:t>
            </w:r>
            <w:r>
              <w:rPr>
                <w:rFonts w:hint="eastAsia" w:ascii="Times New Roman" w:hAnsi="Times New Roman" w:cs="Times New Roman"/>
                <w:color w:val="000000" w:themeColor="text1"/>
                <w:sz w:val="24"/>
                <w:lang w:eastAsia="zh-CN"/>
                <w14:textFill>
                  <w14:solidFill>
                    <w14:schemeClr w14:val="tx1"/>
                  </w14:solidFill>
                </w14:textFill>
              </w:rPr>
              <w:t>勘查</w:t>
            </w:r>
            <w:r>
              <w:rPr>
                <w:rFonts w:hint="default" w:ascii="Times New Roman" w:hAnsi="Times New Roman" w:cs="Times New Roman"/>
                <w:color w:val="000000" w:themeColor="text1"/>
                <w:sz w:val="24"/>
                <w:lang w:eastAsia="zh-CN"/>
                <w14:textFill>
                  <w14:solidFill>
                    <w14:schemeClr w14:val="tx1"/>
                  </w14:solidFill>
                </w14:textFill>
              </w:rPr>
              <w:t>所需人员均为</w:t>
            </w:r>
            <w:r>
              <w:rPr>
                <w:rFonts w:hint="default" w:ascii="Times New Roman" w:hAnsi="Times New Roman" w:cs="Times New Roman"/>
                <w:color w:val="000000" w:themeColor="text1"/>
                <w:sz w:val="24"/>
                <w:lang w:val="en-US" w:eastAsia="zh-CN"/>
                <w14:textFill>
                  <w14:solidFill>
                    <w14:schemeClr w14:val="tx1"/>
                  </w14:solidFill>
                </w14:textFill>
              </w:rPr>
              <w:t>50</w:t>
            </w:r>
            <w:r>
              <w:rPr>
                <w:rFonts w:hint="default" w:ascii="Times New Roman" w:hAnsi="Times New Roman" w:cs="Times New Roman"/>
                <w:color w:val="000000" w:themeColor="text1"/>
                <w:sz w:val="24"/>
                <w:lang w:eastAsia="zh-CN"/>
                <w14:textFill>
                  <w14:solidFill>
                    <w14:schemeClr w14:val="tx1"/>
                  </w14:solidFill>
                </w14:textFill>
              </w:rPr>
              <w:t>人，</w:t>
            </w:r>
            <w:r>
              <w:rPr>
                <w:rFonts w:hint="default" w:ascii="Times New Roman" w:hAnsi="Times New Roman" w:cs="Times New Roman"/>
                <w:color w:val="000000" w:themeColor="text1"/>
                <w:sz w:val="24"/>
                <w:lang w:val="en-US" w:eastAsia="zh-CN"/>
                <w14:textFill>
                  <w14:solidFill>
                    <w14:schemeClr w14:val="tx1"/>
                  </w14:solidFill>
                </w14:textFill>
              </w:rPr>
              <w:t>生活用水量</w:t>
            </w:r>
            <w:r>
              <w:rPr>
                <w:rFonts w:hint="default" w:ascii="Times New Roman" w:hAnsi="Times New Roman" w:cs="Times New Roman"/>
                <w:color w:val="000000" w:themeColor="text1"/>
                <w:sz w:val="24"/>
                <w:lang w:val="en-GB"/>
                <w14:textFill>
                  <w14:solidFill>
                    <w14:schemeClr w14:val="tx1"/>
                  </w14:solidFill>
                </w14:textFill>
              </w:rPr>
              <w:t>按</w:t>
            </w:r>
            <w:r>
              <w:rPr>
                <w:rFonts w:hint="default" w:ascii="Times New Roman" w:hAnsi="Times New Roman" w:cs="Times New Roman"/>
                <w:color w:val="000000" w:themeColor="text1"/>
                <w:sz w:val="24"/>
                <w:lang w:val="en-US" w:eastAsia="zh-CN"/>
                <w14:textFill>
                  <w14:solidFill>
                    <w14:schemeClr w14:val="tx1"/>
                  </w14:solidFill>
                </w14:textFill>
              </w:rPr>
              <w:t>4</w:t>
            </w:r>
            <w:r>
              <w:rPr>
                <w:rFonts w:hint="default" w:ascii="Times New Roman" w:hAnsi="Times New Roman" w:cs="Times New Roman"/>
                <w:color w:val="000000" w:themeColor="text1"/>
                <w:sz w:val="24"/>
                <w:lang w:val="en-GB"/>
                <w14:textFill>
                  <w14:solidFill>
                    <w14:schemeClr w14:val="tx1"/>
                  </w14:solidFill>
                </w14:textFill>
              </w:rPr>
              <w:t>0L/人·d计，</w:t>
            </w:r>
            <w:r>
              <w:rPr>
                <w:rFonts w:hint="default" w:ascii="Times New Roman" w:hAnsi="Times New Roman" w:cs="Times New Roman"/>
                <w:color w:val="000000" w:themeColor="text1"/>
                <w:sz w:val="24"/>
                <w:lang w:eastAsia="zh-CN"/>
                <w14:textFill>
                  <w14:solidFill>
                    <w14:schemeClr w14:val="tx1"/>
                  </w14:solidFill>
                </w14:textFill>
              </w:rPr>
              <w:t>则202</w:t>
            </w:r>
            <w:r>
              <w:rPr>
                <w:rFonts w:hint="default" w:ascii="Times New Roman" w:hAnsi="Times New Roman" w:cs="Times New Roman"/>
                <w:color w:val="000000" w:themeColor="text1"/>
                <w:sz w:val="24"/>
                <w:lang w:val="en-US" w:eastAsia="zh-CN"/>
                <w14:textFill>
                  <w14:solidFill>
                    <w14:schemeClr w14:val="tx1"/>
                  </w14:solidFill>
                </w14:textFill>
              </w:rPr>
              <w:t>3-2026</w:t>
            </w:r>
            <w:r>
              <w:rPr>
                <w:rFonts w:hint="default" w:ascii="Times New Roman" w:hAnsi="Times New Roman" w:cs="Times New Roman"/>
                <w:color w:val="000000" w:themeColor="text1"/>
                <w:sz w:val="24"/>
                <w:lang w:eastAsia="zh-CN"/>
                <w14:textFill>
                  <w14:solidFill>
                    <w14:schemeClr w14:val="tx1"/>
                  </w14:solidFill>
                </w14:textFill>
              </w:rPr>
              <w:t>年度项目生活用水量约</w:t>
            </w:r>
            <w:r>
              <w:rPr>
                <w:rFonts w:hint="default" w:ascii="Times New Roman" w:hAnsi="Times New Roman" w:cs="Times New Roman"/>
                <w:color w:val="000000" w:themeColor="text1"/>
                <w:sz w:val="24"/>
                <w:lang w:val="en-US" w:eastAsia="zh-CN"/>
                <w14:textFill>
                  <w14:solidFill>
                    <w14:schemeClr w14:val="tx1"/>
                  </w14:solidFill>
                </w14:textFill>
              </w:rPr>
              <w:t>2.0</w:t>
            </w:r>
            <w:r>
              <w:rPr>
                <w:rFonts w:hint="default" w:ascii="Times New Roman" w:hAnsi="Times New Roman" w:cs="Times New Roman"/>
                <w:color w:val="000000" w:themeColor="text1"/>
                <w:sz w:val="24"/>
                <w:lang w:eastAsia="zh-CN"/>
                <w14:textFill>
                  <w14:solidFill>
                    <w14:schemeClr w14:val="tx1"/>
                  </w14:solidFill>
                </w14:textFill>
              </w:rPr>
              <w:t>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/d（</w:t>
            </w:r>
            <w:r>
              <w:rPr>
                <w:rFonts w:hint="eastAsia" w:ascii="Times New Roman" w:hAnsi="Times New Roman" w:cs="Times New Roman"/>
                <w:color w:val="000000" w:themeColor="text1"/>
                <w:sz w:val="24"/>
                <w:lang w:eastAsia="zh-CN"/>
                <w14:textFill>
                  <w14:solidFill>
                    <w14:schemeClr w14:val="tx1"/>
                  </w14:solidFill>
                </w14:textFill>
              </w:rPr>
              <w:t>勘查</w:t>
            </w:r>
            <w:r>
              <w:rPr>
                <w:rFonts w:hint="default" w:ascii="Times New Roman" w:hAnsi="Times New Roman" w:cs="Times New Roman"/>
                <w:color w:val="000000" w:themeColor="text1"/>
                <w:sz w:val="24"/>
                <w:lang w:eastAsia="zh-CN"/>
                <w14:textFill>
                  <w14:solidFill>
                    <w14:schemeClr w14:val="tx1"/>
                  </w14:solidFill>
                </w14:textFill>
              </w:rPr>
              <w:t>期约为</w:t>
            </w:r>
            <w:r>
              <w:rPr>
                <w:rFonts w:hint="default" w:ascii="Times New Roman" w:hAnsi="Times New Roman" w:cs="Times New Roman"/>
                <w:color w:val="000000" w:themeColor="text1"/>
                <w:sz w:val="24"/>
                <w:lang w:val="en-US" w:eastAsia="zh-CN"/>
                <w14:textFill>
                  <w14:solidFill>
                    <w14:schemeClr w14:val="tx1"/>
                  </w14:solidFill>
                </w14:textFill>
              </w:rPr>
              <w:t>8</w:t>
            </w:r>
            <w:r>
              <w:rPr>
                <w:rFonts w:hint="default" w:ascii="Times New Roman" w:hAnsi="Times New Roman" w:cs="Times New Roman"/>
                <w:color w:val="000000" w:themeColor="text1"/>
                <w:sz w:val="24"/>
                <w:lang w:eastAsia="zh-CN"/>
                <w14:textFill>
                  <w14:solidFill>
                    <w14:schemeClr w14:val="tx1"/>
                  </w14:solidFill>
                </w14:textFill>
              </w:rPr>
              <w:t>00天，则</w:t>
            </w:r>
            <w:r>
              <w:rPr>
                <w:rFonts w:hint="default" w:ascii="Times New Roman" w:hAnsi="Times New Roman" w:cs="Times New Roman"/>
                <w:color w:val="000000" w:themeColor="text1"/>
                <w:sz w:val="24"/>
                <w:lang w:val="en-US" w:eastAsia="zh-CN"/>
                <w14:textFill>
                  <w14:solidFill>
                    <w14:schemeClr w14:val="tx1"/>
                  </w14:solidFill>
                </w14:textFill>
              </w:rPr>
              <w:t>1600</w:t>
            </w:r>
            <w:r>
              <w:rPr>
                <w:rFonts w:hint="default" w:ascii="Times New Roman" w:hAnsi="Times New Roman" w:cs="Times New Roman"/>
                <w:color w:val="000000" w:themeColor="text1"/>
                <w:sz w:val="24"/>
                <w:lang w:eastAsia="zh-CN"/>
                <w14:textFill>
                  <w14:solidFill>
                    <w14:schemeClr w14:val="tx1"/>
                  </w14:solidFill>
                </w14:textFill>
              </w:rPr>
              <w:t>m</w:t>
            </w:r>
            <w:r>
              <w:rPr>
                <w:rFonts w:hint="default" w:ascii="Times New Roman" w:hAnsi="Times New Roman" w:cs="Times New Roman"/>
                <w:color w:val="000000" w:themeColor="text1"/>
                <w:sz w:val="24"/>
                <w:vertAlign w:val="superscript"/>
                <w:lang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/a）。</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（2）排水</w:t>
            </w:r>
          </w:p>
          <w:p>
            <w:pPr>
              <w:adjustRightInd w:val="0"/>
              <w:spacing w:line="360" w:lineRule="auto"/>
              <w:ind w:firstLine="480" w:firstLineChars="200"/>
              <w:rPr>
                <w:rFonts w:ascii="Times New Roman" w:hAnsi="Times New Roman" w:cs="Times New Roman"/>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工程废、污水主要为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p>
          <w:p>
            <w:pPr>
              <w:widowControl/>
              <w:autoSpaceDE/>
              <w:autoSpaceDN/>
              <w:spacing w:line="360" w:lineRule="auto"/>
              <w:ind w:firstLine="480" w:firstLineChars="200"/>
              <w:jc w:val="both"/>
              <w:rPr>
                <w:rFonts w:hint="eastAsia"/>
                <w:color w:val="000000" w:themeColor="text1"/>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项目部依托村庄现有旱厕收集生活粪便，生活洗漱污水用于抑尘；钻探施工区生活区设旱厕，生活洗漱污水用于抑尘，</w:t>
            </w:r>
            <w:r>
              <w:rPr>
                <w:rFonts w:hint="eastAsia"/>
                <w:color w:val="000000" w:themeColor="text1"/>
                <w:sz w:val="24"/>
                <w:szCs w:val="24"/>
                <w:lang w:val="en-US" w:eastAsia="zh-CN"/>
                <w14:textFill>
                  <w14:solidFill>
                    <w14:schemeClr w14:val="tx1"/>
                  </w14:solidFill>
                </w14:textFill>
              </w:rPr>
              <w:t>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autoSpaceDE/>
              <w:autoSpaceDN/>
              <w:spacing w:line="360" w:lineRule="auto"/>
              <w:ind w:firstLine="480" w:firstLineChars="200"/>
              <w:jc w:val="both"/>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fldChar w:fldCharType="begin"/>
            </w:r>
            <w:r>
              <w:rPr>
                <w:rFonts w:hint="eastAsia"/>
                <w:color w:val="000000" w:themeColor="text1"/>
                <w:sz w:val="24"/>
                <w:lang w:eastAsia="zh-CN"/>
                <w14:textFill>
                  <w14:solidFill>
                    <w14:schemeClr w14:val="tx1"/>
                  </w14:solidFill>
                </w14:textFill>
              </w:rPr>
              <w:instrText xml:space="preserve"> = 1 \* GB3 \* MERGEFORMAT </w:instrText>
            </w:r>
            <w:r>
              <w:rPr>
                <w:rFonts w:hint="eastAsia"/>
                <w:color w:val="000000" w:themeColor="text1"/>
                <w:sz w:val="24"/>
                <w:lang w:eastAsia="zh-CN"/>
                <w14:textFill>
                  <w14:solidFill>
                    <w14:schemeClr w14:val="tx1"/>
                  </w14:solidFill>
                </w14:textFill>
              </w:rPr>
              <w:fldChar w:fldCharType="separate"/>
            </w:r>
            <w:r>
              <w:rPr>
                <w:color w:val="000000" w:themeColor="text1"/>
                <w:lang w:eastAsia="zh-CN"/>
                <w14:textFill>
                  <w14:solidFill>
                    <w14:schemeClr w14:val="tx1"/>
                  </w14:solidFill>
                </w14:textFill>
              </w:rPr>
              <w:t>①</w:t>
            </w:r>
            <w:r>
              <w:rPr>
                <w:rFonts w:hint="eastAsia"/>
                <w:color w:val="000000" w:themeColor="text1"/>
                <w:sz w:val="24"/>
                <w:lang w:eastAsia="zh-CN"/>
                <w14:textFill>
                  <w14:solidFill>
                    <w14:schemeClr w14:val="tx1"/>
                  </w14:solidFill>
                </w14:textFill>
              </w:rPr>
              <w:fldChar w:fldCharType="end"/>
            </w:r>
            <w:r>
              <w:rPr>
                <w:rFonts w:hint="eastAsia"/>
                <w:color w:val="000000" w:themeColor="text1"/>
                <w:sz w:val="24"/>
                <w:lang w:eastAsia="zh-CN"/>
                <w14:textFill>
                  <w14:solidFill>
                    <w14:schemeClr w14:val="tx1"/>
                  </w14:solidFill>
                </w14:textFill>
              </w:rPr>
              <w:t>2022年度</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2022年度用、排水量及水平衡分别见下表6-3，水平衡图见图6-2。</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表6-3  项目用排水一览表（2022年度）</w:t>
            </w:r>
          </w:p>
          <w:tbl>
            <w:tblPr>
              <w:tblStyle w:val="12"/>
              <w:tblW w:w="494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91"/>
              <w:gridCol w:w="655"/>
              <w:gridCol w:w="1532"/>
              <w:gridCol w:w="1284"/>
              <w:gridCol w:w="1179"/>
              <w:gridCol w:w="1284"/>
              <w:gridCol w:w="1286"/>
              <w:gridCol w:w="15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58"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680"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用水量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2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损耗量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80"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回用量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807"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158"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生活用水</w:t>
                  </w:r>
                </w:p>
              </w:tc>
              <w:tc>
                <w:tcPr>
                  <w:tcW w:w="680"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2.0</w:t>
                  </w:r>
                </w:p>
              </w:tc>
              <w:tc>
                <w:tcPr>
                  <w:tcW w:w="624"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2.0</w:t>
                  </w:r>
                </w:p>
              </w:tc>
              <w:tc>
                <w:tcPr>
                  <w:tcW w:w="680"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restar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年工作天数200天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347" w:type="pct"/>
                  <w:vMerge w:val="restart"/>
                  <w:tcBorders>
                    <w:tl2br w:val="nil"/>
                    <w:tr2bl w:val="nil"/>
                  </w:tcBorders>
                  <w:vAlign w:val="center"/>
                </w:tcPr>
                <w:p>
                  <w:pPr>
                    <w:contextualSpacing/>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施工作业用水</w:t>
                  </w:r>
                </w:p>
              </w:tc>
              <w:tc>
                <w:tcPr>
                  <w:tcW w:w="81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钻井液用水</w:t>
                  </w:r>
                </w:p>
              </w:tc>
              <w:tc>
                <w:tcPr>
                  <w:tcW w:w="680"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7.945</w:t>
                  </w:r>
                </w:p>
              </w:tc>
              <w:tc>
                <w:tcPr>
                  <w:tcW w:w="624"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1.745</w:t>
                  </w:r>
                </w:p>
              </w:tc>
              <w:tc>
                <w:tcPr>
                  <w:tcW w:w="680"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6.2</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34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1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封井水泥用水</w:t>
                  </w:r>
                </w:p>
              </w:tc>
              <w:tc>
                <w:tcPr>
                  <w:tcW w:w="680"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0.7</w:t>
                  </w:r>
                </w:p>
              </w:tc>
              <w:tc>
                <w:tcPr>
                  <w:tcW w:w="624"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0.7</w:t>
                  </w:r>
                </w:p>
              </w:tc>
              <w:tc>
                <w:tcPr>
                  <w:tcW w:w="680"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6"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34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1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钻具冲洗用水</w:t>
                  </w:r>
                </w:p>
              </w:tc>
              <w:tc>
                <w:tcPr>
                  <w:tcW w:w="680"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0.345</w:t>
                  </w:r>
                </w:p>
              </w:tc>
              <w:tc>
                <w:tcPr>
                  <w:tcW w:w="624"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0.345</w:t>
                  </w:r>
                </w:p>
              </w:tc>
              <w:tc>
                <w:tcPr>
                  <w:tcW w:w="680"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24" w:type="pct"/>
                  <w:gridSpan w:val="3"/>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合计</w:t>
                  </w:r>
                </w:p>
              </w:tc>
              <w:tc>
                <w:tcPr>
                  <w:tcW w:w="1308"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10.99</w:t>
                  </w:r>
                </w:p>
              </w:tc>
              <w:tc>
                <w:tcPr>
                  <w:tcW w:w="1200"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4.79</w:t>
                  </w:r>
                </w:p>
              </w:tc>
              <w:tc>
                <w:tcPr>
                  <w:tcW w:w="1308"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6.2</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bl>
          <w:p>
            <w:pPr>
              <w:spacing w:line="360" w:lineRule="auto"/>
              <w:jc w:val="center"/>
              <w:rPr>
                <w:rFonts w:eastAsia="黑体"/>
                <w:color w:val="000000" w:themeColor="text1"/>
                <w:sz w:val="24"/>
                <w14:textFill>
                  <w14:solidFill>
                    <w14:schemeClr w14:val="tx1"/>
                  </w14:solidFill>
                </w14:textFill>
              </w:rPr>
            </w:pPr>
            <w:r>
              <w:rPr>
                <w:rFonts w:hint="eastAsia" w:eastAsia="黑体"/>
                <w:color w:val="000000" w:themeColor="text1"/>
                <w:sz w:val="24"/>
                <w14:textFill>
                  <w14:solidFill>
                    <w14:schemeClr w14:val="tx1"/>
                  </w14:solidFill>
                </w14:textFill>
              </w:rPr>
              <w:object>
                <v:shape id="_x0000_i1026" o:spt="75" type="#_x0000_t75" style="height:198.4pt;width:326.65pt;" o:ole="t" filled="f" o:preferrelative="t" stroked="f" coordsize="21600,21600">
                  <v:path/>
                  <v:fill on="f" focussize="0,0"/>
                  <v:stroke on="f"/>
                  <v:imagedata r:id="rId23" o:title=""/>
                  <o:lock v:ext="edit" aspectratio="f"/>
                  <w10:wrap type="none"/>
                  <w10:anchorlock/>
                </v:shape>
                <o:OLEObject Type="Embed" ProgID="Visio.Drawing.11" ShapeID="_x0000_i1026" DrawAspect="Content" ObjectID="_1468075726" r:id="rId22">
                  <o:LockedField>false</o:LockedField>
                </o:OLEObject>
              </w:object>
            </w:r>
          </w:p>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图</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-2  项目水平衡图（2022年）</w:t>
            </w:r>
            <w:r>
              <w:rPr>
                <w:rFonts w:hint="eastAsia"/>
                <w:color w:val="000000" w:themeColor="text1"/>
                <w:sz w:val="24"/>
                <w:lang w:val="en-US" w:eastAsia="zh-CN"/>
                <w14:textFill>
                  <w14:solidFill>
                    <w14:schemeClr w14:val="tx1"/>
                  </w14:solidFill>
                </w14:textFill>
              </w:rPr>
              <w:t xml:space="preserve">  单位：</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tabs>
                <w:tab w:val="left" w:pos="1415"/>
              </w:tabs>
              <w:spacing w:line="360" w:lineRule="auto"/>
              <w:ind w:firstLine="480" w:firstLineChars="200"/>
              <w:jc w:val="both"/>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fldChar w:fldCharType="begin"/>
            </w:r>
            <w:r>
              <w:rPr>
                <w:rFonts w:hint="eastAsia"/>
                <w:color w:val="000000" w:themeColor="text1"/>
                <w:sz w:val="24"/>
                <w:lang w:eastAsia="zh-CN"/>
                <w14:textFill>
                  <w14:solidFill>
                    <w14:schemeClr w14:val="tx1"/>
                  </w14:solidFill>
                </w14:textFill>
              </w:rPr>
              <w:instrText xml:space="preserve"> = 2 \* GB3 \* MERGEFORMAT </w:instrText>
            </w:r>
            <w:r>
              <w:rPr>
                <w:rFonts w:hint="eastAsia"/>
                <w:color w:val="000000" w:themeColor="text1"/>
                <w:sz w:val="24"/>
                <w:lang w:eastAsia="zh-CN"/>
                <w14:textFill>
                  <w14:solidFill>
                    <w14:schemeClr w14:val="tx1"/>
                  </w14:solidFill>
                </w14:textFill>
              </w:rPr>
              <w:fldChar w:fldCharType="separate"/>
            </w:r>
            <w:r>
              <w:rPr>
                <w:color w:val="000000" w:themeColor="text1"/>
                <w:lang w:eastAsia="zh-CN"/>
                <w14:textFill>
                  <w14:solidFill>
                    <w14:schemeClr w14:val="tx1"/>
                  </w14:solidFill>
                </w14:textFill>
              </w:rPr>
              <w:t>②</w:t>
            </w:r>
            <w:r>
              <w:rPr>
                <w:rFonts w:hint="eastAsia"/>
                <w:color w:val="000000" w:themeColor="text1"/>
                <w:sz w:val="24"/>
                <w:lang w:eastAsia="zh-CN"/>
                <w14:textFill>
                  <w14:solidFill>
                    <w14:schemeClr w14:val="tx1"/>
                  </w14:solidFill>
                </w14:textFill>
              </w:rPr>
              <w:fldChar w:fldCharType="end"/>
            </w:r>
            <w:r>
              <w:rPr>
                <w:rFonts w:hint="eastAsia"/>
                <w:color w:val="000000" w:themeColor="text1"/>
                <w:sz w:val="24"/>
                <w:lang w:eastAsia="zh-CN"/>
                <w14:textFill>
                  <w14:solidFill>
                    <w14:schemeClr w14:val="tx1"/>
                  </w14:solidFill>
                </w14:textFill>
              </w:rPr>
              <w:t>2023-2026年度</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2023-2026年度用、排水量及水平衡分别见下表6-4，水平衡图见图6-3。</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 xml:space="preserve">  </w:t>
            </w:r>
            <w:r>
              <w:rPr>
                <w:rFonts w:hint="eastAsia"/>
                <w:color w:val="000000" w:themeColor="text1"/>
                <w:sz w:val="24"/>
                <w:lang w:val="en-US" w:eastAsia="zh-CN"/>
                <w14:textFill>
                  <w14:solidFill>
                    <w14:schemeClr w14:val="tx1"/>
                  </w14:solidFill>
                </w14:textFill>
              </w:rPr>
              <w:t>2023-</w:t>
            </w:r>
            <w:r>
              <w:rPr>
                <w:rFonts w:hint="eastAsia"/>
                <w:color w:val="000000" w:themeColor="text1"/>
                <w:sz w:val="24"/>
                <w14:textFill>
                  <w14:solidFill>
                    <w14:schemeClr w14:val="tx1"/>
                  </w14:solidFill>
                </w14:textFill>
              </w:rPr>
              <w:t>2026年度用、排水量及水平衡表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91"/>
              <w:gridCol w:w="655"/>
              <w:gridCol w:w="1531"/>
              <w:gridCol w:w="1285"/>
              <w:gridCol w:w="1285"/>
              <w:gridCol w:w="1285"/>
              <w:gridCol w:w="1287"/>
              <w:gridCol w:w="152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45"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用水量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损耗量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回用量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798"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145" w:type="pct"/>
                  <w:gridSpan w:val="2"/>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生活用水</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2.0</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2.0</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798" w:type="pct"/>
                  <w:vMerge w:val="restar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年工作天数</w:t>
                  </w:r>
                  <w:r>
                    <w:rPr>
                      <w:rFonts w:hint="eastAsia"/>
                      <w:color w:val="000000" w:themeColor="text1"/>
                      <w:szCs w:val="21"/>
                      <w:lang w:val="en-US" w:eastAsia="zh-CN"/>
                      <w14:textFill>
                        <w14:solidFill>
                          <w14:schemeClr w14:val="tx1"/>
                        </w14:solidFill>
                      </w14:textFill>
                    </w:rPr>
                    <w:t>200</w:t>
                  </w:r>
                  <w:r>
                    <w:rPr>
                      <w:color w:val="000000" w:themeColor="text1"/>
                      <w:szCs w:val="21"/>
                      <w14:textFill>
                        <w14:solidFill>
                          <w14:schemeClr w14:val="tx1"/>
                        </w14:solidFill>
                      </w14:textFill>
                    </w:rPr>
                    <w:t>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343" w:type="pct"/>
                  <w:vMerge w:val="restart"/>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施工作业用水</w:t>
                  </w:r>
                </w:p>
              </w:tc>
              <w:tc>
                <w:tcPr>
                  <w:tcW w:w="802" w:type="pct"/>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钻井液用水</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13.18</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2.3</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10.88</w:t>
                  </w:r>
                </w:p>
              </w:tc>
              <w:tc>
                <w:tcPr>
                  <w:tcW w:w="67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289"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343" w:type="pct"/>
                  <w:vMerge w:val="continue"/>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p>
              </w:tc>
              <w:tc>
                <w:tcPr>
                  <w:tcW w:w="802" w:type="pct"/>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封井水泥用水</w:t>
                  </w:r>
                </w:p>
              </w:tc>
              <w:tc>
                <w:tcPr>
                  <w:tcW w:w="1282" w:type="dxa"/>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0.925</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0.925</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343" w:type="pct"/>
                  <w:vMerge w:val="continue"/>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p>
              </w:tc>
              <w:tc>
                <w:tcPr>
                  <w:tcW w:w="802" w:type="pct"/>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钻具冲洗用水</w:t>
                  </w:r>
                </w:p>
              </w:tc>
              <w:tc>
                <w:tcPr>
                  <w:tcW w:w="1282" w:type="dxa"/>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0.45</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0.45</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7" w:type="pct"/>
                  <w:gridSpan w:val="3"/>
                  <w:tcBorders>
                    <w:tl2br w:val="nil"/>
                    <w:tr2bl w:val="nil"/>
                  </w:tcBorders>
                  <w:vAlign w:val="center"/>
                </w:tcPr>
                <w:p>
                  <w:pPr>
                    <w:contextualSpacing/>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合计</w:t>
                  </w:r>
                </w:p>
              </w:tc>
              <w:tc>
                <w:tcPr>
                  <w:tcW w:w="128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16.555</w:t>
                  </w:r>
                </w:p>
              </w:tc>
              <w:tc>
                <w:tcPr>
                  <w:tcW w:w="128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5.675</w:t>
                  </w:r>
                </w:p>
              </w:tc>
              <w:tc>
                <w:tcPr>
                  <w:tcW w:w="1282"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10.88</w:t>
                  </w:r>
                </w:p>
              </w:tc>
              <w:tc>
                <w:tcPr>
                  <w:tcW w:w="67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bl>
          <w:p>
            <w:pPr>
              <w:pStyle w:val="3"/>
              <w:jc w:val="center"/>
              <w:rPr>
                <w:color w:val="000000" w:themeColor="text1"/>
                <w14:textFill>
                  <w14:solidFill>
                    <w14:schemeClr w14:val="tx1"/>
                  </w14:solidFill>
                </w14:textFill>
              </w:rPr>
            </w:pPr>
            <w:r>
              <w:rPr>
                <w:color w:val="000000" w:themeColor="text1"/>
                <w14:textFill>
                  <w14:solidFill>
                    <w14:schemeClr w14:val="tx1"/>
                  </w14:solidFill>
                </w14:textFill>
              </w:rPr>
              <w:object>
                <v:shape id="_x0000_i1027" o:spt="75" type="#_x0000_t75" style="height:186.75pt;width:345.4pt;" o:ole="t" filled="f" o:preferrelative="t" stroked="f" coordsize="21600,21600">
                  <v:path/>
                  <v:fill on="f" focussize="0,0"/>
                  <v:stroke on="f"/>
                  <v:imagedata r:id="rId25" o:title=""/>
                  <o:lock v:ext="edit" aspectratio="f"/>
                  <w10:wrap type="none"/>
                  <w10:anchorlock/>
                </v:shape>
                <o:OLEObject Type="Embed" ProgID="Visio.Drawing.11" ShapeID="_x0000_i1027" DrawAspect="Content" ObjectID="_1468075727" r:id="rId24">
                  <o:LockedField>false</o:LockedField>
                </o:OLEObject>
              </w:object>
            </w:r>
          </w:p>
          <w:p>
            <w:pPr>
              <w:jc w:val="center"/>
              <w:rPr>
                <w:rFonts w:hint="eastAsia"/>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图</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3</w:t>
            </w:r>
            <w:r>
              <w:rPr>
                <w:rFonts w:hint="eastAsia"/>
                <w:color w:val="000000" w:themeColor="text1"/>
                <w:sz w:val="24"/>
                <w14:textFill>
                  <w14:solidFill>
                    <w14:schemeClr w14:val="tx1"/>
                  </w14:solidFill>
                </w14:textFill>
              </w:rPr>
              <w:t xml:space="preserve">  项目水平衡图（</w:t>
            </w:r>
            <w:r>
              <w:rPr>
                <w:rFonts w:hint="eastAsia"/>
                <w:color w:val="000000" w:themeColor="text1"/>
                <w:sz w:val="24"/>
                <w:lang w:val="en-US" w:eastAsia="zh-CN"/>
                <w14:textFill>
                  <w14:solidFill>
                    <w14:schemeClr w14:val="tx1"/>
                  </w14:solidFill>
                </w14:textFill>
              </w:rPr>
              <w:t>2023-</w:t>
            </w:r>
            <w:r>
              <w:rPr>
                <w:rFonts w:hint="eastAsia"/>
                <w:color w:val="000000" w:themeColor="text1"/>
                <w:sz w:val="24"/>
                <w14:textFill>
                  <w14:solidFill>
                    <w14:schemeClr w14:val="tx1"/>
                  </w14:solidFill>
                </w14:textFill>
              </w:rPr>
              <w:t>2026年）</w:t>
            </w:r>
            <w:r>
              <w:rPr>
                <w:rFonts w:hint="eastAsia"/>
                <w:color w:val="000000" w:themeColor="text1"/>
                <w:sz w:val="24"/>
                <w:lang w:val="en-US" w:eastAsia="zh-CN"/>
                <w14:textFill>
                  <w14:solidFill>
                    <w14:schemeClr w14:val="tx1"/>
                  </w14:solidFill>
                </w14:textFill>
              </w:rPr>
              <w:t xml:space="preserve">  单位：</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eastAsia"/>
                <w:color w:val="000000" w:themeColor="text1"/>
                <w:sz w:val="24"/>
                <w:lang w:eastAsia="zh-CN"/>
                <w14:textFill>
                  <w14:solidFill>
                    <w14:schemeClr w14:val="tx1"/>
                  </w14:solidFill>
                </w14:textFill>
              </w:rPr>
            </w:pPr>
          </w:p>
          <w:p>
            <w:pPr>
              <w:rPr>
                <w:rFonts w:hint="eastAsia"/>
                <w:color w:val="000000" w:themeColor="text1"/>
                <w:sz w:val="24"/>
                <w:lang w:eastAsia="zh-CN"/>
                <w14:textFill>
                  <w14:solidFill>
                    <w14:schemeClr w14:val="tx1"/>
                  </w14:solidFill>
                </w14:textFill>
              </w:rPr>
            </w:pPr>
          </w:p>
          <w:p>
            <w:pPr>
              <w:pStyle w:val="2"/>
              <w:rPr>
                <w:rFonts w:hint="default"/>
                <w:color w:val="000000" w:themeColor="text1"/>
                <w:lang w:val="en-US" w:eastAsia="zh-CN"/>
                <w14:textFill>
                  <w14:solidFill>
                    <w14:schemeClr w14:val="tx1"/>
                  </w14:solidFill>
                </w14:textFill>
              </w:rPr>
            </w:pPr>
          </w:p>
          <w:p>
            <w:pPr>
              <w:spacing w:line="360" w:lineRule="auto"/>
              <w:jc w:val="both"/>
              <w:rPr>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5000" w:type="pct"/>
          </w:tcPr>
          <w:p>
            <w:pPr>
              <w:spacing w:line="360" w:lineRule="auto"/>
              <w:rPr>
                <w:rFonts w:eastAsia="黑体"/>
                <w:color w:val="000000" w:themeColor="text1"/>
                <w:sz w:val="28"/>
                <w14:textFill>
                  <w14:solidFill>
                    <w14:schemeClr w14:val="tx1"/>
                  </w14:solidFill>
                </w14:textFill>
              </w:rPr>
            </w:pPr>
            <w:r>
              <w:rPr>
                <w:rFonts w:hint="eastAsia" w:eastAsia="黑体"/>
                <w:color w:val="000000" w:themeColor="text1"/>
                <w:sz w:val="28"/>
                <w14:textFill>
                  <w14:solidFill>
                    <w14:schemeClr w14:val="tx1"/>
                  </w14:solidFill>
                </w14:textFill>
              </w:rPr>
              <w:t>污染物的产生及治理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钻探平整场地、钻探施工对生态环境产生一定影响；施工作业产生少量施工废水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人员生活污水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施工机械废气及粉尘</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钻孔、发电机等</w:t>
            </w:r>
            <w:r>
              <w:rPr>
                <w:rFonts w:hint="eastAsia"/>
                <w:color w:val="000000" w:themeColor="text1"/>
                <w:sz w:val="24"/>
                <w:lang w:val="en-US" w:eastAsia="zh-CN"/>
                <w14:textFill>
                  <w14:solidFill>
                    <w14:schemeClr w14:val="tx1"/>
                  </w14:solidFill>
                </w14:textFill>
              </w:rPr>
              <w:t>设备运行产生</w:t>
            </w:r>
            <w:r>
              <w:rPr>
                <w:rFonts w:hint="eastAsia"/>
                <w:color w:val="000000" w:themeColor="text1"/>
                <w:sz w:val="24"/>
                <w14:textFill>
                  <w14:solidFill>
                    <w14:schemeClr w14:val="tx1"/>
                  </w14:solidFill>
                </w14:textFill>
              </w:rPr>
              <w:t>噪声。</w:t>
            </w:r>
          </w:p>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1</w:t>
            </w:r>
            <w:r>
              <w:rPr>
                <w:rFonts w:hint="eastAsia"/>
                <w:b/>
                <w:bCs/>
                <w:color w:val="000000" w:themeColor="text1"/>
                <w:sz w:val="24"/>
                <w:lang w:eastAsia="zh-CN"/>
                <w14:textFill>
                  <w14:solidFill>
                    <w14:schemeClr w14:val="tx1"/>
                  </w14:solidFill>
                </w14:textFill>
              </w:rPr>
              <w:t>、</w:t>
            </w:r>
            <w:r>
              <w:rPr>
                <w:rFonts w:hint="eastAsia"/>
                <w:b/>
                <w:bCs/>
                <w:color w:val="000000" w:themeColor="text1"/>
                <w:sz w:val="24"/>
                <w14:textFill>
                  <w14:solidFill>
                    <w14:schemeClr w14:val="tx1"/>
                  </w14:solidFill>
                </w14:textFill>
              </w:rPr>
              <w:t>废气</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color w:val="000000" w:themeColor="text1"/>
                <w:sz w:val="24"/>
                <w:szCs w:val="28"/>
                <w14:textFill>
                  <w14:solidFill>
                    <w14:schemeClr w14:val="tx1"/>
                  </w14:solidFill>
                </w14:textFill>
              </w:rPr>
              <w:t>（1）钻井柴油机排放的大气污染物</w:t>
            </w:r>
          </w:p>
          <w:p>
            <w:pPr>
              <w:adjustRightInd w:val="0"/>
              <w:spacing w:line="360" w:lineRule="auto"/>
              <w:ind w:firstLine="480" w:firstLineChars="200"/>
              <w:contextualSpacing/>
              <w:jc w:val="both"/>
              <w:rPr>
                <w:rFonts w:hint="eastAsia"/>
                <w:color w:val="000000" w:themeColor="text1"/>
                <w:sz w:val="24"/>
                <w:szCs w:val="24"/>
                <w:lang w:eastAsia="zh-CN"/>
                <w14:textFill>
                  <w14:solidFill>
                    <w14:schemeClr w14:val="tx1"/>
                  </w14:solidFill>
                </w14:textFill>
              </w:rPr>
            </w:pPr>
            <w:r>
              <w:rPr>
                <w:rFonts w:hint="eastAsia"/>
                <w:color w:val="000000" w:themeColor="text1"/>
                <w:sz w:val="24"/>
                <w14:textFill>
                  <w14:solidFill>
                    <w14:schemeClr w14:val="tx1"/>
                  </w14:solidFill>
                </w14:textFill>
              </w:rPr>
              <w:t>柴油机产生的燃油废气，主要污染物是颗粒物、SO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、NO</w:t>
            </w:r>
            <w:r>
              <w:rPr>
                <w:rFonts w:hint="eastAsia"/>
                <w:color w:val="000000" w:themeColor="text1"/>
                <w:sz w:val="24"/>
                <w:vertAlign w:val="subscript"/>
                <w14:textFill>
                  <w14:solidFill>
                    <w14:schemeClr w14:val="tx1"/>
                  </w14:solidFill>
                </w14:textFill>
              </w:rPr>
              <w:t>X</w:t>
            </w:r>
            <w:r>
              <w:rPr>
                <w:rFonts w:hint="eastAsia"/>
                <w:color w:val="000000" w:themeColor="text1"/>
                <w:sz w:val="24"/>
                <w14:textFill>
                  <w14:solidFill>
                    <w14:schemeClr w14:val="tx1"/>
                  </w14:solidFill>
                </w14:textFill>
              </w:rPr>
              <w:t>、CO、总烃等。根据类比调查，单井每百米进尺平均消耗柴油量360L</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根据工作量核算，</w:t>
            </w:r>
            <w:r>
              <w:rPr>
                <w:rFonts w:hint="eastAsia"/>
                <w:color w:val="000000" w:themeColor="text1"/>
                <w:sz w:val="24"/>
                <w:szCs w:val="24"/>
                <w:lang w:eastAsia="zh-CN"/>
                <w14:textFill>
                  <w14:solidFill>
                    <w14:schemeClr w14:val="tx1"/>
                  </w14:solidFill>
                </w14:textFill>
              </w:rPr>
              <w:t>202</w:t>
            </w:r>
            <w:r>
              <w:rPr>
                <w:rFonts w:hint="eastAsia"/>
                <w:color w:val="000000" w:themeColor="text1"/>
                <w:sz w:val="24"/>
                <w:szCs w:val="24"/>
                <w:lang w:val="en-US"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年项目钻井工作量均为</w:t>
            </w:r>
            <w:r>
              <w:rPr>
                <w:rFonts w:hint="eastAsia"/>
                <w:color w:val="000000" w:themeColor="text1"/>
                <w:sz w:val="24"/>
                <w:szCs w:val="24"/>
                <w:lang w:val="en-US" w:eastAsia="zh-CN"/>
                <w14:textFill>
                  <w14:solidFill>
                    <w14:schemeClr w14:val="tx1"/>
                  </w14:solidFill>
                </w14:textFill>
              </w:rPr>
              <w:t>28</w:t>
            </w:r>
            <w:r>
              <w:rPr>
                <w:rFonts w:hint="eastAsia"/>
                <w:color w:val="000000" w:themeColor="text1"/>
                <w:sz w:val="24"/>
                <w:szCs w:val="24"/>
                <w:lang w:eastAsia="zh-CN"/>
                <w14:textFill>
                  <w14:solidFill>
                    <w14:schemeClr w14:val="tx1"/>
                  </w14:solidFill>
                </w14:textFill>
              </w:rPr>
              <w:t>000m</w:t>
            </w:r>
            <w:r>
              <w:rPr>
                <w:rFonts w:hint="eastAsia"/>
                <w:color w:val="000000" w:themeColor="text1"/>
                <w:sz w:val="24"/>
                <w:szCs w:val="24"/>
                <w:lang w:val="en-US"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则202</w:t>
            </w:r>
            <w:r>
              <w:rPr>
                <w:rFonts w:hint="eastAsia"/>
                <w:color w:val="000000" w:themeColor="text1"/>
                <w:sz w:val="24"/>
                <w:szCs w:val="24"/>
                <w:lang w:val="en-US"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年钻井需均消耗柴油</w:t>
            </w:r>
            <w:r>
              <w:rPr>
                <w:rFonts w:hint="eastAsia"/>
                <w:color w:val="000000" w:themeColor="text1"/>
                <w:sz w:val="24"/>
                <w:szCs w:val="24"/>
                <w:lang w:val="en-US" w:eastAsia="zh-CN"/>
                <w14:textFill>
                  <w14:solidFill>
                    <w14:schemeClr w14:val="tx1"/>
                  </w14:solidFill>
                </w14:textFill>
              </w:rPr>
              <w:t>100800L</w:t>
            </w:r>
            <w:r>
              <w:rPr>
                <w:rFonts w:hint="eastAsia"/>
                <w:color w:val="000000" w:themeColor="text1"/>
                <w:sz w:val="24"/>
                <w:szCs w:val="24"/>
                <w:lang w:eastAsia="zh-CN"/>
                <w14:textFill>
                  <w14:solidFill>
                    <w14:schemeClr w14:val="tx1"/>
                  </w14:solidFill>
                </w14:textFill>
              </w:rPr>
              <w:t>。202</w:t>
            </w:r>
            <w:r>
              <w:rPr>
                <w:rFonts w:hint="eastAsia"/>
                <w:color w:val="000000" w:themeColor="text1"/>
                <w:sz w:val="24"/>
                <w:szCs w:val="24"/>
                <w:lang w:val="en-US" w:eastAsia="zh-CN"/>
                <w14:textFill>
                  <w14:solidFill>
                    <w14:schemeClr w14:val="tx1"/>
                  </w14:solidFill>
                </w14:textFill>
              </w:rPr>
              <w:t>3-2026</w:t>
            </w:r>
            <w:r>
              <w:rPr>
                <w:rFonts w:hint="eastAsia"/>
                <w:color w:val="000000" w:themeColor="text1"/>
                <w:sz w:val="24"/>
                <w:szCs w:val="24"/>
                <w:lang w:eastAsia="zh-CN"/>
                <w14:textFill>
                  <w14:solidFill>
                    <w14:schemeClr w14:val="tx1"/>
                  </w14:solidFill>
                </w14:textFill>
              </w:rPr>
              <w:t>年项目钻井工作量均为</w:t>
            </w:r>
            <w:r>
              <w:rPr>
                <w:rFonts w:hint="eastAsia"/>
                <w:color w:val="000000" w:themeColor="text1"/>
                <w:sz w:val="24"/>
                <w:szCs w:val="24"/>
                <w:lang w:val="en-US" w:eastAsia="zh-CN"/>
                <w14:textFill>
                  <w14:solidFill>
                    <w14:schemeClr w14:val="tx1"/>
                  </w14:solidFill>
                </w14:textFill>
              </w:rPr>
              <w:t>148</w:t>
            </w:r>
            <w:r>
              <w:rPr>
                <w:rFonts w:hint="eastAsia"/>
                <w:color w:val="000000" w:themeColor="text1"/>
                <w:sz w:val="24"/>
                <w:szCs w:val="24"/>
                <w:lang w:eastAsia="zh-CN"/>
                <w14:textFill>
                  <w14:solidFill>
                    <w14:schemeClr w14:val="tx1"/>
                  </w14:solidFill>
                </w14:textFill>
              </w:rPr>
              <w:t>000m，则20</w:t>
            </w:r>
            <w:r>
              <w:rPr>
                <w:rFonts w:hint="eastAsia"/>
                <w:color w:val="000000" w:themeColor="text1"/>
                <w:sz w:val="24"/>
                <w:szCs w:val="24"/>
                <w:lang w:val="en-US" w:eastAsia="zh-CN"/>
                <w14:textFill>
                  <w14:solidFill>
                    <w14:schemeClr w14:val="tx1"/>
                  </w14:solidFill>
                </w14:textFill>
              </w:rPr>
              <w:t>23-2026</w:t>
            </w:r>
            <w:r>
              <w:rPr>
                <w:rFonts w:hint="eastAsia"/>
                <w:color w:val="000000" w:themeColor="text1"/>
                <w:sz w:val="24"/>
                <w:szCs w:val="24"/>
                <w:lang w:eastAsia="zh-CN"/>
                <w14:textFill>
                  <w14:solidFill>
                    <w14:schemeClr w14:val="tx1"/>
                  </w14:solidFill>
                </w14:textFill>
              </w:rPr>
              <w:t>年钻井需均消耗柴油</w:t>
            </w:r>
            <w:r>
              <w:rPr>
                <w:rFonts w:hint="eastAsia"/>
                <w:color w:val="000000" w:themeColor="text1"/>
                <w:sz w:val="24"/>
                <w:szCs w:val="24"/>
                <w:lang w:val="en-US" w:eastAsia="zh-CN"/>
                <w14:textFill>
                  <w14:solidFill>
                    <w14:schemeClr w14:val="tx1"/>
                  </w14:solidFill>
                </w14:textFill>
              </w:rPr>
              <w:t>532800L</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参照《环境影响评价工程师职业资格登记培训教材—社会区域类环境影响评价》中相关参数估算，柴油机烟气污染物排放量分别为颗粒物0.714g/L柴油、SO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4g/L柴油、NOx2.56g/L 柴油、CO1.5g/L柴油、总烃1.489g/L柴油，</w:t>
            </w:r>
            <w:r>
              <w:rPr>
                <w:rFonts w:hint="eastAsia"/>
                <w:color w:val="000000" w:themeColor="text1"/>
                <w:sz w:val="24"/>
                <w:lang w:val="en-US" w:eastAsia="zh-CN"/>
                <w14:textFill>
                  <w14:solidFill>
                    <w14:schemeClr w14:val="tx1"/>
                  </w14:solidFill>
                </w14:textFill>
              </w:rPr>
              <w:t>污染物排放情况</w:t>
            </w:r>
            <w:r>
              <w:rPr>
                <w:rFonts w:hint="eastAsia"/>
                <w:color w:val="000000" w:themeColor="text1"/>
                <w:sz w:val="24"/>
                <w14:textFill>
                  <w14:solidFill>
                    <w14:schemeClr w14:val="tx1"/>
                  </w14:solidFill>
                </w14:textFill>
              </w:rPr>
              <w:t>见下表6-</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表6-</w:t>
            </w:r>
            <w:r>
              <w:rPr>
                <w:rFonts w:hint="eastAsia"/>
                <w:color w:val="000000" w:themeColor="text1"/>
                <w:sz w:val="24"/>
                <w:lang w:val="en-US" w:eastAsia="zh-CN"/>
                <w14:textFill>
                  <w14:solidFill>
                    <w14:schemeClr w14:val="tx1"/>
                  </w14:solidFill>
                </w14:textFill>
              </w:rPr>
              <w:t>5</w:t>
            </w:r>
            <w:r>
              <w:rPr>
                <w:color w:val="000000" w:themeColor="text1"/>
                <w:sz w:val="24"/>
                <w14:textFill>
                  <w14:solidFill>
                    <w14:schemeClr w14:val="tx1"/>
                  </w14:solidFill>
                </w14:textFill>
              </w:rPr>
              <w:t xml:space="preserve">  </w:t>
            </w:r>
            <w:r>
              <w:rPr>
                <w:b w:val="0"/>
                <w:bCs w:val="0"/>
                <w:color w:val="000000" w:themeColor="text1"/>
                <w:sz w:val="24"/>
                <w14:textFill>
                  <w14:solidFill>
                    <w14:schemeClr w14:val="tx1"/>
                  </w14:solidFill>
                </w14:textFill>
              </w:rPr>
              <w:t>柴油发电机组污染物</w:t>
            </w:r>
            <w:r>
              <w:rPr>
                <w:rFonts w:hint="eastAsia"/>
                <w:b w:val="0"/>
                <w:bCs w:val="0"/>
                <w:color w:val="000000" w:themeColor="text1"/>
                <w:sz w:val="24"/>
                <w:lang w:val="en-US" w:eastAsia="zh-CN"/>
                <w14:textFill>
                  <w14:solidFill>
                    <w14:schemeClr w14:val="tx1"/>
                  </w14:solidFill>
                </w14:textFill>
              </w:rPr>
              <w:t>情况一览表</w:t>
            </w:r>
          </w:p>
          <w:tbl>
            <w:tblPr>
              <w:tblStyle w:val="12"/>
              <w:tblW w:w="4994"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745"/>
              <w:gridCol w:w="1022"/>
              <w:gridCol w:w="1024"/>
              <w:gridCol w:w="1025"/>
              <w:gridCol w:w="1025"/>
              <w:gridCol w:w="1025"/>
              <w:gridCol w:w="16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项目</w:t>
                  </w:r>
                </w:p>
              </w:tc>
              <w:tc>
                <w:tcPr>
                  <w:tcW w:w="536" w:type="pct"/>
                  <w:vAlign w:val="center"/>
                </w:tcPr>
                <w:p>
                  <w:pPr>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颗粒物</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SO</w:t>
                  </w:r>
                  <w:r>
                    <w:rPr>
                      <w:bCs/>
                      <w:color w:val="000000" w:themeColor="text1"/>
                      <w:szCs w:val="21"/>
                      <w:vertAlign w:val="subscript"/>
                      <w14:textFill>
                        <w14:solidFill>
                          <w14:schemeClr w14:val="tx1"/>
                        </w14:solidFill>
                      </w14:textFill>
                    </w:rPr>
                    <w:t>2</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NOx</w:t>
                  </w:r>
                </w:p>
              </w:tc>
              <w:tc>
                <w:tcPr>
                  <w:tcW w:w="537" w:type="pct"/>
                  <w:vAlign w:val="center"/>
                </w:tcPr>
                <w:p>
                  <w:pPr>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CO</w:t>
                  </w:r>
                </w:p>
              </w:tc>
              <w:tc>
                <w:tcPr>
                  <w:tcW w:w="537" w:type="pct"/>
                  <w:vAlign w:val="center"/>
                </w:tcPr>
                <w:p>
                  <w:pPr>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总烃</w:t>
                  </w:r>
                </w:p>
              </w:tc>
              <w:tc>
                <w:tcPr>
                  <w:tcW w:w="873" w:type="pct"/>
                  <w:vMerge w:val="restar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柴油机废气（g/L柴油）</w:t>
                  </w:r>
                </w:p>
              </w:tc>
              <w:tc>
                <w:tcPr>
                  <w:tcW w:w="536"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0.714</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4</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2.56</w:t>
                  </w:r>
                </w:p>
              </w:tc>
              <w:tc>
                <w:tcPr>
                  <w:tcW w:w="537" w:type="pct"/>
                  <w:vAlign w:val="center"/>
                </w:tcPr>
                <w:p>
                  <w:pPr>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1.5</w:t>
                  </w:r>
                </w:p>
              </w:tc>
              <w:tc>
                <w:tcPr>
                  <w:tcW w:w="537" w:type="pct"/>
                  <w:vAlign w:val="center"/>
                </w:tcPr>
                <w:p>
                  <w:pPr>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1.489</w:t>
                  </w:r>
                </w:p>
              </w:tc>
              <w:tc>
                <w:tcPr>
                  <w:tcW w:w="873" w:type="pct"/>
                  <w:vMerge w:val="continue"/>
                  <w:vAlign w:val="center"/>
                </w:tcPr>
                <w:p>
                  <w:pPr>
                    <w:jc w:val="center"/>
                    <w:rPr>
                      <w:bCs/>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202</w:t>
                  </w:r>
                  <w:r>
                    <w:rPr>
                      <w:rFonts w:hint="eastAsia"/>
                      <w:bCs/>
                      <w:color w:val="000000" w:themeColor="text1"/>
                      <w:szCs w:val="21"/>
                      <w14:textFill>
                        <w14:solidFill>
                          <w14:schemeClr w14:val="tx1"/>
                        </w14:solidFill>
                      </w14:textFill>
                    </w:rPr>
                    <w:t>2</w:t>
                  </w:r>
                  <w:r>
                    <w:rPr>
                      <w:bCs/>
                      <w:color w:val="000000" w:themeColor="text1"/>
                      <w:szCs w:val="21"/>
                      <w14:textFill>
                        <w14:solidFill>
                          <w14:schemeClr w14:val="tx1"/>
                        </w14:solidFill>
                      </w14:textFill>
                    </w:rPr>
                    <w:t>年总计（t）</w:t>
                  </w:r>
                </w:p>
              </w:tc>
              <w:tc>
                <w:tcPr>
                  <w:tcW w:w="53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0.072</w:t>
                  </w:r>
                </w:p>
              </w:tc>
              <w:tc>
                <w:tcPr>
                  <w:tcW w:w="537"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0.403</w:t>
                  </w:r>
                </w:p>
              </w:tc>
              <w:tc>
                <w:tcPr>
                  <w:tcW w:w="537"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0.258</w:t>
                  </w:r>
                </w:p>
              </w:tc>
              <w:tc>
                <w:tcPr>
                  <w:tcW w:w="537"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0.151</w:t>
                  </w:r>
                </w:p>
              </w:tc>
              <w:tc>
                <w:tcPr>
                  <w:tcW w:w="537"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0.150</w:t>
                  </w:r>
                </w:p>
              </w:tc>
              <w:tc>
                <w:tcPr>
                  <w:tcW w:w="873" w:type="pct"/>
                  <w:vMerge w:val="restart"/>
                  <w:vAlign w:val="center"/>
                </w:tcPr>
                <w:p>
                  <w:pPr>
                    <w:jc w:val="center"/>
                    <w:rPr>
                      <w:color w:val="000000" w:themeColor="text1"/>
                      <w:szCs w:val="21"/>
                      <w:lang w:val="zh-CN"/>
                      <w14:textFill>
                        <w14:solidFill>
                          <w14:schemeClr w14:val="tx1"/>
                        </w14:solidFill>
                      </w14:textFill>
                    </w:rPr>
                  </w:pPr>
                  <w:r>
                    <w:rPr>
                      <w:rFonts w:hint="eastAsia" w:eastAsia="宋体"/>
                      <w:color w:val="000000" w:themeColor="text1"/>
                      <w:sz w:val="18"/>
                      <w:szCs w:val="18"/>
                      <w:lang w:val="zh-CN" w:eastAsia="zh-CN"/>
                      <w14:textFill>
                        <w14:solidFill>
                          <w14:schemeClr w14:val="tx1"/>
                        </w14:solidFill>
                      </w14:textFill>
                    </w:rPr>
                    <w:t>单位柴油燃烧产生污染物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20</w:t>
                  </w:r>
                  <w:r>
                    <w:rPr>
                      <w:rFonts w:hint="eastAsia"/>
                      <w:bCs/>
                      <w:color w:val="000000" w:themeColor="text1"/>
                      <w:szCs w:val="21"/>
                      <w:lang w:val="en-US" w:eastAsia="zh-CN"/>
                      <w14:textFill>
                        <w14:solidFill>
                          <w14:schemeClr w14:val="tx1"/>
                        </w14:solidFill>
                      </w14:textFill>
                    </w:rPr>
                    <w:t>23-2026</w:t>
                  </w:r>
                  <w:r>
                    <w:rPr>
                      <w:bCs/>
                      <w:color w:val="000000" w:themeColor="text1"/>
                      <w:szCs w:val="21"/>
                      <w14:textFill>
                        <w14:solidFill>
                          <w14:schemeClr w14:val="tx1"/>
                        </w14:solidFill>
                      </w14:textFill>
                    </w:rPr>
                    <w:t>年总计（t）</w:t>
                  </w:r>
                </w:p>
              </w:tc>
              <w:tc>
                <w:tcPr>
                  <w:tcW w:w="536"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0.380</w:t>
                  </w:r>
                </w:p>
              </w:tc>
              <w:tc>
                <w:tcPr>
                  <w:tcW w:w="53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2.131</w:t>
                  </w:r>
                </w:p>
              </w:tc>
              <w:tc>
                <w:tcPr>
                  <w:tcW w:w="53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1.364</w:t>
                  </w:r>
                </w:p>
              </w:tc>
              <w:tc>
                <w:tcPr>
                  <w:tcW w:w="53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0.799</w:t>
                  </w:r>
                </w:p>
              </w:tc>
              <w:tc>
                <w:tcPr>
                  <w:tcW w:w="53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0.793</w:t>
                  </w:r>
                </w:p>
              </w:tc>
              <w:tc>
                <w:tcPr>
                  <w:tcW w:w="873" w:type="pct"/>
                  <w:vMerge w:val="continue"/>
                  <w:vAlign w:val="center"/>
                </w:tcPr>
                <w:p>
                  <w:pPr>
                    <w:jc w:val="center"/>
                    <w:rPr>
                      <w:color w:val="000000" w:themeColor="text1"/>
                      <w:szCs w:val="21"/>
                      <w:lang w:val="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439" w:type="pct"/>
                  <w:vAlign w:val="center"/>
                </w:tcPr>
                <w:p>
                  <w:pPr>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合计</w:t>
                  </w:r>
                </w:p>
              </w:tc>
              <w:tc>
                <w:tcPr>
                  <w:tcW w:w="536"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0.452</w:t>
                  </w:r>
                </w:p>
              </w:tc>
              <w:tc>
                <w:tcPr>
                  <w:tcW w:w="53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2.534</w:t>
                  </w:r>
                </w:p>
              </w:tc>
              <w:tc>
                <w:tcPr>
                  <w:tcW w:w="53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1.622</w:t>
                  </w:r>
                </w:p>
              </w:tc>
              <w:tc>
                <w:tcPr>
                  <w:tcW w:w="53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0.950</w:t>
                  </w:r>
                </w:p>
              </w:tc>
              <w:tc>
                <w:tcPr>
                  <w:tcW w:w="53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0.943</w:t>
                  </w:r>
                </w:p>
              </w:tc>
              <w:tc>
                <w:tcPr>
                  <w:tcW w:w="873" w:type="pct"/>
                  <w:vMerge w:val="continue"/>
                  <w:vAlign w:val="center"/>
                </w:tcPr>
                <w:p>
                  <w:pPr>
                    <w:jc w:val="center"/>
                    <w:rPr>
                      <w:color w:val="000000" w:themeColor="text1"/>
                      <w:szCs w:val="21"/>
                      <w:lang w:val="zh-CN"/>
                      <w14:textFill>
                        <w14:solidFill>
                          <w14:schemeClr w14:val="tx1"/>
                        </w14:solidFill>
                      </w14:textFill>
                    </w:rPr>
                  </w:pPr>
                </w:p>
              </w:tc>
            </w:tr>
          </w:tbl>
          <w:p>
            <w:pPr>
              <w:adjustRightInd w:val="0"/>
              <w:spacing w:line="360" w:lineRule="auto"/>
              <w:ind w:firstLine="480" w:firstLineChars="200"/>
              <w:contextualSpacing/>
              <w:rPr>
                <w:color w:val="000000" w:themeColor="text1"/>
                <w:sz w:val="24"/>
                <w:szCs w:val="28"/>
                <w14:textFill>
                  <w14:solidFill>
                    <w14:schemeClr w14:val="tx1"/>
                  </w14:solidFill>
                </w14:textFill>
              </w:rPr>
            </w:pPr>
            <w:r>
              <w:rPr>
                <w:rFonts w:hint="eastAsia"/>
                <w:color w:val="000000" w:themeColor="text1"/>
                <w:sz w:val="24"/>
                <w14:textFill>
                  <w14:solidFill>
                    <w14:schemeClr w14:val="tx1"/>
                  </w14:solidFill>
                </w14:textFill>
              </w:rPr>
              <w:t>单台钻机平均日进尺量约40m，需要的有效钻进天数为15天，钻机每天钻进的有效工作时间为24h，则单井钻井工期耗油约2160L。单井施工期内污染物产生总量为：</w:t>
            </w:r>
            <w:r>
              <w:rPr>
                <w:rFonts w:hint="eastAsia"/>
                <w:color w:val="000000" w:themeColor="text1"/>
                <w:sz w:val="24"/>
                <w:szCs w:val="28"/>
                <w14:textFill>
                  <w14:solidFill>
                    <w14:schemeClr w14:val="tx1"/>
                  </w14:solidFill>
                </w14:textFill>
              </w:rPr>
              <w:t>单井施工期内污染物产生总量为：SO</w:t>
            </w:r>
            <w:r>
              <w:rPr>
                <w:rFonts w:hint="eastAsia"/>
                <w:color w:val="000000" w:themeColor="text1"/>
                <w:sz w:val="24"/>
                <w:szCs w:val="28"/>
                <w:vertAlign w:val="subscript"/>
                <w14:textFill>
                  <w14:solidFill>
                    <w14:schemeClr w14:val="tx1"/>
                  </w14:solidFill>
                </w14:textFill>
              </w:rPr>
              <w:t>2</w:t>
            </w:r>
            <w:r>
              <w:rPr>
                <w:rFonts w:hint="eastAsia"/>
                <w:color w:val="000000" w:themeColor="text1"/>
                <w:sz w:val="24"/>
                <w:szCs w:val="28"/>
                <w14:textFill>
                  <w14:solidFill>
                    <w14:schemeClr w14:val="tx1"/>
                  </w14:solidFill>
                </w14:textFill>
              </w:rPr>
              <w:t>排放量8.64kg/单井（即0.024kg/h），排放浓度为66.67mg/m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；NOx排放量5.53kg/单井（即0.015kg/h），排放浓度为41.67mg/m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；颗粒物排放量1.54kg/单井（0.004kg/h），排放浓度为11.11mg/m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；CO排放量3.24kg/单井（0.009kg/h），排放浓度为25mg/m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；总烃排放量3.22kg/单井（0.009kg/h），排放浓度为25mg/m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w:t>
            </w:r>
          </w:p>
          <w:p>
            <w:pPr>
              <w:adjustRightInd w:val="0"/>
              <w:spacing w:line="360" w:lineRule="auto"/>
              <w:ind w:firstLine="480" w:firstLineChars="200"/>
              <w:contextualSpacing/>
              <w:rPr>
                <w:color w:val="000000" w:themeColor="text1"/>
                <w:kern w:val="0"/>
                <w:sz w:val="24"/>
                <w14:textFill>
                  <w14:solidFill>
                    <w14:schemeClr w14:val="tx1"/>
                  </w14:solidFill>
                </w14:textFill>
              </w:rPr>
            </w:pPr>
            <w:r>
              <w:rPr>
                <w:rFonts w:hint="eastAsia"/>
                <w:color w:val="000000" w:themeColor="text1"/>
                <w:sz w:val="24"/>
                <w14:textFill>
                  <w14:solidFill>
                    <w14:schemeClr w14:val="tx1"/>
                  </w14:solidFill>
                </w14:textFill>
              </w:rPr>
              <w:t>本项目钻井柴油发电机功率为180</w:t>
            </w:r>
            <w:r>
              <w:rPr>
                <w:rFonts w:hint="eastAsia"/>
                <w:color w:val="000000" w:themeColor="text1"/>
                <w:sz w:val="24"/>
                <w:lang w:val="en-US" w:eastAsia="zh-CN"/>
                <w14:textFill>
                  <w14:solidFill>
                    <w14:schemeClr w14:val="tx1"/>
                  </w14:solidFill>
                </w14:textFill>
              </w:rPr>
              <w:t>k</w:t>
            </w:r>
            <w:r>
              <w:rPr>
                <w:rFonts w:hint="eastAsia"/>
                <w:color w:val="000000" w:themeColor="text1"/>
                <w:sz w:val="24"/>
                <w14:textFill>
                  <w14:solidFill>
                    <w14:schemeClr w14:val="tx1"/>
                  </w14:solidFill>
                </w14:textFill>
              </w:rPr>
              <w:t>W，其排放的污染物排放情况见下表</w:t>
            </w:r>
            <w:r>
              <w:rPr>
                <w:color w:val="000000" w:themeColor="text1"/>
                <w:sz w:val="24"/>
                <w14:textFill>
                  <w14:solidFill>
                    <w14:schemeClr w14:val="tx1"/>
                  </w14:solidFill>
                </w14:textFill>
              </w:rPr>
              <w:t>6-</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w:t>
            </w:r>
            <w:r>
              <w:rPr>
                <w:color w:val="000000" w:themeColor="text1"/>
                <w:sz w:val="24"/>
                <w14:textFill>
                  <w14:solidFill>
                    <w14:schemeClr w14:val="tx1"/>
                  </w14:solidFill>
                </w14:textFill>
              </w:rPr>
              <w:t>6-</w:t>
            </w:r>
            <w:r>
              <w:rPr>
                <w:rFonts w:hint="eastAsia"/>
                <w:color w:val="000000" w:themeColor="text1"/>
                <w:sz w:val="24"/>
                <w:lang w:val="en-US" w:eastAsia="zh-CN"/>
                <w14:textFill>
                  <w14:solidFill>
                    <w14:schemeClr w14:val="tx1"/>
                  </w14:solidFill>
                </w14:textFill>
              </w:rPr>
              <w:t>6</w:t>
            </w:r>
            <w:r>
              <w:rPr>
                <w:color w:val="000000" w:themeColor="text1"/>
                <w:sz w:val="24"/>
                <w14:textFill>
                  <w14:solidFill>
                    <w14:schemeClr w14:val="tx1"/>
                  </w14:solidFill>
                </w14:textFill>
              </w:rPr>
              <w:t xml:space="preserve"> </w:t>
            </w:r>
            <w:r>
              <w:rPr>
                <w:rFonts w:hint="eastAsia"/>
                <w:color w:val="000000" w:themeColor="text1"/>
                <w:sz w:val="24"/>
                <w14:textFill>
                  <w14:solidFill>
                    <w14:schemeClr w14:val="tx1"/>
                  </w14:solidFill>
                </w14:textFill>
              </w:rPr>
              <w:t xml:space="preserve"> 燃油废气污染物排污系数</w:t>
            </w:r>
          </w:p>
          <w:tbl>
            <w:tblPr>
              <w:tblStyle w:val="12"/>
              <w:tblW w:w="500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130"/>
              <w:gridCol w:w="1777"/>
              <w:gridCol w:w="1315"/>
              <w:gridCol w:w="1315"/>
              <w:gridCol w:w="1315"/>
              <w:gridCol w:w="1363"/>
              <w:gridCol w:w="132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12" w:space="0"/>
                    <w:left w:val="single" w:color="000000" w:sz="12" w:space="0"/>
                    <w:bottom w:val="single" w:color="000000" w:sz="4" w:space="0"/>
                    <w:right w:val="single" w:color="000000" w:sz="4" w:space="0"/>
                  </w:tcBorders>
                  <w:shd w:val="clear" w:color="auto" w:fill="FFFFFF"/>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阶段</w:t>
                  </w:r>
                </w:p>
              </w:tc>
              <w:tc>
                <w:tcPr>
                  <w:tcW w:w="931"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额定净</w:t>
                  </w:r>
                </w:p>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功率</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CO</w:t>
                  </w:r>
                </w:p>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HC</w:t>
                  </w:r>
                </w:p>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position w:val="2"/>
                      <w:sz w:val="21"/>
                      <w:szCs w:val="21"/>
                      <w14:textFill>
                        <w14:solidFill>
                          <w14:schemeClr w14:val="tx1"/>
                        </w14:solidFill>
                      </w14:textFill>
                    </w:rPr>
                    <w:t>NO</w:t>
                  </w:r>
                  <w:r>
                    <w:rPr>
                      <w:bCs/>
                      <w:color w:val="000000" w:themeColor="text1"/>
                      <w:sz w:val="21"/>
                      <w:szCs w:val="21"/>
                      <w:vertAlign w:val="subscript"/>
                      <w14:textFill>
                        <w14:solidFill>
                          <w14:schemeClr w14:val="tx1"/>
                        </w14:solidFill>
                      </w14:textFill>
                    </w:rPr>
                    <w:t>X</w:t>
                  </w:r>
                </w:p>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714"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pacing w:val="2"/>
                      <w:position w:val="2"/>
                      <w:sz w:val="21"/>
                      <w:szCs w:val="21"/>
                      <w14:textFill>
                        <w14:solidFill>
                          <w14:schemeClr w14:val="tx1"/>
                        </w14:solidFill>
                      </w14:textFill>
                    </w:rPr>
                    <w:t>HC+</w:t>
                  </w:r>
                  <w:r>
                    <w:rPr>
                      <w:bCs/>
                      <w:color w:val="000000" w:themeColor="text1"/>
                      <w:spacing w:val="3"/>
                      <w:position w:val="2"/>
                      <w:sz w:val="21"/>
                      <w:szCs w:val="21"/>
                      <w14:textFill>
                        <w14:solidFill>
                          <w14:schemeClr w14:val="tx1"/>
                        </w14:solidFill>
                      </w14:textFill>
                    </w:rPr>
                    <w:t>NO</w:t>
                  </w:r>
                  <w:r>
                    <w:rPr>
                      <w:bCs/>
                      <w:color w:val="000000" w:themeColor="text1"/>
                      <w:spacing w:val="3"/>
                      <w:sz w:val="21"/>
                      <w:szCs w:val="21"/>
                      <w:vertAlign w:val="subscript"/>
                      <w14:textFill>
                        <w14:solidFill>
                          <w14:schemeClr w14:val="tx1"/>
                        </w14:solidFill>
                      </w14:textFill>
                    </w:rPr>
                    <w:t>X</w:t>
                  </w:r>
                </w:p>
                <w:p>
                  <w:pPr>
                    <w:pStyle w:val="18"/>
                    <w:adjustRightInd/>
                    <w:jc w:val="center"/>
                    <w:rPr>
                      <w:bCs/>
                      <w:color w:val="000000" w:themeColor="text1"/>
                      <w:sz w:val="21"/>
                      <w:szCs w:val="21"/>
                      <w14:textFill>
                        <w14:solidFill>
                          <w14:schemeClr w14:val="tx1"/>
                        </w14:solidFill>
                      </w14:textFill>
                    </w:rPr>
                  </w:pPr>
                  <w:r>
                    <w:rPr>
                      <w:bCs/>
                      <w:color w:val="000000" w:themeColor="text1"/>
                      <w:spacing w:val="4"/>
                      <w:sz w:val="21"/>
                      <w:szCs w:val="21"/>
                      <w14:textFill>
                        <w14:solidFill>
                          <w14:schemeClr w14:val="tx1"/>
                        </w14:solidFill>
                      </w14:textFill>
                    </w:rPr>
                    <w:t>（g/kWh）</w:t>
                  </w:r>
                </w:p>
              </w:tc>
              <w:tc>
                <w:tcPr>
                  <w:tcW w:w="696" w:type="pct"/>
                  <w:tcBorders>
                    <w:top w:val="single" w:color="000000" w:sz="12" w:space="0"/>
                    <w:left w:val="single" w:color="000000" w:sz="4" w:space="0"/>
                    <w:bottom w:val="single" w:color="000000" w:sz="4" w:space="0"/>
                    <w:right w:val="single" w:color="000000" w:sz="12" w:space="0"/>
                  </w:tcBorders>
                  <w:shd w:val="clear" w:color="auto" w:fill="FFFFFF"/>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PM</w:t>
                  </w:r>
                </w:p>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本项目</w:t>
                  </w:r>
                </w:p>
              </w:tc>
              <w:tc>
                <w:tcPr>
                  <w:tcW w:w="931"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180kW</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0.08</w:t>
                  </w:r>
                </w:p>
              </w:tc>
              <w:tc>
                <w:tcPr>
                  <w:tcW w:w="714"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0.13</w:t>
                  </w:r>
                </w:p>
              </w:tc>
              <w:tc>
                <w:tcPr>
                  <w:tcW w:w="696" w:type="pct"/>
                  <w:tcBorders>
                    <w:top w:val="single" w:color="000000" w:sz="4" w:space="0"/>
                    <w:left w:val="single" w:color="000000" w:sz="4" w:space="0"/>
                    <w:bottom w:val="single" w:color="000000" w:sz="4" w:space="0"/>
                    <w:right w:val="single" w:color="000000" w:sz="12"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0.022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第三阶段</w:t>
                  </w:r>
                </w:p>
              </w:tc>
              <w:tc>
                <w:tcPr>
                  <w:tcW w:w="931"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130≤Pmax&lt;560</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3.5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714" w:type="pct"/>
                  <w:tcBorders>
                    <w:top w:val="single" w:color="000000" w:sz="4" w:space="0"/>
                    <w:left w:val="single" w:color="000000" w:sz="4" w:space="0"/>
                    <w:bottom w:val="single" w:color="000000" w:sz="4"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4.0</w:t>
                  </w:r>
                </w:p>
              </w:tc>
              <w:tc>
                <w:tcPr>
                  <w:tcW w:w="696" w:type="pct"/>
                  <w:tcBorders>
                    <w:top w:val="single" w:color="000000" w:sz="4" w:space="0"/>
                    <w:left w:val="single" w:color="000000" w:sz="4" w:space="0"/>
                    <w:bottom w:val="single" w:color="000000" w:sz="4" w:space="0"/>
                    <w:right w:val="single" w:color="000000" w:sz="12"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0.20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40" w:hRule="atLeast"/>
                <w:jc w:val="center"/>
              </w:trPr>
              <w:tc>
                <w:tcPr>
                  <w:tcW w:w="592" w:type="pct"/>
                  <w:tcBorders>
                    <w:top w:val="single" w:color="000000" w:sz="4" w:space="0"/>
                    <w:left w:val="single" w:color="000000" w:sz="12" w:space="0"/>
                    <w:bottom w:val="single" w:color="000000" w:sz="12"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第四阶段</w:t>
                  </w:r>
                </w:p>
              </w:tc>
              <w:tc>
                <w:tcPr>
                  <w:tcW w:w="931" w:type="pct"/>
                  <w:tcBorders>
                    <w:top w:val="single" w:color="000000" w:sz="4" w:space="0"/>
                    <w:left w:val="single" w:color="000000" w:sz="4" w:space="0"/>
                    <w:bottom w:val="single" w:color="000000" w:sz="12"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130≤Pmax&lt;560</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3.5</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0.19</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2.0</w:t>
                  </w:r>
                </w:p>
              </w:tc>
              <w:tc>
                <w:tcPr>
                  <w:tcW w:w="714" w:type="pct"/>
                  <w:tcBorders>
                    <w:top w:val="single" w:color="000000" w:sz="4" w:space="0"/>
                    <w:left w:val="single" w:color="000000" w:sz="4" w:space="0"/>
                    <w:bottom w:val="single" w:color="000000" w:sz="12" w:space="0"/>
                    <w:right w:val="single" w:color="000000" w:sz="4"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696" w:type="pct"/>
                  <w:tcBorders>
                    <w:top w:val="single" w:color="000000" w:sz="4" w:space="0"/>
                    <w:left w:val="single" w:color="000000" w:sz="4" w:space="0"/>
                    <w:bottom w:val="single" w:color="000000" w:sz="12" w:space="0"/>
                    <w:right w:val="single" w:color="000000" w:sz="12" w:space="0"/>
                  </w:tcBorders>
                  <w:vAlign w:val="center"/>
                </w:tcPr>
                <w:p>
                  <w:pPr>
                    <w:pStyle w:val="18"/>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0.025</w:t>
                  </w:r>
                </w:p>
              </w:tc>
            </w:tr>
          </w:tbl>
          <w:p>
            <w:pPr>
              <w:spacing w:line="360" w:lineRule="auto"/>
              <w:ind w:firstLine="432" w:firstLineChars="1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根据分析，</w:t>
            </w:r>
            <w:r>
              <w:rPr>
                <w:rFonts w:hint="eastAsia"/>
                <w:color w:val="000000" w:themeColor="text1"/>
                <w:sz w:val="24"/>
                <w:lang w:val="en-US" w:eastAsia="zh-CN"/>
                <w14:textFill>
                  <w14:solidFill>
                    <w14:schemeClr w14:val="tx1"/>
                  </w14:solidFill>
                </w14:textFill>
              </w:rPr>
              <w:t>本项目柴油发电机</w:t>
            </w:r>
            <w:r>
              <w:rPr>
                <w:rFonts w:hint="eastAsia"/>
                <w:color w:val="000000" w:themeColor="text1"/>
                <w:sz w:val="24"/>
                <w14:textFill>
                  <w14:solidFill>
                    <w14:schemeClr w14:val="tx1"/>
                  </w14:solidFill>
                </w14:textFill>
              </w:rPr>
              <w:t>满足《非道路移动机械用柴油机排气污染物排放限值及测量方法</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中国第三、四阶段）》（</w:t>
            </w:r>
            <w:r>
              <w:rPr>
                <w:color w:val="000000" w:themeColor="text1"/>
                <w:sz w:val="24"/>
                <w14:textFill>
                  <w14:solidFill>
                    <w14:schemeClr w14:val="tx1"/>
                  </w14:solidFill>
                </w14:textFill>
              </w:rPr>
              <w:t>GB20891-2014</w:t>
            </w:r>
            <w:r>
              <w:rPr>
                <w:rFonts w:hint="eastAsia"/>
                <w:color w:val="000000" w:themeColor="text1"/>
                <w:sz w:val="24"/>
                <w14:textFill>
                  <w14:solidFill>
                    <w14:schemeClr w14:val="tx1"/>
                  </w14:solidFill>
                </w14:textFill>
              </w:rPr>
              <w:t>）及其修改单中第三阶段及第四阶段的要求。评价要求建设单位生产过程中配备先进高效机械设备，并按时保养。</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color w:val="000000" w:themeColor="text1"/>
                <w:sz w:val="24"/>
                <w:szCs w:val="28"/>
                <w14:textFill>
                  <w14:solidFill>
                    <w14:schemeClr w14:val="tx1"/>
                  </w14:solidFill>
                </w14:textFill>
              </w:rPr>
              <w:t>（2）施工扬尘</w:t>
            </w:r>
          </w:p>
          <w:p>
            <w:pPr>
              <w:spacing w:line="360" w:lineRule="auto"/>
              <w:ind w:firstLine="432" w:firstLineChars="1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施工扬尘主要产生在钻前场地平整、开挖以及场地恢复时，将对施工场地附近的环境空气质量造成一定的影响，会使空气能见度有所降低，</w:t>
            </w:r>
            <w:r>
              <w:rPr>
                <w:color w:val="000000" w:themeColor="text1"/>
                <w:sz w:val="24"/>
                <w14:textFill>
                  <w14:solidFill>
                    <w14:schemeClr w14:val="tx1"/>
                  </w14:solidFill>
                </w14:textFill>
              </w:rPr>
              <w:t>会造成局部地段降尘量增多</w:t>
            </w:r>
            <w:r>
              <w:rPr>
                <w:rFonts w:hint="eastAsia"/>
                <w:color w:val="000000" w:themeColor="text1"/>
                <w:sz w:val="24"/>
                <w14:textFill>
                  <w14:solidFill>
                    <w14:schemeClr w14:val="tx1"/>
                  </w14:solidFill>
                </w14:textFill>
              </w:rPr>
              <w:t>，对施工场地附近的人群工作生活带来不便。若遇上刮风天气因施工挖动的土石方等更易造成扬尘而加重对施工地段环境空气的污染。</w:t>
            </w:r>
            <w:r>
              <w:rPr>
                <w:color w:val="000000" w:themeColor="text1"/>
                <w:sz w:val="24"/>
                <w14:textFill>
                  <w14:solidFill>
                    <w14:schemeClr w14:val="tx1"/>
                  </w14:solidFill>
                </w14:textFill>
              </w:rPr>
              <w:t>但这种</w:t>
            </w:r>
            <w:r>
              <w:rPr>
                <w:rFonts w:hint="eastAsia"/>
                <w:color w:val="000000" w:themeColor="text1"/>
                <w:sz w:val="24"/>
                <w14:textFill>
                  <w14:solidFill>
                    <w14:schemeClr w14:val="tx1"/>
                  </w14:solidFill>
                </w14:textFill>
              </w:rPr>
              <w:t>影响</w:t>
            </w:r>
            <w:r>
              <w:rPr>
                <w:color w:val="000000" w:themeColor="text1"/>
                <w:sz w:val="24"/>
                <w14:textFill>
                  <w14:solidFill>
                    <w14:schemeClr w14:val="tx1"/>
                  </w14:solidFill>
                </w14:textFill>
              </w:rPr>
              <w:t>是局部的、短期的，工程完成后这种影响</w:t>
            </w:r>
            <w:r>
              <w:rPr>
                <w:rFonts w:hint="eastAsia"/>
                <w:color w:val="000000" w:themeColor="text1"/>
                <w:sz w:val="24"/>
                <w14:textFill>
                  <w14:solidFill>
                    <w14:schemeClr w14:val="tx1"/>
                  </w14:solidFill>
                </w14:textFill>
              </w:rPr>
              <w:t>将</w:t>
            </w:r>
            <w:r>
              <w:rPr>
                <w:color w:val="000000" w:themeColor="text1"/>
                <w:sz w:val="24"/>
                <w14:textFill>
                  <w14:solidFill>
                    <w14:schemeClr w14:val="tx1"/>
                  </w14:solidFill>
                </w14:textFill>
              </w:rPr>
              <w:t>消失。</w:t>
            </w:r>
          </w:p>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2</w:t>
            </w:r>
            <w:r>
              <w:rPr>
                <w:rFonts w:hint="eastAsia"/>
                <w:b/>
                <w:bCs/>
                <w:color w:val="000000" w:themeColor="text1"/>
                <w:sz w:val="24"/>
                <w:lang w:eastAsia="zh-CN"/>
                <w14:textFill>
                  <w14:solidFill>
                    <w14:schemeClr w14:val="tx1"/>
                  </w14:solidFill>
                </w14:textFill>
              </w:rPr>
              <w:t>、</w:t>
            </w:r>
            <w:r>
              <w:rPr>
                <w:rFonts w:hint="eastAsia"/>
                <w:b/>
                <w:bCs/>
                <w:color w:val="000000" w:themeColor="text1"/>
                <w:sz w:val="24"/>
                <w14:textFill>
                  <w14:solidFill>
                    <w14:schemeClr w14:val="tx1"/>
                  </w14:solidFill>
                </w14:textFill>
              </w:rPr>
              <w:t>废水</w:t>
            </w:r>
          </w:p>
          <w:p>
            <w:pPr>
              <w:spacing w:line="360" w:lineRule="auto"/>
              <w:ind w:firstLine="480" w:firstLineChars="200"/>
              <w:rPr>
                <w:rFonts w:hint="eastAsia"/>
                <w:color w:val="000000" w:themeColor="text1"/>
                <w:kern w:val="2"/>
                <w:sz w:val="24"/>
                <w:szCs w:val="28"/>
                <w:lang w:eastAsia="zh-CN" w:bidi="ar-SA"/>
                <w14:textFill>
                  <w14:solidFill>
                    <w14:schemeClr w14:val="tx1"/>
                  </w14:solidFill>
                </w14:textFill>
              </w:rPr>
            </w:pPr>
            <w:r>
              <w:rPr>
                <w:rFonts w:hint="eastAsia"/>
                <w:color w:val="000000" w:themeColor="text1"/>
                <w:sz w:val="24"/>
                <w:szCs w:val="28"/>
                <w:lang w:eastAsia="zh-CN"/>
                <w14:textFill>
                  <w14:solidFill>
                    <w14:schemeClr w14:val="tx1"/>
                  </w14:solidFill>
                </w14:textFill>
              </w:rPr>
              <w:t>项目勘查期间的废水</w:t>
            </w:r>
            <w:r>
              <w:rPr>
                <w:rFonts w:ascii="Times New Roman" w:hAnsi="Times New Roman" w:cs="Times New Roman"/>
                <w:color w:val="000000" w:themeColor="text1"/>
                <w:sz w:val="24"/>
                <w:lang w:eastAsia="zh-CN"/>
                <w14:textFill>
                  <w14:solidFill>
                    <w14:schemeClr w14:val="tx1"/>
                  </w14:solidFill>
                </w14:textFill>
              </w:rPr>
              <w:t>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r>
              <w:rPr>
                <w:rFonts w:hint="eastAsia" w:ascii="Times New Roman" w:hAnsi="Times New Roman" w:cs="Times New Roman"/>
                <w:color w:val="000000" w:themeColor="text1"/>
                <w:sz w:val="24"/>
                <w:szCs w:val="24"/>
                <w:lang w:eastAsia="zh-CN"/>
                <w14:textFill>
                  <w14:solidFill>
                    <w14:schemeClr w14:val="tx1"/>
                  </w14:solidFill>
                </w14:textFill>
              </w:rPr>
              <w:t>生活污水水质较为简单，未经处理的生活污水中</w:t>
            </w:r>
            <w:r>
              <w:rPr>
                <w:rFonts w:ascii="Times New Roman" w:hAnsi="Times New Roman" w:cs="Times New Roman"/>
                <w:color w:val="000000" w:themeColor="text1"/>
                <w:sz w:val="24"/>
                <w:szCs w:val="24"/>
                <w:lang w:eastAsia="zh-CN"/>
                <w14:textFill>
                  <w14:solidFill>
                    <w14:schemeClr w14:val="tx1"/>
                  </w14:solidFill>
                </w14:textFill>
              </w:rPr>
              <w:t>COD</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250~500mg/L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BOD</w:t>
            </w:r>
            <w:r>
              <w:rPr>
                <w:rFonts w:hint="eastAsia" w:ascii="Times New Roman" w:hAnsi="Times New Roman" w:cs="Times New Roman"/>
                <w:color w:val="000000" w:themeColor="text1"/>
                <w:sz w:val="24"/>
                <w:szCs w:val="24"/>
                <w:vertAlign w:val="subscript"/>
                <w:lang w:eastAsia="zh-CN"/>
                <w14:textFill>
                  <w14:solidFill>
                    <w14:schemeClr w14:val="tx1"/>
                  </w14:solidFill>
                </w14:textFill>
              </w:rPr>
              <w:t>5</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200~300mg/L</w:t>
            </w:r>
            <w:r>
              <w:rPr>
                <w:rFonts w:hint="eastAsia" w:ascii="Times New Roman" w:hAnsi="Times New Roman" w:cs="Times New Roman"/>
                <w:color w:val="000000" w:themeColor="text1"/>
                <w:sz w:val="24"/>
                <w:szCs w:val="24"/>
                <w:lang w:eastAsia="zh-CN"/>
                <w14:textFill>
                  <w14:solidFill>
                    <w14:schemeClr w14:val="tx1"/>
                  </w14:solidFill>
                </w14:textFill>
              </w:rPr>
              <w:t>，氨氮浓度为</w:t>
            </w:r>
            <w:r>
              <w:rPr>
                <w:rFonts w:ascii="Times New Roman" w:hAnsi="Times New Roman" w:cs="Times New Roman"/>
                <w:color w:val="000000" w:themeColor="text1"/>
                <w:sz w:val="24"/>
                <w:szCs w:val="24"/>
                <w:lang w:eastAsia="zh-CN"/>
                <w14:textFill>
                  <w14:solidFill>
                    <w14:schemeClr w14:val="tx1"/>
                  </w14:solidFill>
                </w14:textFill>
              </w:rPr>
              <w:t>25~40mg/L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SS</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100~200mg/L</w:t>
            </w:r>
            <w:r>
              <w:rPr>
                <w:rFonts w:hint="eastAsia" w:ascii="Times New Roman" w:hAnsi="Times New Roman" w:cs="Times New Roman"/>
                <w:color w:val="000000" w:themeColor="text1"/>
                <w:sz w:val="24"/>
                <w:szCs w:val="24"/>
                <w:lang w:eastAsia="zh-CN"/>
                <w14:textFill>
                  <w14:solidFill>
                    <w14:schemeClr w14:val="tx1"/>
                  </w14:solidFill>
                </w14:textFill>
              </w:rPr>
              <w:t>（引自《废水工程处理及回用（第四版）》）。根据类比调查，确定本项目的生活污水水质情况为：</w:t>
            </w:r>
            <w:r>
              <w:rPr>
                <w:rFonts w:ascii="Times New Roman" w:hAnsi="Times New Roman" w:cs="Times New Roman"/>
                <w:color w:val="000000" w:themeColor="text1"/>
                <w:sz w:val="24"/>
                <w:szCs w:val="24"/>
                <w:lang w:eastAsia="zh-CN"/>
                <w14:textFill>
                  <w14:solidFill>
                    <w14:schemeClr w14:val="tx1"/>
                  </w14:solidFill>
                </w14:textFill>
              </w:rPr>
              <w:t>COD</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3</w:t>
            </w:r>
            <w:r>
              <w:rPr>
                <w:rFonts w:hint="eastAsia" w:ascii="Times New Roman" w:hAnsi="Times New Roman" w:cs="Times New Roman"/>
                <w:color w:val="000000" w:themeColor="text1"/>
                <w:sz w:val="24"/>
                <w:szCs w:val="24"/>
                <w:lang w:eastAsia="zh-CN"/>
                <w14:textFill>
                  <w14:solidFill>
                    <w14:schemeClr w14:val="tx1"/>
                  </w14:solidFill>
                </w14:textFill>
              </w:rPr>
              <w:t>5</w:t>
            </w:r>
            <w:r>
              <w:rPr>
                <w:rFonts w:ascii="Times New Roman" w:hAnsi="Times New Roman" w:cs="Times New Roman"/>
                <w:color w:val="000000" w:themeColor="text1"/>
                <w:sz w:val="24"/>
                <w:szCs w:val="24"/>
                <w:lang w:eastAsia="zh-CN"/>
                <w14:textFill>
                  <w14:solidFill>
                    <w14:schemeClr w14:val="tx1"/>
                  </w14:solidFill>
                </w14:textFill>
              </w:rPr>
              <w:t>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BOD</w:t>
            </w:r>
            <w:r>
              <w:rPr>
                <w:rFonts w:ascii="Times New Roman" w:hAnsi="Times New Roman" w:cs="Times New Roman"/>
                <w:color w:val="000000" w:themeColor="text1"/>
                <w:sz w:val="24"/>
                <w:szCs w:val="24"/>
                <w:vertAlign w:val="subscript"/>
                <w:lang w:eastAsia="zh-CN"/>
                <w14:textFill>
                  <w14:solidFill>
                    <w14:schemeClr w14:val="tx1"/>
                  </w14:solidFill>
                </w14:textFill>
              </w:rPr>
              <w:t>5</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2</w:t>
            </w:r>
            <w:r>
              <w:rPr>
                <w:rFonts w:hint="eastAsia" w:ascii="Times New Roman" w:hAnsi="Times New Roman" w:cs="Times New Roman"/>
                <w:color w:val="000000" w:themeColor="text1"/>
                <w:sz w:val="24"/>
                <w:szCs w:val="24"/>
                <w:lang w:eastAsia="zh-CN"/>
                <w14:textFill>
                  <w14:solidFill>
                    <w14:schemeClr w14:val="tx1"/>
                  </w14:solidFill>
                </w14:textFill>
              </w:rPr>
              <w:t>5</w:t>
            </w:r>
            <w:r>
              <w:rPr>
                <w:rFonts w:ascii="Times New Roman" w:hAnsi="Times New Roman" w:cs="Times New Roman"/>
                <w:color w:val="000000" w:themeColor="text1"/>
                <w:sz w:val="24"/>
                <w:szCs w:val="24"/>
                <w:lang w:eastAsia="zh-CN"/>
                <w14:textFill>
                  <w14:solidFill>
                    <w14:schemeClr w14:val="tx1"/>
                  </w14:solidFill>
                </w14:textFill>
              </w:rPr>
              <w:t>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NH</w:t>
            </w:r>
            <w:r>
              <w:rPr>
                <w:rFonts w:ascii="Times New Roman" w:hAnsi="Times New Roman" w:cs="Times New Roman"/>
                <w:color w:val="000000" w:themeColor="text1"/>
                <w:sz w:val="24"/>
                <w:szCs w:val="24"/>
                <w:vertAlign w:val="subscript"/>
                <w:lang w:eastAsia="zh-CN"/>
                <w14:textFill>
                  <w14:solidFill>
                    <w14:schemeClr w14:val="tx1"/>
                  </w14:solidFill>
                </w14:textFill>
              </w:rPr>
              <w:t>3</w:t>
            </w:r>
            <w:r>
              <w:rPr>
                <w:rFonts w:ascii="Times New Roman" w:hAnsi="Times New Roman" w:cs="Times New Roman"/>
                <w:color w:val="000000" w:themeColor="text1"/>
                <w:sz w:val="24"/>
                <w:szCs w:val="24"/>
                <w:lang w:eastAsia="zh-CN"/>
                <w14:textFill>
                  <w14:solidFill>
                    <w14:schemeClr w14:val="tx1"/>
                  </w14:solidFill>
                </w14:textFill>
              </w:rPr>
              <w:t>-N</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30mg/L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SS</w:t>
            </w:r>
            <w:r>
              <w:rPr>
                <w:rFonts w:hint="eastAsia" w:ascii="Times New Roman" w:hAnsi="Times New Roman" w:cs="Times New Roman"/>
                <w:color w:val="000000" w:themeColor="text1"/>
                <w:sz w:val="24"/>
                <w:szCs w:val="24"/>
                <w:lang w:eastAsia="zh-CN"/>
                <w14:textFill>
                  <w14:solidFill>
                    <w14:schemeClr w14:val="tx1"/>
                  </w14:solidFill>
                </w14:textFill>
              </w:rPr>
              <w:t>浓度为</w:t>
            </w:r>
            <w:r>
              <w:rPr>
                <w:rFonts w:ascii="Times New Roman" w:hAnsi="Times New Roman" w:cs="Times New Roman"/>
                <w:color w:val="000000" w:themeColor="text1"/>
                <w:sz w:val="24"/>
                <w:szCs w:val="24"/>
                <w:lang w:eastAsia="zh-CN"/>
                <w14:textFill>
                  <w14:solidFill>
                    <w14:schemeClr w14:val="tx1"/>
                  </w14:solidFill>
                </w14:textFill>
              </w:rPr>
              <w:t>150mg/L</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color w:val="000000" w:themeColor="text1"/>
                <w:kern w:val="2"/>
                <w:sz w:val="24"/>
                <w:szCs w:val="28"/>
                <w:lang w:eastAsia="zh-CN" w:bidi="ar-SA"/>
                <w14:textFill>
                  <w14:solidFill>
                    <w14:schemeClr w14:val="tx1"/>
                  </w14:solidFill>
                </w14:textFill>
              </w:rPr>
              <w:t>项目部依托村庄现有旱厕收集生活粪便，生活洗漱污水用于抑尘；钻探施工区生活区设旱厕，生活洗漱污水用于抑尘；全部利用，不外排。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3</w:t>
            </w:r>
            <w:r>
              <w:rPr>
                <w:rFonts w:hint="eastAsia"/>
                <w:b/>
                <w:bCs/>
                <w:color w:val="000000" w:themeColor="text1"/>
                <w:sz w:val="24"/>
                <w:lang w:eastAsia="zh-CN"/>
                <w14:textFill>
                  <w14:solidFill>
                    <w14:schemeClr w14:val="tx1"/>
                  </w14:solidFill>
                </w14:textFill>
              </w:rPr>
              <w:t>、</w:t>
            </w:r>
            <w:r>
              <w:rPr>
                <w:rFonts w:hint="eastAsia"/>
                <w:b/>
                <w:bCs/>
                <w:color w:val="000000" w:themeColor="text1"/>
                <w:sz w:val="24"/>
                <w14:textFill>
                  <w14:solidFill>
                    <w14:schemeClr w14:val="tx1"/>
                  </w14:solidFill>
                </w14:textFill>
              </w:rPr>
              <w:t>噪声</w:t>
            </w:r>
          </w:p>
          <w:p>
            <w:pPr>
              <w:widowControl/>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勘查过程中，机械噪声会对周边环境产生影响，固定性声源主要有钻探机组、柴油发电机、泥浆泵、除砂器及泥浆搅拌机，噪声级一般65～9</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dB（A）；流动性声源主要指运输车辆，噪声级一般65～75dB（A）。</w:t>
            </w:r>
          </w:p>
          <w:p>
            <w:pPr>
              <w:widowControl/>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主要噪声源声级及噪声控制措施列于表</w:t>
            </w:r>
            <w:r>
              <w:rPr>
                <w:color w:val="000000" w:themeColor="text1"/>
                <w:sz w:val="24"/>
                <w14:textFill>
                  <w14:solidFill>
                    <w14:schemeClr w14:val="tx1"/>
                  </w14:solidFill>
                </w14:textFill>
              </w:rPr>
              <w:t>6-</w:t>
            </w:r>
            <w:r>
              <w:rPr>
                <w:rFonts w:hint="eastAsia"/>
                <w:color w:val="000000" w:themeColor="text1"/>
                <w:sz w:val="24"/>
                <w:lang w:val="en-US" w:eastAsia="zh-CN"/>
                <w14:textFill>
                  <w14:solidFill>
                    <w14:schemeClr w14:val="tx1"/>
                  </w14:solidFill>
                </w14:textFill>
              </w:rPr>
              <w:t>7</w:t>
            </w:r>
            <w:r>
              <w:rPr>
                <w:rFonts w:hint="eastAsia"/>
                <w:color w:val="000000" w:themeColor="text1"/>
                <w:sz w:val="24"/>
                <w14:textFill>
                  <w14:solidFill>
                    <w14:schemeClr w14:val="tx1"/>
                  </w14:solidFill>
                </w14:textFill>
              </w:rPr>
              <w:t>。</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表6</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7</w:t>
            </w:r>
            <w:r>
              <w:rPr>
                <w:rFonts w:hint="eastAsia"/>
                <w:color w:val="000000" w:themeColor="text1"/>
                <w:sz w:val="24"/>
                <w14:textFill>
                  <w14:solidFill>
                    <w14:schemeClr w14:val="tx1"/>
                  </w14:solidFill>
                </w14:textFill>
              </w:rPr>
              <w:t xml:space="preserve">  </w:t>
            </w:r>
            <w:r>
              <w:rPr>
                <w:rFonts w:hint="eastAsia"/>
                <w:color w:val="000000" w:themeColor="text1"/>
                <w:sz w:val="24"/>
                <w:lang w:val="en-GB" w:eastAsia="zh-CN"/>
                <w14:textFill>
                  <w14:solidFill>
                    <w14:schemeClr w14:val="tx1"/>
                  </w14:solidFill>
                </w14:textFill>
              </w:rPr>
              <w:t>主要噪声源声级及噪声控制措施表</w:t>
            </w:r>
          </w:p>
          <w:tbl>
            <w:tblPr>
              <w:tblStyle w:val="1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382"/>
              <w:gridCol w:w="2383"/>
              <w:gridCol w:w="2387"/>
              <w:gridCol w:w="23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分类</w:t>
                  </w:r>
                </w:p>
              </w:tc>
              <w:tc>
                <w:tcPr>
                  <w:tcW w:w="124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噪声源</w:t>
                  </w:r>
                </w:p>
              </w:tc>
              <w:tc>
                <w:tcPr>
                  <w:tcW w:w="1251" w:type="pct"/>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kern w:val="2"/>
                      <w14:textFill>
                        <w14:solidFill>
                          <w14:schemeClr w14:val="tx1"/>
                        </w14:solidFill>
                      </w14:textFill>
                    </w:rPr>
                    <w:t>控制措施</w:t>
                  </w:r>
                </w:p>
              </w:tc>
              <w:tc>
                <w:tcPr>
                  <w:tcW w:w="1251" w:type="pct"/>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14:textFill>
                        <w14:solidFill>
                          <w14:schemeClr w14:val="tx1"/>
                        </w14:solidFill>
                      </w14:textFill>
                    </w:rPr>
                    <w:t>噪声级</w:t>
                  </w:r>
                  <w:r>
                    <w:rPr>
                      <w:rFonts w:ascii="Times New Roman" w:hAnsi="Times New Roman"/>
                      <w:color w:val="000000" w:themeColor="text1"/>
                      <w:kern w:val="2"/>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固定声源</w:t>
                  </w:r>
                </w:p>
              </w:tc>
              <w:tc>
                <w:tcPr>
                  <w:tcW w:w="124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钻探机组</w:t>
                  </w:r>
                </w:p>
              </w:tc>
              <w:tc>
                <w:tcPr>
                  <w:tcW w:w="1251" w:type="pct"/>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14:textFill>
                        <w14:solidFill>
                          <w14:schemeClr w14:val="tx1"/>
                        </w14:solidFill>
                      </w14:textFill>
                    </w:rPr>
                    <w:t>基础减振</w:t>
                  </w:r>
                </w:p>
              </w:tc>
              <w:tc>
                <w:tcPr>
                  <w:tcW w:w="12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color w:val="000000" w:themeColor="text1"/>
                      <w:szCs w:val="21"/>
                      <w14:textFill>
                        <w14:solidFill>
                          <w14:schemeClr w14:val="tx1"/>
                        </w14:solidFill>
                      </w14:textFill>
                    </w:rPr>
                  </w:pPr>
                </w:p>
              </w:tc>
              <w:tc>
                <w:tcPr>
                  <w:tcW w:w="124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1251" w:type="pct"/>
                </w:tcPr>
                <w:p>
                  <w:pPr>
                    <w:pStyle w:val="17"/>
                    <w:jc w:val="center"/>
                    <w:rPr>
                      <w:rFonts w:ascii="Times New Roman" w:hAnsi="Times New Roman" w:cs="Times New Roman"/>
                      <w:color w:val="000000" w:themeColor="text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自带消音装置、减振</w:t>
                  </w:r>
                </w:p>
              </w:tc>
              <w:tc>
                <w:tcPr>
                  <w:tcW w:w="1251" w:type="pct"/>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color w:val="000000" w:themeColor="text1"/>
                      <w:szCs w:val="21"/>
                      <w14:textFill>
                        <w14:solidFill>
                          <w14:schemeClr w14:val="tx1"/>
                        </w14:solidFill>
                      </w14:textFill>
                    </w:rPr>
                  </w:pPr>
                </w:p>
              </w:tc>
              <w:tc>
                <w:tcPr>
                  <w:tcW w:w="124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1251" w:type="pct"/>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基础减振</w:t>
                  </w:r>
                </w:p>
              </w:tc>
              <w:tc>
                <w:tcPr>
                  <w:tcW w:w="1251" w:type="pct"/>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1249" w:type="pct"/>
                  <w:vMerge w:val="continue"/>
                  <w:vAlign w:val="center"/>
                </w:tcPr>
                <w:p>
                  <w:pPr>
                    <w:jc w:val="center"/>
                    <w:rPr>
                      <w:color w:val="000000" w:themeColor="text1"/>
                      <w:szCs w:val="21"/>
                      <w14:textFill>
                        <w14:solidFill>
                          <w14:schemeClr w14:val="tx1"/>
                        </w14:solidFill>
                      </w14:textFill>
                    </w:rPr>
                  </w:pPr>
                </w:p>
              </w:tc>
              <w:tc>
                <w:tcPr>
                  <w:tcW w:w="124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除砂器</w:t>
                  </w:r>
                </w:p>
              </w:tc>
              <w:tc>
                <w:tcPr>
                  <w:tcW w:w="1251" w:type="pct"/>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基础减振</w:t>
                  </w:r>
                </w:p>
              </w:tc>
              <w:tc>
                <w:tcPr>
                  <w:tcW w:w="1251" w:type="pct"/>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ascii="Times New Roman" w:hAnsi="Times New Roman"/>
                      <w:color w:val="000000" w:themeColor="text1"/>
                      <w:kern w:val="2"/>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color w:val="000000" w:themeColor="text1"/>
                      <w:szCs w:val="21"/>
                      <w14:textFill>
                        <w14:solidFill>
                          <w14:schemeClr w14:val="tx1"/>
                        </w14:solidFill>
                      </w14:textFill>
                    </w:rPr>
                  </w:pPr>
                </w:p>
              </w:tc>
              <w:tc>
                <w:tcPr>
                  <w:tcW w:w="124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1251" w:type="pct"/>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w:t>
                  </w:r>
                </w:p>
              </w:tc>
              <w:tc>
                <w:tcPr>
                  <w:tcW w:w="1251" w:type="pct"/>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ascii="Times New Roman" w:hAnsi="Times New Roman"/>
                      <w:color w:val="000000" w:themeColor="text1"/>
                      <w:kern w:val="2"/>
                      <w14:textFill>
                        <w14:solidFill>
                          <w14:schemeClr w14:val="tx1"/>
                        </w14:solidFill>
                      </w14:textFill>
                    </w:rPr>
                    <w:t>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流动声源</w:t>
                  </w:r>
                </w:p>
              </w:tc>
              <w:tc>
                <w:tcPr>
                  <w:tcW w:w="124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运输车辆</w:t>
                  </w:r>
                </w:p>
              </w:tc>
              <w:tc>
                <w:tcPr>
                  <w:tcW w:w="12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减速慢行</w:t>
                  </w:r>
                </w:p>
              </w:tc>
              <w:tc>
                <w:tcPr>
                  <w:tcW w:w="12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65～75</w:t>
                  </w:r>
                </w:p>
              </w:tc>
            </w:tr>
          </w:tbl>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4</w:t>
            </w:r>
            <w:r>
              <w:rPr>
                <w:rFonts w:hint="eastAsia"/>
                <w:b/>
                <w:bCs/>
                <w:color w:val="000000" w:themeColor="text1"/>
                <w:sz w:val="24"/>
                <w:lang w:eastAsia="zh-CN"/>
                <w14:textFill>
                  <w14:solidFill>
                    <w14:schemeClr w14:val="tx1"/>
                  </w14:solidFill>
                </w14:textFill>
              </w:rPr>
              <w:t>、</w:t>
            </w:r>
            <w:r>
              <w:rPr>
                <w:rFonts w:hint="eastAsia"/>
                <w:b/>
                <w:bCs/>
                <w:color w:val="000000" w:themeColor="text1"/>
                <w:sz w:val="24"/>
                <w14:textFill>
                  <w14:solidFill>
                    <w14:schemeClr w14:val="tx1"/>
                  </w14:solidFill>
                </w14:textFill>
              </w:rPr>
              <w:t>固体废物</w:t>
            </w:r>
          </w:p>
          <w:p>
            <w:pPr>
              <w:pStyle w:val="3"/>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（1）钻井泥浆</w:t>
            </w:r>
          </w:p>
          <w:p>
            <w:pPr>
              <w:widowControl/>
              <w:autoSpaceDE/>
              <w:autoSpaceDN/>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废弃泥浆一般指钻井结束后无法再利用的泥浆，是钻井过程中产生的一种液态细腻胶状物，包含钻井液、钻孔内取芯后带出来的细小岩屑，失水后会变成固态物。</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本项目整个勘查过程中的钻井泥浆是循环使用的，在钻井机台设置沉淀池、泥浆循环池及泥浆坑，各池体及坑体均做</w:t>
            </w:r>
            <w:r>
              <w:rPr>
                <w:rFonts w:ascii="Times New Roman" w:hAnsi="Times New Roman" w:cs="Times New Roman"/>
                <w:b w:val="0"/>
                <w:bCs/>
                <w:color w:val="000000" w:themeColor="text1"/>
                <w:sz w:val="24"/>
                <w:szCs w:val="24"/>
                <w:lang w:eastAsia="zh-CN" w:bidi="ar"/>
                <w14:textFill>
                  <w14:solidFill>
                    <w14:schemeClr w14:val="tx1"/>
                  </w14:solidFill>
                </w14:textFill>
              </w:rPr>
              <w:t>HDPE</w:t>
            </w:r>
            <w:r>
              <w:rPr>
                <w:rFonts w:hint="eastAsia"/>
                <w:color w:val="000000" w:themeColor="text1"/>
                <w:sz w:val="24"/>
                <w:szCs w:val="24"/>
                <w:lang w:eastAsia="zh-CN" w:bidi="ar"/>
                <w14:textFill>
                  <w14:solidFill>
                    <w14:schemeClr w14:val="tx1"/>
                  </w14:solidFill>
                </w14:textFill>
              </w:rPr>
              <w:t>膜防渗、防溢处理，并在施工区机台至个泥浆设施之间设置泥浆导流槽，流道平整，保障泥浆不外溢。钻探过程中的泥浆及封孔泥浆从钻孔涌出排入泥浆循环池回用于钻探，单个钻孔的泥浆坑尺寸为</w:t>
            </w:r>
            <w:r>
              <w:rPr>
                <w:rFonts w:hint="eastAsia" w:ascii="Times New Roman" w:hAnsi="Times New Roman" w:cs="Times New Roman"/>
                <w:b w:val="0"/>
                <w:bCs w:val="0"/>
                <w:color w:val="000000" w:themeColor="text1"/>
                <w:sz w:val="24"/>
                <w:szCs w:val="24"/>
                <w:lang w:eastAsia="zh-CN" w:bidi="ar"/>
                <w14:textFill>
                  <w14:solidFill>
                    <w14:schemeClr w14:val="tx1"/>
                  </w14:solidFill>
                </w14:textFill>
              </w:rPr>
              <w:t>4</w:t>
            </w:r>
            <w:r>
              <w:rPr>
                <w:rFonts w:ascii="Times New Roman" w:hAnsi="Times New Roman" w:cs="Times New Roman"/>
                <w:b w:val="0"/>
                <w:bCs w:val="0"/>
                <w:color w:val="000000" w:themeColor="text1"/>
                <w:sz w:val="24"/>
                <w:szCs w:val="24"/>
                <w:lang w:eastAsia="zh-CN" w:bidi="ar"/>
                <w14:textFill>
                  <w14:solidFill>
                    <w14:schemeClr w14:val="tx1"/>
                  </w14:solidFill>
                </w14:textFill>
              </w:rPr>
              <w:t>m</w:t>
            </w:r>
            <w:r>
              <w:rPr>
                <w:rFonts w:hint="eastAsia"/>
                <w:b w:val="0"/>
                <w:bCs w:val="0"/>
                <w:color w:val="000000" w:themeColor="text1"/>
                <w:sz w:val="24"/>
                <w:szCs w:val="24"/>
                <w:lang w:eastAsia="zh-CN" w:bidi="ar"/>
                <w14:textFill>
                  <w14:solidFill>
                    <w14:schemeClr w14:val="tx1"/>
                  </w14:solidFill>
                </w14:textFill>
              </w:rPr>
              <w:t>×</w:t>
            </w:r>
            <w:r>
              <w:rPr>
                <w:rFonts w:hint="eastAsia" w:ascii="Times New Roman" w:hAnsi="Times New Roman" w:cs="Times New Roman"/>
                <w:b w:val="0"/>
                <w:bCs w:val="0"/>
                <w:color w:val="000000" w:themeColor="text1"/>
                <w:sz w:val="24"/>
                <w:szCs w:val="24"/>
                <w:lang w:eastAsia="zh-CN" w:bidi="ar"/>
                <w14:textFill>
                  <w14:solidFill>
                    <w14:schemeClr w14:val="tx1"/>
                  </w14:solidFill>
                </w14:textFill>
              </w:rPr>
              <w:t>2</w:t>
            </w:r>
            <w:r>
              <w:rPr>
                <w:rFonts w:ascii="Times New Roman" w:hAnsi="Times New Roman" w:cs="Times New Roman"/>
                <w:b w:val="0"/>
                <w:bCs w:val="0"/>
                <w:color w:val="000000" w:themeColor="text1"/>
                <w:sz w:val="24"/>
                <w:szCs w:val="24"/>
                <w:lang w:eastAsia="zh-CN" w:bidi="ar"/>
                <w14:textFill>
                  <w14:solidFill>
                    <w14:schemeClr w14:val="tx1"/>
                  </w14:solidFill>
                </w14:textFill>
              </w:rPr>
              <w:t>m</w:t>
            </w:r>
            <w:r>
              <w:rPr>
                <w:rFonts w:hint="eastAsia"/>
                <w:b w:val="0"/>
                <w:bCs w:val="0"/>
                <w:color w:val="000000" w:themeColor="text1"/>
                <w:sz w:val="24"/>
                <w:szCs w:val="24"/>
                <w:lang w:eastAsia="zh-CN" w:bidi="ar"/>
                <w14:textFill>
                  <w14:solidFill>
                    <w14:schemeClr w14:val="tx1"/>
                  </w14:solidFill>
                </w14:textFill>
              </w:rPr>
              <w:t>×</w:t>
            </w:r>
            <w:r>
              <w:rPr>
                <w:rFonts w:ascii="Times New Roman" w:hAnsi="Times New Roman" w:cs="Times New Roman"/>
                <w:b w:val="0"/>
                <w:bCs w:val="0"/>
                <w:color w:val="000000" w:themeColor="text1"/>
                <w:sz w:val="24"/>
                <w:szCs w:val="24"/>
                <w:lang w:eastAsia="zh-CN" w:bidi="ar"/>
                <w14:textFill>
                  <w14:solidFill>
                    <w14:schemeClr w14:val="tx1"/>
                  </w14:solidFill>
                </w14:textFill>
              </w:rPr>
              <w:t>1.</w:t>
            </w:r>
            <w:r>
              <w:rPr>
                <w:rFonts w:hint="eastAsia" w:ascii="Times New Roman" w:hAnsi="Times New Roman" w:cs="Times New Roman"/>
                <w:b w:val="0"/>
                <w:bCs w:val="0"/>
                <w:color w:val="000000" w:themeColor="text1"/>
                <w:sz w:val="24"/>
                <w:szCs w:val="24"/>
                <w:lang w:eastAsia="zh-CN" w:bidi="ar"/>
                <w14:textFill>
                  <w14:solidFill>
                    <w14:schemeClr w14:val="tx1"/>
                  </w14:solidFill>
                </w14:textFill>
              </w:rPr>
              <w:t>4</w:t>
            </w:r>
            <w:r>
              <w:rPr>
                <w:rFonts w:ascii="Times New Roman" w:hAnsi="Times New Roman" w:cs="Times New Roman"/>
                <w:b w:val="0"/>
                <w:bCs w:val="0"/>
                <w:color w:val="000000" w:themeColor="text1"/>
                <w:sz w:val="24"/>
                <w:szCs w:val="24"/>
                <w:lang w:eastAsia="zh-CN" w:bidi="ar"/>
                <w14:textFill>
                  <w14:solidFill>
                    <w14:schemeClr w14:val="tx1"/>
                  </w14:solidFill>
                </w14:textFill>
              </w:rPr>
              <w:t>m</w:t>
            </w:r>
            <w:r>
              <w:rPr>
                <w:rFonts w:hint="eastAsia"/>
                <w:color w:val="000000" w:themeColor="text1"/>
                <w:sz w:val="24"/>
                <w:szCs w:val="24"/>
                <w:lang w:eastAsia="zh-CN" w:bidi="ar"/>
                <w14:textFill>
                  <w14:solidFill>
                    <w14:schemeClr w14:val="tx1"/>
                  </w14:solidFill>
                </w14:textFill>
              </w:rPr>
              <w:t>，待施工结束后，将集中泥浆坑的泥浆蒸发脱水，最终覆土掩埋，恢复植被。</w:t>
            </w:r>
          </w:p>
          <w:p>
            <w:pPr>
              <w:spacing w:line="360" w:lineRule="auto"/>
              <w:ind w:firstLine="480" w:firstLineChars="200"/>
              <w:jc w:val="both"/>
              <w:rPr>
                <w:color w:val="000000" w:themeColor="text1"/>
                <w:sz w:val="24"/>
                <w14:textFill>
                  <w14:solidFill>
                    <w14:schemeClr w14:val="tx1"/>
                  </w14:solidFill>
                </w14:textFill>
              </w:rPr>
            </w:pPr>
            <w:r>
              <w:rPr>
                <w:color w:val="000000" w:themeColor="text1"/>
                <w:sz w:val="24"/>
                <w14:textFill>
                  <w14:solidFill>
                    <w14:schemeClr w14:val="tx1"/>
                  </w14:solidFill>
                </w14:textFill>
              </w:rPr>
              <w:t>本项目钻孔平均孔径约</w:t>
            </w:r>
            <w:r>
              <w:rPr>
                <w:rFonts w:hint="eastAsia"/>
                <w:color w:val="000000" w:themeColor="text1"/>
                <w:sz w:val="24"/>
                <w14:textFill>
                  <w14:solidFill>
                    <w14:schemeClr w14:val="tx1"/>
                  </w14:solidFill>
                </w14:textFill>
              </w:rPr>
              <w:t>1</w:t>
            </w:r>
            <w:r>
              <w:rPr>
                <w:color w:val="000000" w:themeColor="text1"/>
                <w:sz w:val="24"/>
                <w14:textFill>
                  <w14:solidFill>
                    <w14:schemeClr w14:val="tx1"/>
                  </w14:solidFill>
                </w14:textFill>
              </w:rPr>
              <w:t>08mm，</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年项目钻井工作量为</w:t>
            </w:r>
            <w:r>
              <w:rPr>
                <w:rFonts w:hint="eastAsia"/>
                <w:color w:val="000000" w:themeColor="text1"/>
                <w:sz w:val="24"/>
                <w:lang w:val="en-US" w:eastAsia="zh-CN"/>
                <w14:textFill>
                  <w14:solidFill>
                    <w14:schemeClr w14:val="tx1"/>
                  </w14:solidFill>
                </w14:textFill>
              </w:rPr>
              <w:t>28</w:t>
            </w:r>
            <w:r>
              <w:rPr>
                <w:rFonts w:hint="eastAsia"/>
                <w:color w:val="000000" w:themeColor="text1"/>
                <w:sz w:val="24"/>
                <w:lang w:eastAsia="zh-CN"/>
                <w14:textFill>
                  <w14:solidFill>
                    <w14:schemeClr w14:val="tx1"/>
                  </w14:solidFill>
                </w14:textFill>
              </w:rPr>
              <w:t>000m，202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年项目钻井工作量均为</w:t>
            </w:r>
            <w:r>
              <w:rPr>
                <w:rFonts w:hint="eastAsia"/>
                <w:color w:val="000000" w:themeColor="text1"/>
                <w:sz w:val="24"/>
                <w:lang w:val="en-US" w:eastAsia="zh-CN"/>
                <w14:textFill>
                  <w14:solidFill>
                    <w14:schemeClr w14:val="tx1"/>
                  </w14:solidFill>
                </w14:textFill>
              </w:rPr>
              <w:t>148</w:t>
            </w:r>
            <w:r>
              <w:rPr>
                <w:rFonts w:hint="eastAsia"/>
                <w:color w:val="000000" w:themeColor="text1"/>
                <w:sz w:val="24"/>
                <w:lang w:eastAsia="zh-CN"/>
                <w14:textFill>
                  <w14:solidFill>
                    <w14:schemeClr w14:val="tx1"/>
                  </w14:solidFill>
                </w14:textFill>
              </w:rPr>
              <w:t>000m，</w:t>
            </w:r>
            <w:r>
              <w:rPr>
                <w:color w:val="000000" w:themeColor="text1"/>
                <w:sz w:val="24"/>
                <w:lang w:eastAsia="zh-CN"/>
                <w14:textFill>
                  <w14:solidFill>
                    <w14:schemeClr w14:val="tx1"/>
                  </w14:solidFill>
                </w14:textFill>
              </w:rPr>
              <w:t>则</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钻孔需取土石的总体积</w:t>
            </w:r>
            <w:r>
              <w:rPr>
                <w:rFonts w:hint="eastAsia"/>
                <w:color w:val="000000" w:themeColor="text1"/>
                <w:sz w:val="24"/>
                <w:lang w:eastAsia="zh-CN"/>
                <w14:textFill>
                  <w14:solidFill>
                    <w14:schemeClr w14:val="tx1"/>
                  </w14:solidFill>
                </w14:textFill>
              </w:rPr>
              <w:t>均</w:t>
            </w:r>
            <w:r>
              <w:rPr>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256.5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val="en-US"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钻孔需取土石的总体积</w:t>
            </w:r>
            <w:r>
              <w:rPr>
                <w:rFonts w:hint="eastAsia"/>
                <w:color w:val="000000" w:themeColor="text1"/>
                <w:sz w:val="24"/>
                <w:lang w:eastAsia="zh-CN"/>
                <w14:textFill>
                  <w14:solidFill>
                    <w14:schemeClr w14:val="tx1"/>
                  </w14:solidFill>
                </w14:textFill>
              </w:rPr>
              <w:t>均</w:t>
            </w:r>
            <w:r>
              <w:rPr>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1355.8</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p>
          <w:p>
            <w:pPr>
              <w:spacing w:line="360" w:lineRule="auto"/>
              <w:ind w:firstLine="480" w:firstLineChars="200"/>
              <w:jc w:val="both"/>
              <w:rPr>
                <w:rFonts w:hint="eastAsia" w:ascii="Times New Roman" w:hAnsi="Times New Roman" w:eastAsia="宋体"/>
                <w:b w:val="0"/>
                <w:bCs w:val="0"/>
                <w:color w:val="000000" w:themeColor="text1"/>
                <w:sz w:val="24"/>
                <w:szCs w:val="24"/>
                <w14:textFill>
                  <w14:solidFill>
                    <w14:schemeClr w14:val="tx1"/>
                  </w14:solidFill>
                </w14:textFill>
              </w:rPr>
            </w:pPr>
            <w:r>
              <w:rPr>
                <w:rFonts w:hint="eastAsia"/>
                <w:color w:val="000000" w:themeColor="text1"/>
                <w:sz w:val="24"/>
                <w14:textFill>
                  <w14:solidFill>
                    <w14:schemeClr w14:val="tx1"/>
                  </w14:solidFill>
                </w14:textFill>
              </w:rPr>
              <w:t>根据调查估算</w:t>
            </w:r>
            <w:r>
              <w:rPr>
                <w:color w:val="000000" w:themeColor="text1"/>
                <w:sz w:val="24"/>
                <w14:textFill>
                  <w14:solidFill>
                    <w14:schemeClr w14:val="tx1"/>
                  </w14:solidFill>
                </w14:textFill>
              </w:rPr>
              <w:t>，泥浆产生量约占所取土石的总体积50%，</w:t>
            </w:r>
            <w:r>
              <w:rPr>
                <w:color w:val="000000" w:themeColor="text1"/>
                <w:sz w:val="24"/>
                <w:lang w:eastAsia="zh-CN"/>
                <w14:textFill>
                  <w14:solidFill>
                    <w14:schemeClr w14:val="tx1"/>
                  </w14:solidFill>
                </w14:textFill>
              </w:rPr>
              <w:t>故</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项目泥浆产生量</w:t>
            </w:r>
            <w:r>
              <w:rPr>
                <w:rFonts w:hint="eastAsia"/>
                <w:color w:val="000000" w:themeColor="text1"/>
                <w:sz w:val="24"/>
                <w:lang w:eastAsia="zh-CN"/>
                <w14:textFill>
                  <w14:solidFill>
                    <w14:schemeClr w14:val="tx1"/>
                  </w14:solidFill>
                </w14:textFill>
              </w:rPr>
              <w:t>均为</w:t>
            </w:r>
            <w:r>
              <w:rPr>
                <w:rFonts w:hint="eastAsia"/>
                <w:color w:val="000000" w:themeColor="text1"/>
                <w:sz w:val="24"/>
                <w:lang w:val="en-US" w:eastAsia="zh-CN"/>
                <w14:textFill>
                  <w14:solidFill>
                    <w14:schemeClr w14:val="tx1"/>
                  </w14:solidFill>
                </w14:textFill>
              </w:rPr>
              <w:t>128.25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密度为1.15t/m³，即</w:t>
            </w:r>
            <w:r>
              <w:rPr>
                <w:rFonts w:hint="eastAsia"/>
                <w:color w:val="000000" w:themeColor="text1"/>
                <w:kern w:val="2"/>
                <w:sz w:val="24"/>
                <w:szCs w:val="24"/>
                <w:lang w:val="en-US" w:eastAsia="zh-CN" w:bidi="ar-SA"/>
                <w14:textFill>
                  <w14:solidFill>
                    <w14:schemeClr w14:val="tx1"/>
                  </w14:solidFill>
                </w14:textFill>
              </w:rPr>
              <w:t>147.50</w:t>
            </w:r>
            <w:r>
              <w:rPr>
                <w:rFonts w:hint="eastAsia"/>
                <w:color w:val="000000" w:themeColor="text1"/>
                <w:kern w:val="2"/>
                <w:sz w:val="24"/>
                <w:szCs w:val="24"/>
                <w:lang w:eastAsia="zh-CN" w:bidi="ar-SA"/>
                <w14:textFill>
                  <w14:solidFill>
                    <w14:schemeClr w14:val="tx1"/>
                  </w14:solidFill>
                </w14:textFill>
              </w:rPr>
              <w:t>t</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w:t>
            </w:r>
            <w:r>
              <w:rPr>
                <w:color w:val="000000" w:themeColor="text1"/>
                <w:sz w:val="24"/>
                <w:lang w:eastAsia="zh-CN"/>
                <w14:textFill>
                  <w14:solidFill>
                    <w14:schemeClr w14:val="tx1"/>
                  </w14:solidFill>
                </w14:textFill>
              </w:rPr>
              <w:t>故</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项目泥浆产生量</w:t>
            </w:r>
            <w:r>
              <w:rPr>
                <w:rFonts w:hint="eastAsia"/>
                <w:color w:val="000000" w:themeColor="text1"/>
                <w:sz w:val="24"/>
                <w:lang w:eastAsia="zh-CN"/>
                <w14:textFill>
                  <w14:solidFill>
                    <w14:schemeClr w14:val="tx1"/>
                  </w14:solidFill>
                </w14:textFill>
              </w:rPr>
              <w:t>均为</w:t>
            </w:r>
            <w:r>
              <w:rPr>
                <w:rFonts w:hint="eastAsia"/>
                <w:color w:val="000000" w:themeColor="text1"/>
                <w:sz w:val="24"/>
                <w:lang w:val="en-US" w:eastAsia="zh-CN"/>
                <w14:textFill>
                  <w14:solidFill>
                    <w14:schemeClr w14:val="tx1"/>
                  </w14:solidFill>
                </w14:textFill>
              </w:rPr>
              <w:t>677.9</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密度为1.15t/m³，即</w:t>
            </w:r>
            <w:r>
              <w:rPr>
                <w:rFonts w:hint="eastAsia"/>
                <w:color w:val="000000" w:themeColor="text1"/>
                <w:kern w:val="2"/>
                <w:sz w:val="24"/>
                <w:szCs w:val="24"/>
                <w:lang w:val="en-US" w:eastAsia="zh-CN" w:bidi="ar-SA"/>
                <w14:textFill>
                  <w14:solidFill>
                    <w14:schemeClr w14:val="tx1"/>
                  </w14:solidFill>
                </w14:textFill>
              </w:rPr>
              <w:t>779.60</w:t>
            </w:r>
            <w:r>
              <w:rPr>
                <w:rFonts w:hint="eastAsia"/>
                <w:color w:val="000000" w:themeColor="text1"/>
                <w:kern w:val="2"/>
                <w:sz w:val="24"/>
                <w:szCs w:val="24"/>
                <w:lang w:eastAsia="zh-CN" w:bidi="ar-SA"/>
                <w14:textFill>
                  <w14:solidFill>
                    <w14:schemeClr w14:val="tx1"/>
                  </w14:solidFill>
                </w14:textFill>
              </w:rPr>
              <w:t>t</w:t>
            </w:r>
            <w:r>
              <w:rPr>
                <w:rFonts w:hint="eastAsia"/>
                <w:color w:val="000000" w:themeColor="text1"/>
                <w:sz w:val="24"/>
                <w:lang w:eastAsia="zh-CN"/>
                <w14:textFill>
                  <w14:solidFill>
                    <w14:schemeClr w14:val="tx1"/>
                  </w14:solidFill>
                </w14:textFill>
              </w:rPr>
              <w:t>）。</w:t>
            </w:r>
          </w:p>
          <w:p>
            <w:pPr>
              <w:pStyle w:val="3"/>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（2）岩芯</w:t>
            </w:r>
          </w:p>
          <w:p>
            <w:pPr>
              <w:widowControl/>
              <w:autoSpaceDE/>
              <w:autoSpaceDN/>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根据调查估算，单井每百米进尺平均产生的岩芯约390kg，其中0</w:t>
            </w:r>
            <w:r>
              <w:rPr>
                <w:rFonts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5%为矿段岩芯（本次取中间值即3%），95%</w:t>
            </w:r>
            <w:r>
              <w:rPr>
                <w:rFonts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100%为矿段岩芯（本次取中间值即97%）。</w:t>
            </w:r>
          </w:p>
          <w:p>
            <w:pPr>
              <w:widowControl/>
              <w:autoSpaceDE/>
              <w:autoSpaceDN/>
              <w:spacing w:line="360" w:lineRule="auto"/>
              <w:ind w:firstLine="480" w:firstLineChars="200"/>
              <w:jc w:val="both"/>
              <w:rPr>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项目产生矿段岩芯放置在岩芯箱内，堆存于岩芯库内。岩芯库租用项目部无人居住的民房，防火、防雨、防盗，专人看管，登记台账备查。待钻孔完毕后，采集矿段岩芯样品主要有铀镭样、钍钾样、密度样、湿度样、岩矿鉴定样、粒度样、岩石地球化学环境指标样和硅酸盐全分析等样品，送我所分析测试中心进行检验，我所具备</w:t>
            </w:r>
            <w:r>
              <w:rPr>
                <w:rFonts w:hint="eastAsia"/>
                <w:color w:val="000000" w:themeColor="text1"/>
                <w:sz w:val="24"/>
                <w:szCs w:val="24"/>
                <w:lang w:val="en-US" w:eastAsia="zh-CN" w:bidi="ar"/>
                <w14:textFill>
                  <w14:solidFill>
                    <w14:schemeClr w14:val="tx1"/>
                  </w14:solidFill>
                </w14:textFill>
              </w:rPr>
              <w:t>相关检验资格</w:t>
            </w:r>
            <w:r>
              <w:rPr>
                <w:rFonts w:hint="eastAsia"/>
                <w:color w:val="000000" w:themeColor="text1"/>
                <w:sz w:val="24"/>
                <w:szCs w:val="24"/>
                <w:lang w:eastAsia="zh-CN" w:bidi="ar"/>
                <w14:textFill>
                  <w14:solidFill>
                    <w14:schemeClr w14:val="tx1"/>
                  </w14:solidFill>
                </w14:textFill>
              </w:rPr>
              <w:t>。</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ascii="Times New Roman" w:hAnsi="Times New Roman"/>
                <w:color w:val="000000" w:themeColor="text1"/>
                <w:kern w:val="2"/>
                <w:sz w:val="24"/>
                <w:szCs w:val="24"/>
                <w:lang w:eastAsia="zh-CN" w:bidi="ar-SA"/>
                <w14:textFill>
                  <w14:solidFill>
                    <w14:schemeClr w14:val="tx1"/>
                  </w14:solidFill>
                </w14:textFill>
              </w:rPr>
              <w:t>非矿段岩芯放置在岩</w:t>
            </w:r>
            <w:r>
              <w:rPr>
                <w:rFonts w:hint="eastAsia"/>
                <w:color w:val="000000" w:themeColor="text1"/>
                <w:sz w:val="24"/>
                <w:lang w:eastAsia="zh-CN"/>
                <w14:textFill>
                  <w14:solidFill>
                    <w14:schemeClr w14:val="tx1"/>
                  </w14:solidFill>
                </w14:textFill>
              </w:rPr>
              <w:t>芯</w:t>
            </w:r>
            <w:r>
              <w:rPr>
                <w:rFonts w:hint="eastAsia" w:ascii="Times New Roman" w:hAnsi="Times New Roman"/>
                <w:color w:val="000000" w:themeColor="text1"/>
                <w:kern w:val="2"/>
                <w:sz w:val="24"/>
                <w:szCs w:val="24"/>
                <w:lang w:eastAsia="zh-CN" w:bidi="ar-SA"/>
                <w14:textFill>
                  <w14:solidFill>
                    <w14:schemeClr w14:val="tx1"/>
                  </w14:solidFill>
                </w14:textFill>
              </w:rPr>
              <w:t>池内，该岩</w:t>
            </w:r>
            <w:r>
              <w:rPr>
                <w:rFonts w:hint="eastAsia"/>
                <w:color w:val="000000" w:themeColor="text1"/>
                <w:sz w:val="24"/>
                <w:lang w:eastAsia="zh-CN"/>
                <w14:textFill>
                  <w14:solidFill>
                    <w14:schemeClr w14:val="tx1"/>
                  </w14:solidFill>
                </w14:textFill>
              </w:rPr>
              <w:t>芯</w:t>
            </w:r>
            <w:r>
              <w:rPr>
                <w:rFonts w:hint="eastAsia" w:ascii="Times New Roman" w:hAnsi="Times New Roman"/>
                <w:color w:val="000000" w:themeColor="text1"/>
                <w:kern w:val="2"/>
                <w:sz w:val="24"/>
                <w:szCs w:val="24"/>
                <w:lang w:eastAsia="zh-CN" w:bidi="ar-SA"/>
                <w14:textFill>
                  <w14:solidFill>
                    <w14:schemeClr w14:val="tx1"/>
                  </w14:solidFill>
                </w14:textFill>
              </w:rPr>
              <w:t>池</w:t>
            </w:r>
            <w:r>
              <w:rPr>
                <w:rFonts w:hint="eastAsia"/>
                <w:color w:val="000000" w:themeColor="text1"/>
                <w:sz w:val="24"/>
                <w:szCs w:val="24"/>
                <w:lang w:eastAsia="zh-CN" w:bidi="ar"/>
                <w14:textFill>
                  <w14:solidFill>
                    <w14:schemeClr w14:val="tx1"/>
                  </w14:solidFill>
                </w14:textFill>
              </w:rPr>
              <w:t>采</w:t>
            </w:r>
            <w:r>
              <w:rPr>
                <w:rFonts w:hint="eastAsia" w:ascii="Times New Roman" w:hAnsi="Times New Roman"/>
                <w:color w:val="000000" w:themeColor="text1"/>
                <w:kern w:val="2"/>
                <w:sz w:val="24"/>
                <w:szCs w:val="24"/>
                <w:lang w:eastAsia="zh-CN" w:bidi="ar-SA"/>
                <w14:textFill>
                  <w14:solidFill>
                    <w14:schemeClr w14:val="tx1"/>
                  </w14:solidFill>
                </w14:textFill>
              </w:rPr>
              <w:t>用</w:t>
            </w:r>
            <w:r>
              <w:rPr>
                <w:rFonts w:ascii="Times New Roman" w:hAnsi="Times New Roman"/>
                <w:color w:val="000000" w:themeColor="text1"/>
                <w:kern w:val="2"/>
                <w:sz w:val="24"/>
                <w:szCs w:val="24"/>
                <w:lang w:eastAsia="zh-CN" w:bidi="ar-SA"/>
                <w14:textFill>
                  <w14:solidFill>
                    <w14:schemeClr w14:val="tx1"/>
                  </w14:solidFill>
                </w14:textFill>
              </w:rPr>
              <w:t>HDPE</w:t>
            </w:r>
            <w:r>
              <w:rPr>
                <w:rFonts w:hint="eastAsia"/>
                <w:color w:val="000000" w:themeColor="text1"/>
                <w:sz w:val="24"/>
                <w:szCs w:val="24"/>
                <w:lang w:eastAsia="zh-CN" w:bidi="ar"/>
                <w14:textFill>
                  <w14:solidFill>
                    <w14:schemeClr w14:val="tx1"/>
                  </w14:solidFill>
                </w14:textFill>
              </w:rPr>
              <w:t>膜防渗，单个钻孔的岩芯池尺寸</w:t>
            </w:r>
            <w:r>
              <w:rPr>
                <w:rFonts w:hint="eastAsia" w:ascii="Times New Roman" w:hAnsi="Times New Roman"/>
                <w:color w:val="000000" w:themeColor="text1"/>
                <w:kern w:val="2"/>
                <w:sz w:val="24"/>
                <w:szCs w:val="24"/>
                <w:lang w:eastAsia="zh-CN" w:bidi="ar-SA"/>
                <w14:textFill>
                  <w14:solidFill>
                    <w14:schemeClr w14:val="tx1"/>
                  </w14:solidFill>
                </w14:textFill>
              </w:rPr>
              <w:t>为 4.8</w:t>
            </w:r>
            <w:r>
              <w:rPr>
                <w:rFonts w:ascii="Times New Roman" w:hAnsi="Times New Roman"/>
                <w:color w:val="000000" w:themeColor="text1"/>
                <w:kern w:val="2"/>
                <w:sz w:val="24"/>
                <w:szCs w:val="24"/>
                <w:lang w:eastAsia="zh-CN" w:bidi="ar-SA"/>
                <w14:textFill>
                  <w14:solidFill>
                    <w14:schemeClr w14:val="tx1"/>
                  </w14:solidFill>
                </w14:textFill>
              </w:rPr>
              <w:t>m</w:t>
            </w:r>
            <w:r>
              <w:rPr>
                <w:rFonts w:hint="eastAsia" w:ascii="Times New Roman" w:hAnsi="Times New Roman"/>
                <w:color w:val="000000" w:themeColor="text1"/>
                <w:kern w:val="2"/>
                <w:sz w:val="24"/>
                <w:szCs w:val="24"/>
                <w:lang w:eastAsia="zh-CN" w:bidi="ar-SA"/>
                <w14:textFill>
                  <w14:solidFill>
                    <w14:schemeClr w14:val="tx1"/>
                  </w14:solidFill>
                </w14:textFill>
              </w:rPr>
              <w:t>×0.8</w:t>
            </w:r>
            <w:r>
              <w:rPr>
                <w:rFonts w:ascii="Times New Roman" w:hAnsi="Times New Roman"/>
                <w:color w:val="000000" w:themeColor="text1"/>
                <w:kern w:val="2"/>
                <w:sz w:val="24"/>
                <w:szCs w:val="24"/>
                <w:lang w:eastAsia="zh-CN" w:bidi="ar-SA"/>
                <w14:textFill>
                  <w14:solidFill>
                    <w14:schemeClr w14:val="tx1"/>
                  </w14:solidFill>
                </w14:textFill>
              </w:rPr>
              <w:t>m</w:t>
            </w:r>
            <w:r>
              <w:rPr>
                <w:rFonts w:hint="eastAsia" w:ascii="Times New Roman" w:hAnsi="Times New Roman"/>
                <w:color w:val="000000" w:themeColor="text1"/>
                <w:kern w:val="2"/>
                <w:sz w:val="24"/>
                <w:szCs w:val="24"/>
                <w:lang w:eastAsia="zh-CN" w:bidi="ar-SA"/>
                <w14:textFill>
                  <w14:solidFill>
                    <w14:schemeClr w14:val="tx1"/>
                  </w14:solidFill>
                </w14:textFill>
              </w:rPr>
              <w:t>×</w:t>
            </w:r>
            <w:r>
              <w:rPr>
                <w:rFonts w:ascii="Times New Roman" w:hAnsi="Times New Roman"/>
                <w:color w:val="000000" w:themeColor="text1"/>
                <w:kern w:val="2"/>
                <w:sz w:val="24"/>
                <w:szCs w:val="24"/>
                <w:lang w:eastAsia="zh-CN" w:bidi="ar-SA"/>
                <w14:textFill>
                  <w14:solidFill>
                    <w14:schemeClr w14:val="tx1"/>
                  </w14:solidFill>
                </w14:textFill>
              </w:rPr>
              <w:t>1m</w:t>
            </w:r>
            <w:r>
              <w:rPr>
                <w:rFonts w:hint="eastAsia" w:ascii="Times New Roman" w:hAnsi="Times New Roman"/>
                <w:color w:val="000000" w:themeColor="text1"/>
                <w:kern w:val="2"/>
                <w:sz w:val="24"/>
                <w:szCs w:val="24"/>
                <w:lang w:eastAsia="zh-CN" w:bidi="ar-SA"/>
                <w14:textFill>
                  <w14:solidFill>
                    <w14:schemeClr w14:val="tx1"/>
                  </w14:solidFill>
                </w14:textFill>
              </w:rPr>
              <w:t>，</w:t>
            </w:r>
            <w:r>
              <w:rPr>
                <w:rFonts w:hint="eastAsia"/>
                <w:color w:val="000000" w:themeColor="text1"/>
                <w:sz w:val="24"/>
                <w:szCs w:val="24"/>
                <w:lang w:eastAsia="zh-CN" w:bidi="ar"/>
                <w14:textFill>
                  <w14:solidFill>
                    <w14:schemeClr w14:val="tx1"/>
                  </w14:solidFill>
                </w14:textFill>
              </w:rPr>
              <w:t>待施工结束后，最终覆土掩埋，恢复植被。</w:t>
            </w:r>
          </w:p>
          <w:p>
            <w:pPr>
              <w:widowControl/>
              <w:spacing w:line="360" w:lineRule="auto"/>
              <w:ind w:firstLine="480" w:firstLineChars="200"/>
              <w:rPr>
                <w:color w:val="000000" w:themeColor="text1"/>
                <w:sz w:val="24"/>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年度项目钻井工作量为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28</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000m，因此，202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年度项目产生的岩芯均为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109.2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t（其中矿段岩芯为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3.28</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t，非矿段岩芯</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105.9</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3-2026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年度项目钻井工作量为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55</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000m，因此，202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3-2026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年度项目产生的岩芯均为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577.2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t（其中矿段岩芯为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17.32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t，非矿段岩芯</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559.88</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w:t>
            </w:r>
          </w:p>
          <w:p>
            <w:pPr>
              <w:pStyle w:val="3"/>
              <w:spacing w:before="0" w:after="0" w:line="360" w:lineRule="auto"/>
              <w:ind w:firstLine="480" w:firstLineChars="200"/>
              <w:rPr>
                <w:rFonts w:ascii="Times New Roman" w:hAnsi="Times New Roman" w:eastAsia="宋体" w:cs="Times New Roman"/>
                <w:b w:val="0"/>
                <w:bCs w:val="0"/>
                <w:color w:val="000000" w:themeColor="text1"/>
                <w:sz w:val="24"/>
                <w:szCs w:val="24"/>
                <w14:textFill>
                  <w14:solidFill>
                    <w14:schemeClr w14:val="tx1"/>
                  </w14:solidFill>
                </w14:textFill>
              </w:rPr>
            </w:pPr>
            <w:r>
              <w:rPr>
                <w:rFonts w:hint="eastAsia" w:ascii="Times New Roman" w:hAnsi="Times New Roman" w:eastAsia="宋体" w:cs="Times New Roman"/>
                <w:b w:val="0"/>
                <w:bCs w:val="0"/>
                <w:color w:val="000000" w:themeColor="text1"/>
                <w:sz w:val="24"/>
                <w:szCs w:val="24"/>
                <w14:textFill>
                  <w14:solidFill>
                    <w14:schemeClr w14:val="tx1"/>
                  </w14:solidFill>
                </w14:textFill>
              </w:rPr>
              <w:t>（3）剥离表土</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lang w:eastAsia="zh-CN"/>
                <w14:textFill>
                  <w14:solidFill>
                    <w14:schemeClr w14:val="tx1"/>
                  </w14:solidFill>
                </w14:textFill>
              </w:rPr>
            </w:pPr>
            <w:r>
              <w:rPr>
                <w:color w:val="000000" w:themeColor="text1"/>
                <w:sz w:val="24"/>
                <w:lang w:eastAsia="zh-CN"/>
                <w14:textFill>
                  <w14:solidFill>
                    <w14:schemeClr w14:val="tx1"/>
                  </w14:solidFill>
                </w14:textFill>
              </w:rPr>
              <w:t>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平整剥离表土，</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年预计</w:t>
            </w:r>
            <w:r>
              <w:rPr>
                <w:rFonts w:hint="eastAsia"/>
                <w:color w:val="000000" w:themeColor="text1"/>
                <w:sz w:val="24"/>
                <w:lang w:val="en-US" w:eastAsia="zh-CN"/>
                <w14:textFill>
                  <w14:solidFill>
                    <w14:schemeClr w14:val="tx1"/>
                  </w14:solidFill>
                </w14:textFill>
              </w:rPr>
              <w:t>布设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46</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color w:val="000000" w:themeColor="text1"/>
                <w:sz w:val="24"/>
                <w:lang w:eastAsia="zh-CN"/>
                <w14:textFill>
                  <w14:solidFill>
                    <w14:schemeClr w14:val="tx1"/>
                  </w14:solidFill>
                </w14:textFill>
              </w:rPr>
              <w:t>产生剥离表土共计约</w:t>
            </w:r>
            <w:r>
              <w:rPr>
                <w:rFonts w:hint="eastAsia"/>
                <w:color w:val="000000" w:themeColor="text1"/>
                <w:sz w:val="24"/>
                <w:lang w:val="en-US" w:eastAsia="zh-CN"/>
                <w14:textFill>
                  <w14:solidFill>
                    <w14:schemeClr w14:val="tx1"/>
                  </w14:solidFill>
                </w14:textFill>
              </w:rPr>
              <w:t>690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（剥离平均厚度约</w:t>
            </w:r>
            <w:r>
              <w:rPr>
                <w:color w:val="000000" w:themeColor="text1"/>
                <w:sz w:val="24"/>
                <w:lang w:eastAsia="zh-CN"/>
                <w14:textFill>
                  <w14:solidFill>
                    <w14:schemeClr w14:val="tx1"/>
                  </w14:solidFill>
                </w14:textFill>
              </w:rPr>
              <w:t>10cm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。表土就近堆放于钻孔平台附近，待封孔后用于植被恢复。</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238</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产生剥离表土共计约</w:t>
            </w:r>
            <w:r>
              <w:rPr>
                <w:rFonts w:hint="eastAsia"/>
                <w:color w:val="000000" w:themeColor="text1"/>
                <w:sz w:val="24"/>
                <w:lang w:val="en-US" w:eastAsia="zh-CN"/>
                <w14:textFill>
                  <w14:solidFill>
                    <w14:schemeClr w14:val="tx1"/>
                  </w14:solidFill>
                </w14:textFill>
              </w:rPr>
              <w:t>3570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（剥离平均厚度约</w:t>
            </w:r>
            <w:r>
              <w:rPr>
                <w:color w:val="000000" w:themeColor="text1"/>
                <w:sz w:val="24"/>
                <w:lang w:eastAsia="zh-CN"/>
                <w14:textFill>
                  <w14:solidFill>
                    <w14:schemeClr w14:val="tx1"/>
                  </w14:solidFill>
                </w14:textFill>
              </w:rPr>
              <w:t>10cm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。表土就近堆放于钻孔平台附近，待封孔后用于植被恢复。</w:t>
            </w:r>
          </w:p>
          <w:p>
            <w:pPr>
              <w:pStyle w:val="3"/>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（4）生活垃圾</w:t>
            </w:r>
          </w:p>
          <w:p>
            <w:pPr>
              <w:pStyle w:val="3"/>
              <w:keepNext/>
              <w:keepLines/>
              <w:pageBreakBefore w:val="0"/>
              <w:widowControl w:val="0"/>
              <w:kinsoku/>
              <w:wordWrap/>
              <w:overflowPunct/>
              <w:topLinePunct w:val="0"/>
              <w:autoSpaceDE/>
              <w:autoSpaceDN/>
              <w:bidi w:val="0"/>
              <w:adjustRightInd/>
              <w:snapToGrid/>
              <w:spacing w:before="0" w:after="0" w:line="360" w:lineRule="auto"/>
              <w:ind w:left="0" w:firstLine="480" w:firstLineChars="200"/>
              <w:jc w:val="both"/>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2022-2026年度勘查所需人员均为50人，生活垃圾产生量按每人0.5kg/d计，年工作200天，则2022-2026年生活垃圾产生量约25t（5t/a）。</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钻探勘查区生活垃圾</w:t>
            </w:r>
            <w:r>
              <w:rPr>
                <w:rFonts w:hint="eastAsia"/>
                <w:color w:val="000000" w:themeColor="text1"/>
                <w:sz w:val="24"/>
                <w14:textFill>
                  <w14:solidFill>
                    <w14:schemeClr w14:val="tx1"/>
                  </w14:solidFill>
                </w14:textFill>
              </w:rPr>
              <w:t>用垃圾袋带回项目部，</w:t>
            </w:r>
            <w:r>
              <w:rPr>
                <w:rFonts w:hint="eastAsia" w:ascii="宋体" w:hAnsi="宋体" w:cs="宋体"/>
                <w:color w:val="000000" w:themeColor="text1"/>
                <w:sz w:val="24"/>
                <w:szCs w:val="28"/>
                <w14:textFill>
                  <w14:solidFill>
                    <w14:schemeClr w14:val="tx1"/>
                  </w14:solidFill>
                </w14:textFill>
              </w:rPr>
              <w:t>项目部设垃圾桶进行收集，</w:t>
            </w:r>
            <w:r>
              <w:rPr>
                <w:color w:val="000000" w:themeColor="text1"/>
                <w:sz w:val="24"/>
                <w14:textFill>
                  <w14:solidFill>
                    <w14:schemeClr w14:val="tx1"/>
                  </w14:solidFill>
                </w14:textFill>
              </w:rPr>
              <w:t>定期</w:t>
            </w:r>
            <w:r>
              <w:rPr>
                <w:rFonts w:hint="eastAsia"/>
                <w:color w:val="000000" w:themeColor="text1"/>
                <w:sz w:val="24"/>
                <w14:textFill>
                  <w14:solidFill>
                    <w14:schemeClr w14:val="tx1"/>
                  </w14:solidFill>
                </w14:textFill>
              </w:rPr>
              <w:t>送往乡镇垃圾堆放点，</w:t>
            </w:r>
            <w:r>
              <w:rPr>
                <w:color w:val="000000" w:themeColor="text1"/>
                <w:sz w:val="24"/>
                <w14:textFill>
                  <w14:solidFill>
                    <w14:schemeClr w14:val="tx1"/>
                  </w14:solidFill>
                </w14:textFill>
              </w:rPr>
              <w:t>由当地环卫部门清理处置。</w:t>
            </w:r>
          </w:p>
          <w:p>
            <w:pPr>
              <w:pStyle w:val="3"/>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（5）废机油</w:t>
            </w:r>
          </w:p>
          <w:p>
            <w:pPr>
              <w:adjustRightInd w:val="0"/>
              <w:spacing w:line="360" w:lineRule="auto"/>
              <w:ind w:firstLine="480" w:firstLineChars="200"/>
              <w:contextualSpacing/>
              <w:rPr>
                <w:color w:val="000000" w:themeColor="text1"/>
                <w:sz w:val="24"/>
                <w14:textFill>
                  <w14:solidFill>
                    <w14:schemeClr w14:val="tx1"/>
                  </w14:solidFill>
                </w14:textFill>
              </w:rPr>
            </w:pPr>
            <w:r>
              <w:rPr>
                <w:color w:val="000000" w:themeColor="text1"/>
                <w:sz w:val="24"/>
                <w14:textFill>
                  <w14:solidFill>
                    <w14:schemeClr w14:val="tx1"/>
                  </w14:solidFill>
                </w14:textFill>
              </w:rPr>
              <w:t>工程钻机、柴油发电机等施工机械运转过程中，将产生少量的废机油</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根据类比估算，单个钻孔施工期间产生约4kg废机油，</w:t>
            </w:r>
            <w:r>
              <w:rPr>
                <w:rFonts w:hint="eastAsia"/>
                <w:color w:val="000000" w:themeColor="text1"/>
                <w:sz w:val="24"/>
                <w:szCs w:val="28"/>
                <w:lang w:eastAsia="zh-CN"/>
                <w14:textFill>
                  <w14:solidFill>
                    <w14:schemeClr w14:val="tx1"/>
                  </w14:solidFill>
                </w14:textFill>
              </w:rPr>
              <w:t>则202</w:t>
            </w:r>
            <w:r>
              <w:rPr>
                <w:rFonts w:hint="eastAsia"/>
                <w:color w:val="000000" w:themeColor="text1"/>
                <w:sz w:val="24"/>
                <w:szCs w:val="28"/>
                <w:lang w:val="en-US" w:eastAsia="zh-CN"/>
                <w14:textFill>
                  <w14:solidFill>
                    <w14:schemeClr w14:val="tx1"/>
                  </w14:solidFill>
                </w14:textFill>
              </w:rPr>
              <w:t>2</w:t>
            </w:r>
            <w:r>
              <w:rPr>
                <w:rFonts w:hint="eastAsia"/>
                <w:color w:val="000000" w:themeColor="text1"/>
                <w:sz w:val="24"/>
                <w:szCs w:val="28"/>
                <w:lang w:eastAsia="zh-CN"/>
                <w14:textFill>
                  <w14:solidFill>
                    <w14:schemeClr w14:val="tx1"/>
                  </w14:solidFill>
                </w14:textFill>
              </w:rPr>
              <w:t>年废机油产生量约</w:t>
            </w:r>
            <w:r>
              <w:rPr>
                <w:rFonts w:hint="eastAsia"/>
                <w:color w:val="000000" w:themeColor="text1"/>
                <w:sz w:val="24"/>
                <w:szCs w:val="28"/>
                <w:lang w:val="en-US" w:eastAsia="zh-CN"/>
                <w14:textFill>
                  <w14:solidFill>
                    <w14:schemeClr w14:val="tx1"/>
                  </w14:solidFill>
                </w14:textFill>
              </w:rPr>
              <w:t>0.184t</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2023-2026</w:t>
            </w:r>
            <w:r>
              <w:rPr>
                <w:rFonts w:hint="eastAsia"/>
                <w:color w:val="000000" w:themeColor="text1"/>
                <w:sz w:val="24"/>
                <w:szCs w:val="28"/>
                <w:lang w:eastAsia="zh-CN"/>
                <w14:textFill>
                  <w14:solidFill>
                    <w14:schemeClr w14:val="tx1"/>
                  </w14:solidFill>
                </w14:textFill>
              </w:rPr>
              <w:t>年废机油产生量约</w:t>
            </w:r>
            <w:r>
              <w:rPr>
                <w:rFonts w:hint="eastAsia"/>
                <w:color w:val="000000" w:themeColor="text1"/>
                <w:sz w:val="24"/>
                <w:szCs w:val="28"/>
                <w:lang w:val="en-US" w:eastAsia="zh-CN"/>
                <w14:textFill>
                  <w14:solidFill>
                    <w14:schemeClr w14:val="tx1"/>
                  </w14:solidFill>
                </w14:textFill>
              </w:rPr>
              <w:t>0.952t</w:t>
            </w:r>
            <w:r>
              <w:rPr>
                <w:rFonts w:hint="eastAsia"/>
                <w:color w:val="000000" w:themeColor="text1"/>
                <w:sz w:val="24"/>
                <w:szCs w:val="28"/>
                <w:lang w:eastAsia="zh-CN"/>
                <w14:textFill>
                  <w14:solidFill>
                    <w14:schemeClr w14:val="tx1"/>
                  </w14:solidFill>
                </w14:textFill>
              </w:rPr>
              <w:t>。</w:t>
            </w:r>
          </w:p>
          <w:p>
            <w:pPr>
              <w:spacing w:line="360" w:lineRule="auto"/>
              <w:ind w:firstLine="480" w:firstLineChars="200"/>
              <w:rPr>
                <w:color w:val="000000" w:themeColor="text1"/>
                <w:sz w:val="24"/>
                <w:szCs w:val="28"/>
                <w:lang w:eastAsia="zh-CN"/>
                <w14:textFill>
                  <w14:solidFill>
                    <w14:schemeClr w14:val="tx1"/>
                  </w14:solidFill>
                </w14:textFill>
              </w:rPr>
            </w:pPr>
            <w:r>
              <w:rPr>
                <w:rFonts w:hint="eastAsia"/>
                <w:color w:val="000000" w:themeColor="text1"/>
                <w:sz w:val="24"/>
                <w:szCs w:val="28"/>
                <w:lang w:eastAsia="zh-CN"/>
                <w14:textFill>
                  <w14:solidFill>
                    <w14:schemeClr w14:val="tx1"/>
                  </w14:solidFill>
                </w14:textFill>
              </w:rPr>
              <w:t>根据《国家危险废物名录(2021版)》，废机油属于危险废物类别中的废矿物油（HW08），废物代码为900-249-08。</w:t>
            </w:r>
            <w:r>
              <w:rPr>
                <w:rFonts w:hint="eastAsia"/>
                <w:color w:val="000000" w:themeColor="text1"/>
                <w:sz w:val="24"/>
                <w:szCs w:val="28"/>
                <w14:textFill>
                  <w14:solidFill>
                    <w14:schemeClr w14:val="tx1"/>
                  </w14:solidFill>
                </w14:textFill>
              </w:rPr>
              <w:t>废机油由专用桶收集，</w:t>
            </w:r>
            <w:bookmarkStart w:id="17" w:name="OLE_LINK22"/>
            <w:r>
              <w:rPr>
                <w:rFonts w:hint="eastAsia"/>
                <w:color w:val="000000" w:themeColor="text1"/>
                <w:sz w:val="24"/>
                <w:szCs w:val="28"/>
                <w14:textFill>
                  <w14:solidFill>
                    <w14:schemeClr w14:val="tx1"/>
                  </w14:solidFill>
                </w14:textFill>
              </w:rPr>
              <w:t>地面铺设防渗布，</w:t>
            </w:r>
            <w:bookmarkEnd w:id="17"/>
            <w:r>
              <w:rPr>
                <w:rFonts w:hint="eastAsia"/>
                <w:color w:val="000000" w:themeColor="text1"/>
                <w:sz w:val="24"/>
                <w:szCs w:val="28"/>
                <w14:textFill>
                  <w14:solidFill>
                    <w14:schemeClr w14:val="tx1"/>
                  </w14:solidFill>
                </w14:textFill>
              </w:rPr>
              <w:t>统一收集后交由有危废处理资质的单位处置。</w:t>
            </w:r>
          </w:p>
          <w:p>
            <w:pPr>
              <w:pStyle w:val="19"/>
              <w:spacing w:line="360" w:lineRule="auto"/>
              <w:ind w:firstLine="0" w:firstLine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5</w:t>
            </w:r>
            <w:r>
              <w:rPr>
                <w:rFonts w:hint="eastAsia"/>
                <w:b/>
                <w:bCs/>
                <w:color w:val="000000" w:themeColor="text1"/>
                <w:sz w:val="24"/>
                <w:lang w:eastAsia="zh-CN"/>
                <w14:textFill>
                  <w14:solidFill>
                    <w14:schemeClr w14:val="tx1"/>
                  </w14:solidFill>
                </w14:textFill>
              </w:rPr>
              <w:t>、</w:t>
            </w:r>
            <w:r>
              <w:rPr>
                <w:rFonts w:hint="eastAsia"/>
                <w:b/>
                <w:bCs/>
                <w:color w:val="000000" w:themeColor="text1"/>
                <w:sz w:val="24"/>
                <w14:textFill>
                  <w14:solidFill>
                    <w14:schemeClr w14:val="tx1"/>
                  </w14:solidFill>
                </w14:textFill>
              </w:rPr>
              <w:t>生态影响</w:t>
            </w:r>
          </w:p>
          <w:p>
            <w:pPr>
              <w:pStyle w:val="3"/>
              <w:spacing w:before="0" w:after="0" w:line="360" w:lineRule="auto"/>
              <w:ind w:firstLine="480" w:firstLineChars="200"/>
              <w:rPr>
                <w:rFonts w:ascii="Times New Roman" w:hAnsi="Times New Roman" w:eastAsia="宋体" w:cs="Times New Roman"/>
                <w:b w:val="0"/>
                <w:bCs w:val="0"/>
                <w:color w:val="000000" w:themeColor="text1"/>
                <w:sz w:val="24"/>
                <w:szCs w:val="24"/>
                <w14:textFill>
                  <w14:solidFill>
                    <w14:schemeClr w14:val="tx1"/>
                  </w14:solidFill>
                </w14:textFill>
              </w:rPr>
            </w:pPr>
            <w:r>
              <w:rPr>
                <w:rFonts w:ascii="Times New Roman" w:hAnsi="Times New Roman" w:eastAsia="宋体" w:cs="Times New Roman"/>
                <w:b w:val="0"/>
                <w:bCs w:val="0"/>
                <w:color w:val="000000" w:themeColor="text1"/>
                <w:sz w:val="24"/>
                <w:szCs w:val="24"/>
                <w14:textFill>
                  <w14:solidFill>
                    <w14:schemeClr w14:val="tx1"/>
                  </w14:solidFill>
                </w14:textFill>
              </w:rPr>
              <w:t>（1）占用土地、损坏植被</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平整钻孔场地占用土地和开挖将会对原地貌造成扰动，并破坏占地范围内的地表植被</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46</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共计占地约</w:t>
            </w:r>
            <w:r>
              <w:rPr>
                <w:rFonts w:hint="eastAsia"/>
                <w:color w:val="000000" w:themeColor="text1"/>
                <w:sz w:val="24"/>
                <w:lang w:val="en-US" w:eastAsia="zh-CN"/>
                <w14:textFill>
                  <w14:solidFill>
                    <w14:schemeClr w14:val="tx1"/>
                  </w14:solidFill>
                </w14:textFill>
              </w:rPr>
              <w:t>6900</w:t>
            </w:r>
            <w:r>
              <w:rPr>
                <w:color w:val="000000" w:themeColor="text1"/>
                <w:sz w:val="24"/>
                <w:lang w:eastAsia="zh-CN"/>
                <w14:textFill>
                  <w14:solidFill>
                    <w14:schemeClr w14:val="tx1"/>
                  </w14:solidFill>
                </w14:textFill>
              </w:rPr>
              <w:t>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238</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共计占地约</w:t>
            </w:r>
            <w:r>
              <w:rPr>
                <w:rFonts w:hint="eastAsia"/>
                <w:color w:val="000000" w:themeColor="text1"/>
                <w:sz w:val="24"/>
                <w:lang w:val="en-US" w:eastAsia="zh-CN"/>
                <w14:textFill>
                  <w14:solidFill>
                    <w14:schemeClr w14:val="tx1"/>
                  </w14:solidFill>
                </w14:textFill>
              </w:rPr>
              <w:t>35700</w:t>
            </w:r>
            <w:r>
              <w:rPr>
                <w:color w:val="000000" w:themeColor="text1"/>
                <w:sz w:val="24"/>
                <w:lang w:eastAsia="zh-CN"/>
                <w14:textFill>
                  <w14:solidFill>
                    <w14:schemeClr w14:val="tx1"/>
                  </w14:solidFill>
                </w14:textFill>
              </w:rPr>
              <w:t>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color w:val="000000" w:themeColor="text1"/>
                <w:sz w:val="24"/>
                <w14:textFill>
                  <w14:solidFill>
                    <w14:schemeClr w14:val="tx1"/>
                  </w14:solidFill>
                </w14:textFill>
              </w:rPr>
              <w:t>均为临时占地，</w:t>
            </w:r>
            <w:r>
              <w:rPr>
                <w:rFonts w:hint="eastAsia"/>
                <w:color w:val="000000" w:themeColor="text1"/>
                <w:sz w:val="24"/>
                <w14:textFill>
                  <w14:solidFill>
                    <w14:schemeClr w14:val="tx1"/>
                  </w14:solidFill>
                </w14:textFill>
              </w:rPr>
              <w:t>待封孔后进行植被恢复</w:t>
            </w:r>
            <w:r>
              <w:rPr>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（2）野生动物的影响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机械设备噪声、人员活动等将会对周围局部范围内野生动物的活动和栖息产生一定影响。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（3）景观影响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地面设施、弃渣堆放等会改变占地范围内形成新的人工堆积地貌，对局部自然景观会造成影响。</w:t>
            </w:r>
          </w:p>
          <w:p>
            <w:pPr>
              <w:pStyle w:val="19"/>
              <w:spacing w:line="360" w:lineRule="auto"/>
              <w:ind w:firstLine="0" w:firstLineChars="0"/>
              <w:rPr>
                <w:rFonts w:hint="default"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6</w:t>
            </w:r>
            <w:r>
              <w:rPr>
                <w:rFonts w:hint="eastAsia"/>
                <w:b/>
                <w:bCs/>
                <w:color w:val="000000" w:themeColor="text1"/>
                <w:sz w:val="24"/>
                <w:lang w:eastAsia="zh-CN"/>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放射性废物</w:t>
            </w:r>
          </w:p>
          <w:p>
            <w:pPr>
              <w:spacing w:line="360" w:lineRule="auto"/>
              <w:ind w:firstLine="480" w:firstLineChars="200"/>
              <w:jc w:val="both"/>
              <w:rPr>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t>项目勘查过程辐射影响主要为岩芯、泥浆中γ放射性射线污染，主要影响为污染源项附近公众因γ辐射造成的外照射剂量、施工过程人体吸入扬尘产生的内照射剂量。因矿中天然铀含量很低，施工过程通过加强施工工作人员卫生防护措施，施工期合理处置泥浆、岩芯等污染，施工期产生的放射性辐射影响较小。</w:t>
            </w:r>
          </w:p>
          <w:p>
            <w:pPr>
              <w:pStyle w:val="2"/>
              <w:spacing w:line="360" w:lineRule="auto"/>
              <w:ind w:firstLine="480" w:firstLineChars="200"/>
              <w:rPr>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本项目钻井液主要成分为膨润土、腐殖酸钾、纤维素，在钻探过程中，钻井液不与钻孔中含矿层发生化学反应，含矿层中放射性核素不会转移至钻井泥浆中，钻井泥浆中放射性核素U</w:t>
            </w:r>
            <w:r>
              <w:rPr>
                <w:rFonts w:ascii="Times New Roman" w:hAnsi="Times New Roman" w:cs="Times New Roman"/>
                <w:color w:val="000000" w:themeColor="text1"/>
                <w:sz w:val="24"/>
                <w:vertAlign w:val="subscript"/>
                <w:lang w:eastAsia="zh-CN"/>
                <w14:textFill>
                  <w14:solidFill>
                    <w14:schemeClr w14:val="tx1"/>
                  </w14:solidFill>
                </w14:textFill>
              </w:rPr>
              <w:t>天然</w:t>
            </w:r>
            <w:r>
              <w:rPr>
                <w:rFonts w:ascii="Times New Roman" w:hAnsi="Times New Roman" w:cs="Times New Roman"/>
                <w:color w:val="000000" w:themeColor="text1"/>
                <w:sz w:val="24"/>
                <w:lang w:eastAsia="zh-CN"/>
                <w14:textFill>
                  <w14:solidFill>
                    <w14:schemeClr w14:val="tx1"/>
                  </w14:solidFill>
                </w14:textFill>
              </w:rPr>
              <w:t>、</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Ra为环境本底水平。为了验证钻井泥浆放射性水平，本次选择内蒙、甘肃、青海、宁夏、新疆、陕西6个省份现有</w:t>
            </w:r>
            <w:r>
              <w:rPr>
                <w:rFonts w:hint="eastAsia" w:ascii="Times New Roman" w:hAnsi="Times New Roman" w:cs="Times New Roman"/>
                <w:color w:val="000000" w:themeColor="text1"/>
                <w:sz w:val="24"/>
                <w:lang w:eastAsia="zh-CN"/>
                <w14:textFill>
                  <w14:solidFill>
                    <w14:schemeClr w14:val="tx1"/>
                  </w14:solidFill>
                </w14:textFill>
              </w:rPr>
              <w:t>勘查区</w:t>
            </w:r>
            <w:r>
              <w:rPr>
                <w:rFonts w:ascii="Times New Roman" w:hAnsi="Times New Roman" w:cs="Times New Roman"/>
                <w:color w:val="000000" w:themeColor="text1"/>
                <w:sz w:val="24"/>
                <w:lang w:eastAsia="zh-CN"/>
                <w14:textFill>
                  <w14:solidFill>
                    <w14:schemeClr w14:val="tx1"/>
                  </w14:solidFill>
                </w14:textFill>
              </w:rPr>
              <w:t>内的泥浆样品进行分析类比，其勘查区铀矿品位与本项目相差不大，同为砂岩性铀矿，钻井液成分类似，具有较好的可行性。2022年1月，核工业二〇三研究所分析测试中心对上述6省现有</w:t>
            </w:r>
            <w:r>
              <w:rPr>
                <w:rFonts w:hint="eastAsia" w:cs="Times New Roman"/>
                <w:color w:val="000000" w:themeColor="text1"/>
                <w:sz w:val="24"/>
                <w:lang w:val="en-US" w:eastAsia="zh-CN"/>
                <w14:textFill>
                  <w14:solidFill>
                    <w14:schemeClr w14:val="tx1"/>
                  </w14:solidFill>
                </w14:textFill>
              </w:rPr>
              <w:t>勘查区</w:t>
            </w:r>
            <w:r>
              <w:rPr>
                <w:rFonts w:ascii="Times New Roman" w:hAnsi="Times New Roman" w:cs="Times New Roman"/>
                <w:color w:val="000000" w:themeColor="text1"/>
                <w:sz w:val="24"/>
                <w:lang w:eastAsia="zh-CN"/>
                <w14:textFill>
                  <w14:solidFill>
                    <w14:schemeClr w14:val="tx1"/>
                  </w14:solidFill>
                </w14:textFill>
              </w:rPr>
              <w:t>产生的钻井泥浆进行了取样分析，分析检测结果为：泥浆中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U含量为35.6~97.7Bq/kg，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Ra含量为37.6~62.2Bq/kg。各铀矿地质勘查区钻井泥浆中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Ra含量检测结果均处于其所在省份土壤环境本底值（内蒙：</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U：4.50~87.26Bq/kg、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Ra：7.00~88.32Bq/kg；甘肃：</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U：17.8~200Bq/kg、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Ra：14.4~65.3Bq/kg；青海：</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U：11.9~135.9Bq/kg、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Ra：14.4~107.8Bq/kg；宁夏：</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U：10.2~49.9Bq/kg、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Ra：6.4~72.3Bq/kg；新疆：</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U：5.17~153.7Bq/kg、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Ra：10.93~203.4Bq/kg；陕西：</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U：6.0~163.7Bq/kg、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Ra：5.0~187.7Bq/kg；）范围内。由此可以类比，本项目钻井泥浆中放射性核素</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Ra含量与项目所在地土壤天然环境本底水平调查值处于同一水平。由类比监测结果可知：本项目钻探期间产生钻井泥浆中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Ra为当地环境本底水平，其放射性核素</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Ra含量小于《可免于辐射防护监管的物料中放射性核素活度浓度》（GB27742-2011）规定免管浓度1Bq/g，可作一般固体废物处理。</w:t>
            </w:r>
          </w:p>
          <w:p>
            <w:pPr>
              <w:rPr>
                <w:color w:val="000000" w:themeColor="text1"/>
                <w:sz w:val="24"/>
                <w:lang w:eastAsia="zh-CN"/>
                <w14:textFill>
                  <w14:solidFill>
                    <w14:schemeClr w14:val="tx1"/>
                  </w14:solidFill>
                </w14:textFill>
              </w:rPr>
            </w:pPr>
          </w:p>
          <w:p>
            <w:pPr>
              <w:pStyle w:val="2"/>
              <w:rPr>
                <w:color w:val="000000" w:themeColor="text1"/>
                <w:lang w:eastAsia="zh-CN"/>
                <w14:textFill>
                  <w14:solidFill>
                    <w14:schemeClr w14:val="tx1"/>
                  </w14:solidFill>
                </w14:textFill>
              </w:rPr>
            </w:pPr>
          </w:p>
          <w:p>
            <w:pPr>
              <w:rPr>
                <w:color w:val="000000" w:themeColor="text1"/>
                <w:lang w:eastAsia="zh-CN"/>
                <w14:textFill>
                  <w14:solidFill>
                    <w14:schemeClr w14:val="tx1"/>
                  </w14:solidFill>
                </w14:textFill>
              </w:rPr>
            </w:pPr>
          </w:p>
          <w:p>
            <w:pPr>
              <w:pStyle w:val="2"/>
              <w:rPr>
                <w:color w:val="000000" w:themeColor="text1"/>
                <w:lang w:eastAsia="zh-CN"/>
                <w14:textFill>
                  <w14:solidFill>
                    <w14:schemeClr w14:val="tx1"/>
                  </w14:solidFill>
                </w14:textFill>
              </w:rPr>
            </w:pPr>
          </w:p>
          <w:p>
            <w:pPr>
              <w:rPr>
                <w:color w:val="000000" w:themeColor="text1"/>
                <w:lang w:eastAsia="zh-CN"/>
                <w14:textFill>
                  <w14:solidFill>
                    <w14:schemeClr w14:val="tx1"/>
                  </w14:solidFill>
                </w14:textFill>
              </w:rPr>
            </w:pPr>
          </w:p>
          <w:p>
            <w:pPr>
              <w:pStyle w:val="2"/>
              <w:rPr>
                <w:color w:val="000000" w:themeColor="text1"/>
                <w:lang w:eastAsia="zh-CN"/>
                <w14:textFill>
                  <w14:solidFill>
                    <w14:schemeClr w14:val="tx1"/>
                  </w14:solidFill>
                </w14:textFill>
              </w:rPr>
            </w:pPr>
          </w:p>
          <w:p>
            <w:pPr>
              <w:rPr>
                <w:color w:val="000000" w:themeColor="text1"/>
                <w:lang w:eastAsia="zh-CN"/>
                <w14:textFill>
                  <w14:solidFill>
                    <w14:schemeClr w14:val="tx1"/>
                  </w14:solidFill>
                </w14:textFill>
              </w:rPr>
            </w:pPr>
          </w:p>
          <w:p>
            <w:pPr>
              <w:pStyle w:val="2"/>
              <w:rPr>
                <w:color w:val="000000" w:themeColor="text1"/>
                <w:lang w:eastAsia="zh-CN"/>
                <w14:textFill>
                  <w14:solidFill>
                    <w14:schemeClr w14:val="tx1"/>
                  </w14:solidFill>
                </w14:textFill>
              </w:rPr>
            </w:pPr>
          </w:p>
          <w:p>
            <w:pPr>
              <w:rPr>
                <w:color w:val="000000" w:themeColor="text1"/>
                <w:lang w:eastAsia="zh-CN"/>
                <w14:textFill>
                  <w14:solidFill>
                    <w14:schemeClr w14:val="tx1"/>
                  </w14:solidFill>
                </w14:textFill>
              </w:rPr>
            </w:pPr>
          </w:p>
          <w:p>
            <w:pPr>
              <w:pStyle w:val="2"/>
              <w:rPr>
                <w:color w:val="000000" w:themeColor="text1"/>
                <w:lang w:eastAsia="zh-CN"/>
                <w14:textFill>
                  <w14:solidFill>
                    <w14:schemeClr w14:val="tx1"/>
                  </w14:solidFill>
                </w14:textFill>
              </w:rPr>
            </w:pPr>
          </w:p>
          <w:p>
            <w:pPr>
              <w:rPr>
                <w:color w:val="000000" w:themeColor="text1"/>
                <w:lang w:eastAsia="zh-CN"/>
                <w14:textFill>
                  <w14:solidFill>
                    <w14:schemeClr w14:val="tx1"/>
                  </w14:solidFill>
                </w14:textFill>
              </w:rPr>
            </w:pPr>
          </w:p>
          <w:p>
            <w:pPr>
              <w:pStyle w:val="2"/>
              <w:rPr>
                <w:color w:val="000000" w:themeColor="text1"/>
                <w:lang w:eastAsia="zh-CN"/>
                <w14:textFill>
                  <w14:solidFill>
                    <w14:schemeClr w14:val="tx1"/>
                  </w14:solidFill>
                </w14:textFill>
              </w:rPr>
            </w:pPr>
          </w:p>
          <w:p>
            <w:pPr>
              <w:spacing w:line="360" w:lineRule="auto"/>
              <w:rPr>
                <w:rFonts w:eastAsia="黑体"/>
                <w:color w:val="000000" w:themeColor="text1"/>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18" w:name="_Toc3795902"/>
      <w:r>
        <w:rPr>
          <w:rFonts w:hint="eastAsia" w:eastAsia="黑体"/>
          <w:color w:val="000000" w:themeColor="text1"/>
          <w:sz w:val="32"/>
          <w14:textFill>
            <w14:solidFill>
              <w14:schemeClr w14:val="tx1"/>
            </w14:solidFill>
          </w14:textFill>
        </w:rPr>
        <w:t>七、</w:t>
      </w:r>
      <w:r>
        <w:rPr>
          <w:rFonts w:eastAsia="黑体"/>
          <w:color w:val="000000" w:themeColor="text1"/>
          <w:sz w:val="32"/>
          <w14:textFill>
            <w14:solidFill>
              <w14:schemeClr w14:val="tx1"/>
            </w14:solidFill>
          </w14:textFill>
        </w:rPr>
        <w:t>项目主</w:t>
      </w:r>
      <w:bookmarkEnd w:id="18"/>
      <w:r>
        <w:rPr>
          <w:rFonts w:eastAsia="黑体"/>
          <w:color w:val="000000" w:themeColor="text1"/>
          <w:sz w:val="32"/>
          <w14:textFill>
            <w14:solidFill>
              <w14:schemeClr w14:val="tx1"/>
            </w14:solidFill>
          </w14:textFill>
        </w:rPr>
        <w:t>要污染物产生及预计排放情况</w:t>
      </w:r>
    </w:p>
    <w:tbl>
      <w:tblPr>
        <w:tblStyle w:val="12"/>
        <w:tblW w:w="490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76"/>
        <w:gridCol w:w="1582"/>
        <w:gridCol w:w="1334"/>
        <w:gridCol w:w="2681"/>
        <w:gridCol w:w="34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tcBorders>
              <w:tl2br w:val="nil"/>
              <w:tr2bl w:val="nil"/>
            </w:tcBorders>
            <w:vAlign w:val="center"/>
          </w:tcPr>
          <w:p>
            <w:pPr>
              <w:jc w:val="right"/>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内容</w:t>
            </w:r>
          </w:p>
          <w:p>
            <w:pPr>
              <w:ind w:left="-210" w:leftChars="-100"/>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类型</w:t>
            </w:r>
          </w:p>
        </w:tc>
        <w:tc>
          <w:tcPr>
            <w:tcW w:w="809"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排放源</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(编号)</w:t>
            </w:r>
          </w:p>
        </w:tc>
        <w:tc>
          <w:tcPr>
            <w:tcW w:w="682"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污染物</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名称</w:t>
            </w:r>
          </w:p>
        </w:tc>
        <w:tc>
          <w:tcPr>
            <w:tcW w:w="1371"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处理前产生浓度及产生量</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（单位）</w:t>
            </w:r>
          </w:p>
        </w:tc>
        <w:tc>
          <w:tcPr>
            <w:tcW w:w="1738"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排放浓度及排放量</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（单位）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气</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物</w:t>
            </w:r>
          </w:p>
        </w:tc>
        <w:tc>
          <w:tcPr>
            <w:tcW w:w="809"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施工</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w:t>
            </w:r>
          </w:p>
        </w:tc>
        <w:tc>
          <w:tcPr>
            <w:tcW w:w="137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6.67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，0.45</w:t>
            </w:r>
            <w:r>
              <w:rPr>
                <w:rFonts w:hint="eastAsia"/>
                <w:color w:val="000000" w:themeColor="text1"/>
                <w:szCs w:val="21"/>
                <w:lang w:val="en-US" w:eastAsia="zh-CN"/>
                <w14:textFill>
                  <w14:solidFill>
                    <w14:schemeClr w14:val="tx1"/>
                  </w14:solidFill>
                </w14:textFill>
              </w:rPr>
              <w:t>2</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6.67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，0.45</w:t>
            </w:r>
            <w:r>
              <w:rPr>
                <w:rFonts w:hint="eastAsia"/>
                <w:color w:val="000000" w:themeColor="text1"/>
                <w:szCs w:val="21"/>
                <w:lang w:val="en-US" w:eastAsia="zh-CN"/>
                <w14:textFill>
                  <w14:solidFill>
                    <w14:schemeClr w14:val="tx1"/>
                  </w14:solidFill>
                </w14:textFill>
              </w:rPr>
              <w:t>2</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X</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41.67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，1.62</w:t>
            </w:r>
            <w:r>
              <w:rPr>
                <w:rFonts w:hint="eastAsia"/>
                <w:color w:val="000000" w:themeColor="text1"/>
                <w:szCs w:val="21"/>
                <w:lang w:val="en-US" w:eastAsia="zh-CN"/>
                <w14:textFill>
                  <w14:solidFill>
                    <w14:schemeClr w14:val="tx1"/>
                  </w14:solidFill>
                </w14:textFill>
              </w:rPr>
              <w:t>2</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41.67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，1.62</w:t>
            </w:r>
            <w:r>
              <w:rPr>
                <w:rFonts w:hint="eastAsia"/>
                <w:color w:val="000000" w:themeColor="text1"/>
                <w:szCs w:val="21"/>
                <w:lang w:val="en-US" w:eastAsia="zh-CN"/>
                <w14:textFill>
                  <w14:solidFill>
                    <w14:schemeClr w14:val="tx1"/>
                  </w14:solidFill>
                </w14:textFill>
              </w:rPr>
              <w:t>2</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11.11</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，2.534t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11.11</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，2.534t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，0.95</w:t>
            </w:r>
            <w:r>
              <w:rPr>
                <w:rFonts w:hint="eastAsia"/>
                <w:color w:val="000000" w:themeColor="text1"/>
                <w:szCs w:val="21"/>
                <w:lang w:val="en-US" w:eastAsia="zh-CN"/>
                <w14:textFill>
                  <w14:solidFill>
                    <w14:schemeClr w14:val="tx1"/>
                  </w14:solidFill>
                </w14:textFill>
              </w:rPr>
              <w:t>0</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，0.95</w:t>
            </w:r>
            <w:r>
              <w:rPr>
                <w:rFonts w:hint="eastAsia"/>
                <w:color w:val="000000" w:themeColor="text1"/>
                <w:szCs w:val="21"/>
                <w:lang w:val="en-US" w:eastAsia="zh-CN"/>
                <w14:textFill>
                  <w14:solidFill>
                    <w14:schemeClr w14:val="tx1"/>
                  </w14:solidFill>
                </w14:textFill>
              </w:rPr>
              <w:t>0</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总烃</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，0.943t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，0.943t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钻探平整场地</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扬尘</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无组织排放，</w:t>
            </w:r>
            <w:r>
              <w:rPr>
                <w:color w:val="000000" w:themeColor="text1"/>
                <w:szCs w:val="21"/>
                <w14:textFill>
                  <w14:solidFill>
                    <w14:schemeClr w14:val="tx1"/>
                  </w14:solidFill>
                </w14:textFill>
              </w:rPr>
              <w:t>少量</w:t>
            </w:r>
          </w:p>
        </w:tc>
        <w:tc>
          <w:tcPr>
            <w:tcW w:w="1738"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洒水抑尘，达标排放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水</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物</w:t>
            </w:r>
          </w:p>
        </w:tc>
        <w:tc>
          <w:tcPr>
            <w:tcW w:w="809"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生活污水</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COD</w:t>
            </w:r>
          </w:p>
        </w:tc>
        <w:tc>
          <w:tcPr>
            <w:tcW w:w="137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350mg/L，</w:t>
            </w:r>
            <w:r>
              <w:rPr>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56</w:t>
            </w:r>
            <w:r>
              <w:rPr>
                <w:rFonts w:hint="eastAsia"/>
                <w:color w:val="000000" w:themeColor="text1"/>
                <w:szCs w:val="21"/>
                <w14:textFill>
                  <w14:solidFill>
                    <w14:schemeClr w14:val="tx1"/>
                  </w14:solidFill>
                </w14:textFill>
              </w:rPr>
              <w:t>t</w:t>
            </w:r>
          </w:p>
        </w:tc>
        <w:tc>
          <w:tcPr>
            <w:tcW w:w="3406" w:type="dxa"/>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生活污水主要为盥洗水，沉淀处理后用于</w:t>
            </w:r>
            <w:r>
              <w:rPr>
                <w:rFonts w:hint="eastAsia" w:ascii="Times New Roman" w:cs="Times New Roman"/>
                <w:color w:val="000000" w:themeColor="text1"/>
                <w:sz w:val="21"/>
                <w:szCs w:val="21"/>
                <w:lang w:eastAsia="zh-CN"/>
                <w14:textFill>
                  <w14:solidFill>
                    <w14:schemeClr w14:val="tx1"/>
                  </w14:solidFill>
                </w14:textFill>
              </w:rPr>
              <w:t>防尘洒水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BOD</w:t>
            </w:r>
            <w:r>
              <w:rPr>
                <w:color w:val="000000" w:themeColor="text1"/>
                <w:szCs w:val="21"/>
                <w:vertAlign w:val="subscript"/>
                <w14:textFill>
                  <w14:solidFill>
                    <w14:schemeClr w14:val="tx1"/>
                  </w14:solidFill>
                </w14:textFill>
              </w:rPr>
              <w:t>5</w:t>
            </w:r>
          </w:p>
        </w:tc>
        <w:tc>
          <w:tcPr>
            <w:tcW w:w="137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250mg/L，</w:t>
            </w:r>
            <w:r>
              <w:rPr>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40</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氨氮</w:t>
            </w:r>
          </w:p>
        </w:tc>
        <w:tc>
          <w:tcPr>
            <w:tcW w:w="137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30mg/L，</w:t>
            </w:r>
            <w:r>
              <w:rPr>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048</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SS</w:t>
            </w:r>
          </w:p>
        </w:tc>
        <w:tc>
          <w:tcPr>
            <w:tcW w:w="137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150mg/L，</w:t>
            </w:r>
            <w:r>
              <w:rPr>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24</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生产废水</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SS</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1500mg/L</w:t>
            </w:r>
            <w:r>
              <w:rPr>
                <w:rFonts w:hint="eastAsia"/>
                <w:color w:val="000000" w:themeColor="text1"/>
                <w:szCs w:val="21"/>
                <w14:textFill>
                  <w14:solidFill>
                    <w14:schemeClr w14:val="tx1"/>
                  </w14:solidFill>
                </w14:textFill>
              </w:rPr>
              <w:t>，3.28</w:t>
            </w:r>
            <w:r>
              <w:rPr>
                <w:color w:val="000000" w:themeColor="text1"/>
                <w:szCs w:val="21"/>
                <w14:textFill>
                  <w14:solidFill>
                    <w14:schemeClr w14:val="tx1"/>
                  </w14:solidFill>
                </w14:textFill>
              </w:rPr>
              <w:t>t</w:t>
            </w:r>
          </w:p>
        </w:tc>
        <w:tc>
          <w:tcPr>
            <w:tcW w:w="3406" w:type="dxa"/>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rFonts w:hint="eastAsia" w:ascii="Times New Roman" w:cs="Times New Roman"/>
                <w:color w:val="000000" w:themeColor="text1"/>
                <w:sz w:val="21"/>
                <w:szCs w:val="21"/>
                <w:lang w:eastAsia="zh-CN"/>
                <w14:textFill>
                  <w14:solidFill>
                    <w14:schemeClr w14:val="tx1"/>
                  </w14:solidFill>
                </w14:textFill>
              </w:rPr>
              <w:t>钻井</w:t>
            </w:r>
            <w:r>
              <w:rPr>
                <w:rFonts w:ascii="Times New Roman" w:cs="Times New Roman"/>
                <w:color w:val="000000" w:themeColor="text1"/>
                <w:sz w:val="21"/>
                <w:szCs w:val="21"/>
                <w:lang w:eastAsia="zh-CN"/>
                <w14:textFill>
                  <w14:solidFill>
                    <w14:schemeClr w14:val="tx1"/>
                  </w14:solidFill>
                </w14:textFill>
              </w:rPr>
              <w:t>泥浆池中的上清液循环使用，</w:t>
            </w:r>
            <w:r>
              <w:rPr>
                <w:rFonts w:hint="eastAsia" w:ascii="Times New Roman" w:cs="Times New Roman"/>
                <w:color w:val="000000" w:themeColor="text1"/>
                <w:sz w:val="21"/>
                <w:szCs w:val="21"/>
                <w:lang w:eastAsia="zh-CN"/>
                <w14:textFill>
                  <w14:solidFill>
                    <w14:schemeClr w14:val="tx1"/>
                  </w14:solidFill>
                </w14:textFill>
              </w:rPr>
              <w:t>过程需补充一定消耗水量，</w:t>
            </w:r>
            <w:r>
              <w:rPr>
                <w:rFonts w:ascii="Times New Roman" w:cs="Times New Roman"/>
                <w:color w:val="000000" w:themeColor="text1"/>
                <w:sz w:val="21"/>
                <w:szCs w:val="21"/>
                <w:lang w:eastAsia="zh-CN"/>
                <w14:textFill>
                  <w14:solidFill>
                    <w14:schemeClr w14:val="tx1"/>
                  </w14:solidFill>
                </w14:textFill>
              </w:rPr>
              <w:t>废水全部循环</w:t>
            </w:r>
            <w:r>
              <w:rPr>
                <w:rFonts w:hint="eastAsia" w:ascii="Times New Roman" w:cs="Times New Roman"/>
                <w:color w:val="000000" w:themeColor="text1"/>
                <w:sz w:val="21"/>
                <w:szCs w:val="21"/>
                <w:lang w:eastAsia="zh-CN"/>
                <w14:textFill>
                  <w14:solidFill>
                    <w14:schemeClr w14:val="tx1"/>
                  </w14:solidFill>
                </w14:textFill>
              </w:rPr>
              <w:t>，不外排。设备冲洗废水</w:t>
            </w:r>
            <w:r>
              <w:rPr>
                <w:rFonts w:ascii="Times New Roman" w:cs="Times New Roman"/>
                <w:color w:val="000000" w:themeColor="text1"/>
                <w:sz w:val="21"/>
                <w:szCs w:val="21"/>
                <w:lang w:eastAsia="zh-CN"/>
                <w14:textFill>
                  <w14:solidFill>
                    <w14:schemeClr w14:val="tx1"/>
                  </w14:solidFill>
                </w14:textFill>
              </w:rPr>
              <w:t>进入泥浆池沉淀自然干化，不外排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废物</w:t>
            </w:r>
          </w:p>
        </w:tc>
        <w:tc>
          <w:tcPr>
            <w:tcW w:w="1584" w:type="dxa"/>
            <w:vMerge w:val="restar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钻孔施工</w:t>
            </w: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927.08t</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进入防渗泥浆池，钻孔完毕干化处理后填埋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岩芯</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686.4t</w:t>
            </w:r>
          </w:p>
        </w:tc>
        <w:tc>
          <w:tcPr>
            <w:tcW w:w="3400" w:type="dxa"/>
            <w:tcBorders>
              <w:tl2br w:val="nil"/>
              <w:tr2bl w:val="nil"/>
            </w:tcBorders>
            <w:vAlign w:val="center"/>
          </w:tcPr>
          <w:p>
            <w:pPr>
              <w:autoSpaceDE/>
              <w:autoSpaceDN/>
              <w:spacing w:line="280" w:lineRule="exact"/>
              <w:jc w:val="center"/>
              <w:rPr>
                <w:rFonts w:hint="eastAsia"/>
                <w:color w:val="000000" w:themeColor="text1"/>
                <w:szCs w:val="21"/>
                <w:lang w:eastAsia="zh-CN"/>
                <w14:textFill>
                  <w14:solidFill>
                    <w14:schemeClr w14:val="tx1"/>
                  </w14:solidFill>
                </w14:textFill>
              </w:rPr>
            </w:pPr>
            <w:r>
              <w:rPr>
                <w:rFonts w:hint="eastAsia"/>
                <w:color w:val="000000" w:themeColor="text1"/>
                <w:szCs w:val="21"/>
                <w:lang w:eastAsia="zh-CN"/>
                <w14:textFill>
                  <w14:solidFill>
                    <w14:schemeClr w14:val="tx1"/>
                  </w14:solidFill>
                </w14:textFill>
              </w:rPr>
              <w:t>矿段岩芯放置在岩芯库内，后期带回分析、化验；非矿段岩芯放置在</w:t>
            </w:r>
          </w:p>
          <w:p>
            <w:pPr>
              <w:adjustRightInd w:val="0"/>
              <w:snapToGrid w:val="0"/>
              <w:jc w:val="left"/>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岩芯池内，就地填埋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剥离表土</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r>
              <w:rPr>
                <w:rFonts w:hint="eastAsia"/>
                <w:color w:val="000000" w:themeColor="text1"/>
                <w:szCs w:val="21"/>
                <w:lang w:val="en-US" w:eastAsia="zh-CN"/>
                <w14:textFill>
                  <w14:solidFill>
                    <w14:schemeClr w14:val="tx1"/>
                  </w14:solidFill>
                </w14:textFill>
              </w:rPr>
              <w:t>2</w:t>
            </w:r>
            <w:r>
              <w:rPr>
                <w:rFonts w:hint="eastAsia"/>
                <w:color w:val="000000" w:themeColor="text1"/>
                <w:szCs w:val="21"/>
                <w14:textFill>
                  <w14:solidFill>
                    <w14:schemeClr w14:val="tx1"/>
                  </w14:solidFill>
                </w14:textFill>
              </w:rPr>
              <w:t>60m</w:t>
            </w:r>
            <w:r>
              <w:rPr>
                <w:rFonts w:hint="eastAsia"/>
                <w:color w:val="000000" w:themeColor="text1"/>
                <w:szCs w:val="21"/>
                <w:vertAlign w:val="superscript"/>
                <w14:textFill>
                  <w14:solidFill>
                    <w14:schemeClr w14:val="tx1"/>
                  </w14:solidFill>
                </w14:textFill>
              </w:rPr>
              <w:t>3</w:t>
            </w:r>
          </w:p>
        </w:tc>
        <w:tc>
          <w:tcPr>
            <w:tcW w:w="3400" w:type="dxa"/>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表土就近堆放于钻孔平台附近，待封孔后用于植被恢复，平整场地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废机油</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1.136t</w:t>
            </w:r>
          </w:p>
        </w:tc>
        <w:tc>
          <w:tcPr>
            <w:tcW w:w="3400" w:type="dxa"/>
            <w:tcBorders>
              <w:tl2br w:val="nil"/>
              <w:tr2bl w:val="nil"/>
            </w:tcBorders>
            <w:vAlign w:val="center"/>
          </w:tcPr>
          <w:p>
            <w:pPr>
              <w:autoSpaceDE/>
              <w:autoSpaceDN/>
              <w:adjustRightInd w:val="0"/>
              <w:snapToGrid w:val="0"/>
              <w:jc w:val="center"/>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建设单位收集后交有资质单位处置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584" w:type="dxa"/>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w:t>
            </w:r>
            <w:r>
              <w:rPr>
                <w:rFonts w:hint="eastAsia" w:cs="宋体"/>
                <w:color w:val="000000" w:themeColor="text1"/>
                <w:szCs w:val="21"/>
                <w14:textFill>
                  <w14:solidFill>
                    <w14:schemeClr w14:val="tx1"/>
                  </w14:solidFill>
                </w14:textFill>
              </w:rPr>
              <w:t>人员</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生活垃圾</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25</w:t>
            </w:r>
            <w:r>
              <w:rPr>
                <w:rFonts w:hint="eastAsia"/>
                <w:color w:val="000000" w:themeColor="text1"/>
                <w:szCs w:val="21"/>
                <w14:textFill>
                  <w14:solidFill>
                    <w14:schemeClr w14:val="tx1"/>
                  </w14:solidFill>
                </w14:textFill>
              </w:rPr>
              <w:t>t</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钻探</w:t>
            </w:r>
            <w:r>
              <w:rPr>
                <w:rFonts w:hint="eastAsia" w:ascii="Times New Roman" w:cs="Times New Roman"/>
                <w:color w:val="000000" w:themeColor="text1"/>
                <w:sz w:val="21"/>
                <w:szCs w:val="21"/>
                <w:lang w:eastAsia="zh-CN"/>
                <w14:textFill>
                  <w14:solidFill>
                    <w14:schemeClr w14:val="tx1"/>
                  </w14:solidFill>
                </w14:textFill>
              </w:rPr>
              <w:t>勘查区</w:t>
            </w:r>
            <w:r>
              <w:rPr>
                <w:rFonts w:ascii="Times New Roman" w:cs="Times New Roman"/>
                <w:color w:val="000000" w:themeColor="text1"/>
                <w:sz w:val="21"/>
                <w:szCs w:val="21"/>
                <w:lang w:eastAsia="zh-CN"/>
                <w14:textFill>
                  <w14:solidFill>
                    <w14:schemeClr w14:val="tx1"/>
                  </w14:solidFill>
                </w14:textFill>
              </w:rPr>
              <w:t>生活垃圾用垃圾袋带回</w:t>
            </w:r>
            <w:r>
              <w:rPr>
                <w:rFonts w:hint="eastAsia" w:ascii="Times New Roman" w:cs="Times New Roman"/>
                <w:color w:val="000000" w:themeColor="text1"/>
                <w:sz w:val="21"/>
                <w:szCs w:val="21"/>
                <w:lang w:eastAsia="zh-CN"/>
                <w14:textFill>
                  <w14:solidFill>
                    <w14:schemeClr w14:val="tx1"/>
                  </w14:solidFill>
                </w14:textFill>
              </w:rPr>
              <w:t>项目部</w:t>
            </w:r>
            <w:r>
              <w:rPr>
                <w:rFonts w:ascii="Times New Roman" w:cs="Times New Roman"/>
                <w:color w:val="000000" w:themeColor="text1"/>
                <w:sz w:val="21"/>
                <w:szCs w:val="21"/>
                <w:lang w:eastAsia="zh-CN"/>
                <w14:textFill>
                  <w14:solidFill>
                    <w14:schemeClr w14:val="tx1"/>
                  </w14:solidFill>
                </w14:textFill>
              </w:rPr>
              <w:t>，</w:t>
            </w:r>
            <w:r>
              <w:rPr>
                <w:rFonts w:hint="eastAsia" w:ascii="Times New Roman" w:cs="Times New Roman"/>
                <w:color w:val="000000" w:themeColor="text1"/>
                <w:sz w:val="21"/>
                <w:szCs w:val="21"/>
                <w:lang w:eastAsia="zh-CN"/>
                <w14:textFill>
                  <w14:solidFill>
                    <w14:schemeClr w14:val="tx1"/>
                  </w14:solidFill>
                </w14:textFill>
              </w:rPr>
              <w:t>项目部</w:t>
            </w:r>
            <w:r>
              <w:rPr>
                <w:rFonts w:ascii="Times New Roman" w:cs="Times New Roman"/>
                <w:color w:val="000000" w:themeColor="text1"/>
                <w:sz w:val="21"/>
                <w:szCs w:val="21"/>
                <w:lang w:eastAsia="zh-CN"/>
                <w14:textFill>
                  <w14:solidFill>
                    <w14:schemeClr w14:val="tx1"/>
                  </w14:solidFill>
                </w14:textFill>
              </w:rPr>
              <w:t>设垃圾桶进行收集，定期送往乡镇垃圾堆放点，由当地环卫部门清理处置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4602" w:type="pct"/>
            <w:gridSpan w:val="4"/>
            <w:tcBorders>
              <w:tl2br w:val="nil"/>
              <w:tr2bl w:val="nil"/>
            </w:tcBorders>
            <w:vAlign w:val="center"/>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固定性声源主要有钻探机组、柴油发电机、泥浆泵、渣浆泵及泥浆搅拌机，噪声级一般65～95dB（A），须采取有效噪声控制措施使敏感目标处满足《声环境质量标准》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GB12348-2008</w:t>
            </w:r>
            <w:r>
              <w:rPr>
                <w:rFonts w:hint="eastAsia"/>
                <w:color w:val="000000" w:themeColor="text1"/>
                <w:szCs w:val="21"/>
                <w:lang w:eastAsia="zh-CN"/>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5"/>
            <w:tcBorders>
              <w:tl2br w:val="nil"/>
              <w:tr2bl w:val="nil"/>
            </w:tcBorders>
          </w:tcPr>
          <w:p>
            <w:pPr>
              <w:spacing w:line="360" w:lineRule="auto"/>
              <w:rPr>
                <w:b/>
                <w:color w:val="000000" w:themeColor="text1"/>
                <w:szCs w:val="21"/>
                <w14:textFill>
                  <w14:solidFill>
                    <w14:schemeClr w14:val="tx1"/>
                  </w14:solidFill>
                </w14:textFill>
              </w:rPr>
            </w:pPr>
            <w:r>
              <w:rPr>
                <w:b/>
                <w:color w:val="000000" w:themeColor="text1"/>
                <w:szCs w:val="21"/>
                <w14:textFill>
                  <w14:solidFill>
                    <w14:schemeClr w14:val="tx1"/>
                  </w14:solidFill>
                </w14:textFill>
              </w:rPr>
              <w:t>主要生态影响（不够时可附另页）：</w:t>
            </w:r>
          </w:p>
          <w:p>
            <w:pPr>
              <w:pStyle w:val="18"/>
              <w:spacing w:before="84" w:line="364" w:lineRule="auto"/>
              <w:ind w:left="105" w:right="66" w:firstLine="480"/>
              <w:rPr>
                <w:color w:val="000000" w:themeColor="text1"/>
                <w:szCs w:val="21"/>
                <w14:textFill>
                  <w14:solidFill>
                    <w14:schemeClr w14:val="tx1"/>
                  </w14:solidFill>
                </w14:textFill>
              </w:rPr>
            </w:pPr>
            <w:r>
              <w:rPr>
                <w:color w:val="000000" w:themeColor="text1"/>
                <w:lang w:eastAsia="zh-CN"/>
                <w14:textFill>
                  <w14:solidFill>
                    <w14:schemeClr w14:val="tx1"/>
                  </w14:solidFill>
                </w14:textFill>
              </w:rPr>
              <w:t>在</w:t>
            </w:r>
            <w:r>
              <w:rPr>
                <w:rFonts w:hint="eastAsia"/>
                <w:color w:val="000000" w:themeColor="text1"/>
                <w:lang w:eastAsia="zh-CN"/>
                <w14:textFill>
                  <w14:solidFill>
                    <w14:schemeClr w14:val="tx1"/>
                  </w14:solidFill>
                </w14:textFill>
              </w:rPr>
              <w:t>勘查</w:t>
            </w:r>
            <w:r>
              <w:rPr>
                <w:color w:val="000000" w:themeColor="text1"/>
                <w:lang w:eastAsia="zh-CN"/>
                <w14:textFill>
                  <w14:solidFill>
                    <w14:schemeClr w14:val="tx1"/>
                  </w14:solidFill>
                </w14:textFill>
              </w:rPr>
              <w:t>间，平整钻孔场地，钻井施工会对生态环境产生一定的影响，主要影响为占用土地，破坏地表植被及原有土层等。</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19" w:name="_Toc3795903"/>
      <w:r>
        <w:rPr>
          <w:rFonts w:hint="eastAsia" w:eastAsia="黑体"/>
          <w:color w:val="000000" w:themeColor="text1"/>
          <w:sz w:val="32"/>
          <w14:textFill>
            <w14:solidFill>
              <w14:schemeClr w14:val="tx1"/>
            </w14:solidFill>
          </w14:textFill>
        </w:rPr>
        <w:t>八、</w:t>
      </w:r>
      <w:r>
        <w:rPr>
          <w:rFonts w:eastAsia="黑体"/>
          <w:color w:val="000000" w:themeColor="text1"/>
          <w:sz w:val="32"/>
          <w14:textFill>
            <w14:solidFill>
              <w14:schemeClr w14:val="tx1"/>
            </w14:solidFill>
          </w14:textFill>
        </w:rPr>
        <w:t>环境影响分析</w:t>
      </w:r>
      <w:bookmarkEnd w:id="19"/>
    </w:p>
    <w:tbl>
      <w:tblPr>
        <w:tblStyle w:val="12"/>
        <w:tblW w:w="491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81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153" w:hRule="atLeast"/>
          <w:jc w:val="center"/>
        </w:trPr>
        <w:tc>
          <w:tcPr>
            <w:tcW w:w="5000" w:type="pct"/>
          </w:tcPr>
          <w:p>
            <w:pPr>
              <w:spacing w:line="360" w:lineRule="auto"/>
              <w:rPr>
                <w:color w:val="000000" w:themeColor="text1"/>
                <w:sz w:val="28"/>
                <w14:textFill>
                  <w14:solidFill>
                    <w14:schemeClr w14:val="tx1"/>
                  </w14:solidFill>
                </w14:textFill>
              </w:rPr>
            </w:pPr>
            <w:r>
              <w:rPr>
                <w:b/>
                <w:color w:val="000000" w:themeColor="text1"/>
                <w:sz w:val="28"/>
                <w14:textFill>
                  <w14:solidFill>
                    <w14:schemeClr w14:val="tx1"/>
                  </w14:solidFill>
                </w14:textFill>
              </w:rPr>
              <w:t>施工期环境影响分析</w:t>
            </w:r>
            <w:r>
              <w:rPr>
                <w:color w:val="000000" w:themeColor="text1"/>
                <w:sz w:val="28"/>
                <w14:textFill>
                  <w14:solidFill>
                    <w14:schemeClr w14:val="tx1"/>
                  </w14:solidFill>
                </w14:textFill>
              </w:rPr>
              <w:t>：</w:t>
            </w:r>
          </w:p>
          <w:p>
            <w:pPr>
              <w:pStyle w:val="17"/>
              <w:spacing w:line="360" w:lineRule="auto"/>
              <w:ind w:firstLine="480" w:firstLineChars="200"/>
              <w:jc w:val="both"/>
              <w:rPr>
                <w:bCs/>
                <w:color w:val="000000" w:themeColor="text1"/>
                <w14:textFill>
                  <w14:solidFill>
                    <w14:schemeClr w14:val="tx1"/>
                  </w14:solidFill>
                </w14:textFill>
              </w:rPr>
            </w:pPr>
            <w:r>
              <w:rPr>
                <w:rFonts w:hint="eastAsia"/>
                <w:bCs/>
                <w:color w:val="000000" w:themeColor="text1"/>
                <w14:textFill>
                  <w14:solidFill>
                    <w14:schemeClr w14:val="tx1"/>
                  </w14:solidFill>
                </w14:textFill>
              </w:rPr>
              <w:t>施工期环境影响因素主要包括钻探施工、临时道路修建、施工营地布置等占用土地、破坏地表植被等造成的生态环境影响，施工扬尘、柴油废气等对环境空气的影响，施工污、废水等对地表水环境的影响，钻机、柴油发电机等施工设备对声环境的影响。</w:t>
            </w:r>
          </w:p>
          <w:p>
            <w:pPr>
              <w:pStyle w:val="17"/>
              <w:spacing w:line="360" w:lineRule="auto"/>
              <w:ind w:firstLine="480" w:firstLineChars="200"/>
              <w:jc w:val="both"/>
              <w:rPr>
                <w:rFonts w:hint="eastAsia"/>
                <w:bCs/>
                <w:color w:val="000000" w:themeColor="text1"/>
                <w14:textFill>
                  <w14:solidFill>
                    <w14:schemeClr w14:val="tx1"/>
                  </w14:solidFill>
                </w14:textFill>
              </w:rPr>
            </w:pPr>
            <w:r>
              <w:rPr>
                <w:rFonts w:hint="eastAsia"/>
                <w:bCs/>
                <w:color w:val="000000" w:themeColor="text1"/>
                <w14:textFill>
                  <w14:solidFill>
                    <w14:schemeClr w14:val="tx1"/>
                  </w14:solidFill>
                </w14:textFill>
              </w:rPr>
              <w:t>伴随施工期结束和临时占地的植被恢复，上述影响将会逐步消失。</w:t>
            </w:r>
          </w:p>
          <w:p>
            <w:pPr>
              <w:pStyle w:val="19"/>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1、</w:t>
            </w:r>
            <w:r>
              <w:rPr>
                <w:rFonts w:hint="eastAsia"/>
                <w:b/>
                <w:color w:val="000000" w:themeColor="text1"/>
                <w:sz w:val="24"/>
                <w14:textFill>
                  <w14:solidFill>
                    <w14:schemeClr w14:val="tx1"/>
                  </w14:solidFill>
                </w14:textFill>
              </w:rPr>
              <w:t>环境空气影响分析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1.1评价等级判定</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估算模型参数</w:t>
            </w:r>
          </w:p>
          <w:p>
            <w:pPr>
              <w:spacing w:line="360" w:lineRule="auto"/>
              <w:ind w:firstLine="422" w:firstLineChars="176"/>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本</w:t>
            </w:r>
            <w:r>
              <w:rPr>
                <w:rFonts w:hint="eastAsia"/>
                <w:color w:val="000000" w:themeColor="text1"/>
                <w:sz w:val="24"/>
                <w14:textFill>
                  <w14:solidFill>
                    <w14:schemeClr w14:val="tx1"/>
                  </w14:solidFill>
                </w14:textFill>
              </w:rPr>
              <w:t>项目钻井期间考虑主要为单钻孔施工</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本次评价选取位于</w:t>
            </w:r>
            <w:r>
              <w:rPr>
                <w:rFonts w:hint="eastAsia"/>
                <w:color w:val="000000" w:themeColor="text1"/>
                <w:sz w:val="24"/>
                <w:lang w:val="en-US" w:eastAsia="zh-CN"/>
                <w14:textFill>
                  <w14:solidFill>
                    <w14:schemeClr w14:val="tx1"/>
                  </w14:solidFill>
                </w14:textFill>
              </w:rPr>
              <w:t>海西蒙古自治州-冷湖镇的</w:t>
            </w:r>
            <w:r>
              <w:rPr>
                <w:rFonts w:hint="eastAsia"/>
                <w:color w:val="000000" w:themeColor="text1"/>
                <w:sz w:val="24"/>
                <w14:textFill>
                  <w14:solidFill>
                    <w14:schemeClr w14:val="tx1"/>
                  </w14:solidFill>
                </w14:textFill>
              </w:rPr>
              <w:t>钻孔施工，说明本项目柴油</w:t>
            </w:r>
            <w:r>
              <w:rPr>
                <w:rFonts w:hint="eastAsia"/>
                <w:color w:val="000000" w:themeColor="text1"/>
                <w:sz w:val="24"/>
                <w:lang w:val="en-US" w:eastAsia="zh-CN"/>
                <w14:textFill>
                  <w14:solidFill>
                    <w14:schemeClr w14:val="tx1"/>
                  </w14:solidFill>
                </w14:textFill>
              </w:rPr>
              <w:t>发电</w:t>
            </w:r>
            <w:r>
              <w:rPr>
                <w:rFonts w:hint="eastAsia"/>
                <w:color w:val="000000" w:themeColor="text1"/>
                <w:sz w:val="24"/>
                <w14:textFill>
                  <w14:solidFill>
                    <w14:schemeClr w14:val="tx1"/>
                  </w14:solidFill>
                </w14:textFill>
              </w:rPr>
              <w:t>机废气</w:t>
            </w:r>
            <w:r>
              <w:rPr>
                <w:rFonts w:hint="eastAsia"/>
                <w:color w:val="000000" w:themeColor="text1"/>
                <w:sz w:val="24"/>
                <w:lang w:val="en-US" w:eastAsia="zh-CN"/>
                <w14:textFill>
                  <w14:solidFill>
                    <w14:schemeClr w14:val="tx1"/>
                  </w14:solidFill>
                </w14:textFill>
              </w:rPr>
              <w:t>的</w:t>
            </w:r>
            <w:r>
              <w:rPr>
                <w:rFonts w:hint="eastAsia"/>
                <w:color w:val="000000" w:themeColor="text1"/>
                <w:sz w:val="24"/>
                <w14:textFill>
                  <w14:solidFill>
                    <w14:schemeClr w14:val="tx1"/>
                  </w14:solidFill>
                </w14:textFill>
              </w:rPr>
              <w:t>影响。</w:t>
            </w:r>
            <w:r>
              <w:rPr>
                <w:color w:val="000000" w:themeColor="text1"/>
                <w:sz w:val="24"/>
                <w14:textFill>
                  <w14:solidFill>
                    <w14:schemeClr w14:val="tx1"/>
                  </w14:solidFill>
                </w14:textFill>
              </w:rPr>
              <w:t>估算模型参数表见下表8-1。</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表</w:t>
            </w:r>
            <w:r>
              <w:rPr>
                <w:rFonts w:hint="eastAsia"/>
                <w:color w:val="000000" w:themeColor="text1"/>
                <w:sz w:val="24"/>
                <w14:textFill>
                  <w14:solidFill>
                    <w14:schemeClr w14:val="tx1"/>
                  </w14:solidFill>
                </w14:textFill>
              </w:rPr>
              <w:t>8</w:t>
            </w:r>
            <w:r>
              <w:rPr>
                <w:color w:val="000000" w:themeColor="text1"/>
                <w:sz w:val="24"/>
                <w14:textFill>
                  <w14:solidFill>
                    <w14:schemeClr w14:val="tx1"/>
                  </w14:solidFill>
                </w14:textFill>
              </w:rPr>
              <w:t>-1  估算模型参数</w:t>
            </w:r>
          </w:p>
          <w:tbl>
            <w:tblPr>
              <w:tblStyle w:val="12"/>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966"/>
              <w:gridCol w:w="3633"/>
              <w:gridCol w:w="296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参数</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取值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0" w:type="pct"/>
                  <w:vMerge w:val="restar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城市/农村选项</w:t>
                  </w:r>
                </w:p>
              </w:tc>
              <w:tc>
                <w:tcPr>
                  <w:tcW w:w="1897"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城市/农村</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农村</w:t>
                  </w:r>
                </w:p>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r>
                    <w:rPr>
                      <w:rFonts w:hint="eastAsia" w:ascii="Times New Roman" w:hAnsi="Times New Roman" w:cs="Times New Roman"/>
                      <w:color w:val="000000" w:themeColor="text1"/>
                      <w:szCs w:val="21"/>
                      <w:lang w:val="en-US" w:eastAsia="zh-CN"/>
                      <w14:textFill>
                        <w14:solidFill>
                          <w14:schemeClr w14:val="tx1"/>
                        </w14:solidFill>
                      </w14:textFill>
                    </w:rPr>
                    <w:t>海西蒙古自治州-冷湖镇</w:t>
                  </w:r>
                  <w:r>
                    <w:rPr>
                      <w:rFonts w:hint="eastAsia"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0" w:type="pct"/>
                  <w:vMerge w:val="continue"/>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p>
              </w:tc>
              <w:tc>
                <w:tcPr>
                  <w:tcW w:w="1897"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人口数（城市选项时）</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最高环境温度/℃</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35.9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最低环境温度/℃</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-34.3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土地利用类型</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荒漠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区域湿度条件</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干燥气候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0" w:type="pct"/>
                  <w:vMerge w:val="restar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是否考虑地形</w:t>
                  </w:r>
                </w:p>
              </w:tc>
              <w:tc>
                <w:tcPr>
                  <w:tcW w:w="1897"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考虑地形</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0" w:type="pct"/>
                  <w:vMerge w:val="continue"/>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p>
              </w:tc>
              <w:tc>
                <w:tcPr>
                  <w:tcW w:w="1897"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地形数据分表率/m</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0" w:type="pct"/>
                  <w:vMerge w:val="restar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是否考虑岸线熏烟</w:t>
                  </w:r>
                </w:p>
              </w:tc>
              <w:tc>
                <w:tcPr>
                  <w:tcW w:w="1897"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考虑岸线熏烟</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0" w:type="pct"/>
                  <w:vMerge w:val="continue"/>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p>
              </w:tc>
              <w:tc>
                <w:tcPr>
                  <w:tcW w:w="1897"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岸线距离/km</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0" w:type="pct"/>
                  <w:vMerge w:val="continue"/>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p>
              </w:tc>
              <w:tc>
                <w:tcPr>
                  <w:tcW w:w="1897"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岸线方向/°</w:t>
                  </w:r>
                </w:p>
              </w:tc>
              <w:tc>
                <w:tcPr>
                  <w:tcW w:w="1551" w:type="pct"/>
                  <w:vAlign w:val="center"/>
                </w:tcPr>
                <w:p>
                  <w:pPr>
                    <w:pStyle w:val="23"/>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bl>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污染源排放参数</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本项目建成后污染物排放</w:t>
            </w:r>
            <w:r>
              <w:rPr>
                <w:rFonts w:hint="eastAsia"/>
                <w:color w:val="000000" w:themeColor="text1"/>
                <w:sz w:val="24"/>
                <w:lang w:val="en-US" w:eastAsia="zh-CN"/>
                <w14:textFill>
                  <w14:solidFill>
                    <w14:schemeClr w14:val="tx1"/>
                  </w14:solidFill>
                </w14:textFill>
              </w:rPr>
              <w:t>情况</w:t>
            </w:r>
            <w:r>
              <w:rPr>
                <w:color w:val="000000" w:themeColor="text1"/>
                <w:sz w:val="24"/>
                <w14:textFill>
                  <w14:solidFill>
                    <w14:schemeClr w14:val="tx1"/>
                  </w14:solidFill>
                </w14:textFill>
              </w:rPr>
              <w:t>见表8-2。</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表8-2  污染物排放源强统计一览表</w:t>
            </w:r>
          </w:p>
          <w:tbl>
            <w:tblPr>
              <w:tblStyle w:val="12"/>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52"/>
              <w:gridCol w:w="745"/>
              <w:gridCol w:w="753"/>
              <w:gridCol w:w="611"/>
              <w:gridCol w:w="872"/>
              <w:gridCol w:w="1083"/>
              <w:gridCol w:w="1079"/>
              <w:gridCol w:w="4"/>
              <w:gridCol w:w="1075"/>
              <w:gridCol w:w="8"/>
              <w:gridCol w:w="1073"/>
              <w:gridCol w:w="10"/>
              <w:gridCol w:w="109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3"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点源</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390"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排气筒</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高度</w:t>
                  </w:r>
                </w:p>
              </w:tc>
              <w:tc>
                <w:tcPr>
                  <w:tcW w:w="394"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排气筒</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内径</w:t>
                  </w:r>
                </w:p>
              </w:tc>
              <w:tc>
                <w:tcPr>
                  <w:tcW w:w="319"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烟气</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流量</w:t>
                  </w:r>
                </w:p>
              </w:tc>
              <w:tc>
                <w:tcPr>
                  <w:tcW w:w="456"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烟气出口</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温度</w:t>
                  </w:r>
                </w:p>
              </w:tc>
              <w:tc>
                <w:tcPr>
                  <w:tcW w:w="2836" w:type="pct"/>
                  <w:gridSpan w:val="8"/>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排放因子源强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03" w:type="pct"/>
                  <w:vMerge w:val="continue"/>
                  <w:vAlign w:val="center"/>
                </w:tcPr>
                <w:p>
                  <w:pPr>
                    <w:jc w:val="center"/>
                    <w:rPr>
                      <w:color w:val="000000" w:themeColor="text1"/>
                      <w:szCs w:val="21"/>
                      <w14:textFill>
                        <w14:solidFill>
                          <w14:schemeClr w14:val="tx1"/>
                        </w14:solidFill>
                      </w14:textFill>
                    </w:rPr>
                  </w:pPr>
                </w:p>
              </w:tc>
              <w:tc>
                <w:tcPr>
                  <w:tcW w:w="390" w:type="pct"/>
                  <w:vMerge w:val="continue"/>
                  <w:vAlign w:val="center"/>
                </w:tcPr>
                <w:p>
                  <w:pPr>
                    <w:jc w:val="center"/>
                    <w:rPr>
                      <w:color w:val="000000" w:themeColor="text1"/>
                      <w:szCs w:val="21"/>
                      <w14:textFill>
                        <w14:solidFill>
                          <w14:schemeClr w14:val="tx1"/>
                        </w14:solidFill>
                      </w14:textFill>
                    </w:rPr>
                  </w:pPr>
                </w:p>
              </w:tc>
              <w:tc>
                <w:tcPr>
                  <w:tcW w:w="394" w:type="pct"/>
                  <w:vMerge w:val="continue"/>
                  <w:vAlign w:val="center"/>
                </w:tcPr>
                <w:p>
                  <w:pPr>
                    <w:jc w:val="center"/>
                    <w:rPr>
                      <w:color w:val="000000" w:themeColor="text1"/>
                      <w:szCs w:val="21"/>
                      <w14:textFill>
                        <w14:solidFill>
                          <w14:schemeClr w14:val="tx1"/>
                        </w14:solidFill>
                      </w14:textFill>
                    </w:rPr>
                  </w:pPr>
                </w:p>
              </w:tc>
              <w:tc>
                <w:tcPr>
                  <w:tcW w:w="319" w:type="pct"/>
                  <w:vMerge w:val="continue"/>
                  <w:vAlign w:val="center"/>
                </w:tcPr>
                <w:p>
                  <w:pPr>
                    <w:jc w:val="center"/>
                    <w:rPr>
                      <w:color w:val="000000" w:themeColor="text1"/>
                      <w:szCs w:val="21"/>
                      <w14:textFill>
                        <w14:solidFill>
                          <w14:schemeClr w14:val="tx1"/>
                        </w14:solidFill>
                      </w14:textFill>
                    </w:rPr>
                  </w:pPr>
                </w:p>
              </w:tc>
              <w:tc>
                <w:tcPr>
                  <w:tcW w:w="456" w:type="pct"/>
                  <w:vMerge w:val="continue"/>
                  <w:vAlign w:val="center"/>
                </w:tcPr>
                <w:p>
                  <w:pPr>
                    <w:jc w:val="center"/>
                    <w:rPr>
                      <w:color w:val="000000" w:themeColor="text1"/>
                      <w:szCs w:val="21"/>
                      <w14:textFill>
                        <w14:solidFill>
                          <w14:schemeClr w14:val="tx1"/>
                        </w14:solidFill>
                      </w14:textFill>
                    </w:rPr>
                  </w:pPr>
                </w:p>
              </w:tc>
              <w:tc>
                <w:tcPr>
                  <w:tcW w:w="566"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56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564" w:type="pct"/>
                  <w:gridSpan w:val="2"/>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565" w:type="pct"/>
                  <w:gridSpan w:val="2"/>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575" w:type="pct"/>
                  <w:gridSpan w:val="2"/>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3" w:type="pct"/>
                  <w:vMerge w:val="continue"/>
                  <w:vAlign w:val="center"/>
                </w:tcPr>
                <w:p>
                  <w:pPr>
                    <w:jc w:val="center"/>
                    <w:rPr>
                      <w:color w:val="000000" w:themeColor="text1"/>
                      <w:szCs w:val="21"/>
                      <w14:textFill>
                        <w14:solidFill>
                          <w14:schemeClr w14:val="tx1"/>
                        </w14:solidFill>
                      </w14:textFill>
                    </w:rPr>
                  </w:pPr>
                </w:p>
              </w:tc>
              <w:tc>
                <w:tcPr>
                  <w:tcW w:w="390"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p>
              </w:tc>
              <w:tc>
                <w:tcPr>
                  <w:tcW w:w="39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p>
              </w:tc>
              <w:tc>
                <w:tcPr>
                  <w:tcW w:w="31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/h</w:t>
                  </w:r>
                </w:p>
              </w:tc>
              <w:tc>
                <w:tcPr>
                  <w:tcW w:w="456"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2836" w:type="pct"/>
                  <w:gridSpan w:val="8"/>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kg/h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3" w:type="pct"/>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柴油机废气</w:t>
                  </w:r>
                </w:p>
              </w:tc>
              <w:tc>
                <w:tcPr>
                  <w:tcW w:w="390"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w:t>
                  </w:r>
                </w:p>
              </w:tc>
              <w:tc>
                <w:tcPr>
                  <w:tcW w:w="39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0.05</w:t>
                  </w:r>
                </w:p>
              </w:tc>
              <w:tc>
                <w:tcPr>
                  <w:tcW w:w="319"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360</w:t>
                  </w:r>
                </w:p>
              </w:tc>
              <w:tc>
                <w:tcPr>
                  <w:tcW w:w="456"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180</w:t>
                  </w:r>
                </w:p>
              </w:tc>
              <w:tc>
                <w:tcPr>
                  <w:tcW w:w="566"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0.004</w:t>
                  </w:r>
                </w:p>
              </w:tc>
              <w:tc>
                <w:tcPr>
                  <w:tcW w:w="566" w:type="pct"/>
                  <w:gridSpan w:val="2"/>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0.024</w:t>
                  </w:r>
                </w:p>
              </w:tc>
              <w:tc>
                <w:tcPr>
                  <w:tcW w:w="566" w:type="pct"/>
                  <w:gridSpan w:val="2"/>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0.015</w:t>
                  </w:r>
                </w:p>
              </w:tc>
              <w:tc>
                <w:tcPr>
                  <w:tcW w:w="566" w:type="pct"/>
                  <w:gridSpan w:val="2"/>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r>
                    <w:rPr>
                      <w:color w:val="000000" w:themeColor="text1"/>
                      <w:szCs w:val="21"/>
                      <w14:textFill>
                        <w14:solidFill>
                          <w14:schemeClr w14:val="tx1"/>
                        </w14:solidFill>
                      </w14:textFill>
                    </w:rPr>
                    <w:t>.015</w:t>
                  </w:r>
                </w:p>
              </w:tc>
              <w:tc>
                <w:tcPr>
                  <w:tcW w:w="570"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0.009</w:t>
                  </w:r>
                </w:p>
              </w:tc>
            </w:tr>
          </w:tbl>
          <w:p>
            <w:pPr>
              <w:pStyle w:val="3"/>
              <w:spacing w:before="0" w:after="0" w:line="240" w:lineRule="auto"/>
              <w:rPr>
                <w:rFonts w:ascii="Times New Roman" w:hAnsi="Times New Roman" w:cs="Times New Roman"/>
                <w:b w:val="0"/>
                <w:bCs w:val="0"/>
                <w:color w:val="000000" w:themeColor="text1"/>
                <w:sz w:val="21"/>
                <w:szCs w:val="21"/>
                <w14:textFill>
                  <w14:solidFill>
                    <w14:schemeClr w14:val="tx1"/>
                  </w14:solidFill>
                </w14:textFill>
              </w:rPr>
            </w:pPr>
            <w:r>
              <w:rPr>
                <w:rFonts w:ascii="Times New Roman" w:hAnsi="Times New Roman" w:cs="Times New Roman"/>
                <w:b w:val="0"/>
                <w:bCs w:val="0"/>
                <w:color w:val="000000" w:themeColor="text1"/>
                <w:sz w:val="21"/>
                <w:szCs w:val="21"/>
                <w14:textFill>
                  <w14:solidFill>
                    <w14:schemeClr w14:val="tx1"/>
                  </w14:solidFill>
                </w14:textFill>
              </w:rPr>
              <w:t>注：本次保守考虑，NO</w:t>
            </w:r>
            <w:r>
              <w:rPr>
                <w:rFonts w:ascii="Times New Roman" w:hAnsi="Times New Roman" w:cs="Times New Roman"/>
                <w:b w:val="0"/>
                <w:bCs w:val="0"/>
                <w:color w:val="000000" w:themeColor="text1"/>
                <w:sz w:val="21"/>
                <w:szCs w:val="21"/>
                <w:vertAlign w:val="subscript"/>
                <w14:textFill>
                  <w14:solidFill>
                    <w14:schemeClr w14:val="tx1"/>
                  </w14:solidFill>
                </w14:textFill>
              </w:rPr>
              <w:t>2</w:t>
            </w:r>
            <w:r>
              <w:rPr>
                <w:rFonts w:ascii="Times New Roman" w:hAnsi="Times New Roman" w:cs="Times New Roman"/>
                <w:b w:val="0"/>
                <w:bCs w:val="0"/>
                <w:color w:val="000000" w:themeColor="text1"/>
                <w:sz w:val="21"/>
                <w:szCs w:val="21"/>
                <w14:textFill>
                  <w14:solidFill>
                    <w14:schemeClr w14:val="tx1"/>
                  </w14:solidFill>
                </w14:textFill>
              </w:rPr>
              <w:t>源强按NOx的全部产生量计。</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估算结果及分析评价</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估算模式的计算结果见表8-3</w:t>
            </w:r>
            <w:r>
              <w:rPr>
                <w:rFonts w:hint="eastAsia"/>
                <w:color w:val="000000" w:themeColor="text1"/>
                <w:sz w:val="24"/>
                <w:lang w:eastAsia="zh-CN"/>
                <w14:textFill>
                  <w14:solidFill>
                    <w14:schemeClr w14:val="tx1"/>
                  </w14:solidFill>
                </w14:textFill>
              </w:rPr>
              <w:t>。</w:t>
            </w:r>
          </w:p>
          <w:p>
            <w:pPr>
              <w:ind w:firstLine="480" w:firstLineChars="20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表8-</w:t>
            </w:r>
            <w:r>
              <w:rPr>
                <w:rFonts w:hint="eastAsia"/>
                <w:color w:val="000000" w:themeColor="text1"/>
                <w:sz w:val="24"/>
                <w:lang w:val="en-US" w:eastAsia="zh-CN"/>
                <w14:textFill>
                  <w14:solidFill>
                    <w14:schemeClr w14:val="tx1"/>
                  </w14:solidFill>
                </w14:textFill>
              </w:rPr>
              <w:t>3</w:t>
            </w:r>
            <w:r>
              <w:rPr>
                <w:color w:val="000000" w:themeColor="text1"/>
                <w:sz w:val="24"/>
                <w14:textFill>
                  <w14:solidFill>
                    <w14:schemeClr w14:val="tx1"/>
                  </w14:solidFill>
                </w14:textFill>
              </w:rPr>
              <w:t xml:space="preserve">  污染源最大净增落地浓度预测结果表</w:t>
            </w:r>
          </w:p>
          <w:tbl>
            <w:tblPr>
              <w:tblStyle w:val="12"/>
              <w:tblW w:w="499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36"/>
              <w:gridCol w:w="1138"/>
              <w:gridCol w:w="2862"/>
              <w:gridCol w:w="2489"/>
              <w:gridCol w:w="193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污染源</w:t>
                  </w:r>
                </w:p>
              </w:tc>
              <w:tc>
                <w:tcPr>
                  <w:tcW w:w="595"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1496"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最大落地浓度(</w:t>
                  </w:r>
                  <w:r>
                    <w:rPr>
                      <w:rFonts w:hint="eastAsia"/>
                      <w:color w:val="000000" w:themeColor="text1"/>
                      <w:szCs w:val="21"/>
                      <w14:textFill>
                        <w14:solidFill>
                          <w14:schemeClr w14:val="tx1"/>
                        </w14:solidFill>
                      </w14:textFill>
                    </w:rPr>
                    <w:t>m</w:t>
                  </w:r>
                  <w:r>
                    <w:rPr>
                      <w:color w:val="000000" w:themeColor="text1"/>
                      <w:szCs w:val="21"/>
                      <w14:textFill>
                        <w14:solidFill>
                          <w14:schemeClr w14:val="tx1"/>
                        </w14:solidFill>
                      </w14:textFill>
                    </w:rPr>
                    <w:t>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301"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下风向距离（m）</w:t>
                  </w:r>
                </w:p>
              </w:tc>
              <w:tc>
                <w:tcPr>
                  <w:tcW w:w="1012"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占标率（%）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Merge w:val="restar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柴油机</w:t>
                  </w:r>
                </w:p>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595"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PM</w:t>
                  </w:r>
                  <w:r>
                    <w:rPr>
                      <w:rFonts w:hint="eastAsia"/>
                      <w:color w:val="000000" w:themeColor="text1"/>
                      <w:szCs w:val="21"/>
                      <w:vertAlign w:val="subscript"/>
                      <w14:textFill>
                        <w14:solidFill>
                          <w14:schemeClr w14:val="tx1"/>
                        </w14:solidFill>
                      </w14:textFill>
                    </w:rPr>
                    <w:t>10</w:t>
                  </w:r>
                </w:p>
              </w:tc>
              <w:tc>
                <w:tcPr>
                  <w:tcW w:w="149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3.48E-03</w:t>
                  </w:r>
                </w:p>
              </w:tc>
              <w:tc>
                <w:tcPr>
                  <w:tcW w:w="1301"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20</w:t>
                  </w:r>
                </w:p>
              </w:tc>
              <w:tc>
                <w:tcPr>
                  <w:tcW w:w="1012"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0.77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595"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9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2.09E-02</w:t>
                  </w:r>
                </w:p>
              </w:tc>
              <w:tc>
                <w:tcPr>
                  <w:tcW w:w="130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20</w:t>
                  </w:r>
                </w:p>
              </w:tc>
              <w:tc>
                <w:tcPr>
                  <w:tcW w:w="1012"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595"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149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1.30E-02</w:t>
                  </w:r>
                </w:p>
              </w:tc>
              <w:tc>
                <w:tcPr>
                  <w:tcW w:w="130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20</w:t>
                  </w:r>
                </w:p>
              </w:tc>
              <w:tc>
                <w:tcPr>
                  <w:tcW w:w="1012"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5.21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595"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9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1.30E-02</w:t>
                  </w:r>
                </w:p>
              </w:tc>
              <w:tc>
                <w:tcPr>
                  <w:tcW w:w="130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20</w:t>
                  </w:r>
                </w:p>
              </w:tc>
              <w:tc>
                <w:tcPr>
                  <w:tcW w:w="1012"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6.52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595" w:type="pct"/>
                  <w:vAlign w:val="center"/>
                </w:tcPr>
                <w:p>
                  <w:pPr>
                    <w:spacing w:line="280" w:lineRule="exact"/>
                    <w:ind w:left="-105" w:leftChars="-50" w:right="-105" w:rightChars="-50"/>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c>
                <w:tcPr>
                  <w:tcW w:w="1496" w:type="pct"/>
                  <w:vAlign w:val="center"/>
                </w:tcPr>
                <w:p>
                  <w:pPr>
                    <w:jc w:val="center"/>
                    <w:rPr>
                      <w:color w:val="000000" w:themeColor="text1"/>
                      <w:kern w:val="0"/>
                      <w:szCs w:val="21"/>
                      <w:lang w:bidi="ar"/>
                      <w14:textFill>
                        <w14:solidFill>
                          <w14:schemeClr w14:val="tx1"/>
                        </w14:solidFill>
                      </w14:textFill>
                    </w:rPr>
                  </w:pPr>
                  <w:r>
                    <w:rPr>
                      <w:rFonts w:hint="eastAsia"/>
                      <w:color w:val="000000" w:themeColor="text1"/>
                      <w:kern w:val="0"/>
                      <w:szCs w:val="21"/>
                      <w:lang w:bidi="ar"/>
                      <w14:textFill>
                        <w14:solidFill>
                          <w14:schemeClr w14:val="tx1"/>
                        </w14:solidFill>
                      </w14:textFill>
                    </w:rPr>
                    <w:t>7.82E-03</w:t>
                  </w:r>
                </w:p>
              </w:tc>
              <w:tc>
                <w:tcPr>
                  <w:tcW w:w="1301"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20</w:t>
                  </w:r>
                </w:p>
              </w:tc>
              <w:tc>
                <w:tcPr>
                  <w:tcW w:w="1012"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0.08</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从表8-</w:t>
            </w:r>
            <w:r>
              <w:rPr>
                <w:rFonts w:hint="eastAsia"/>
                <w:color w:val="000000" w:themeColor="text1"/>
                <w:sz w:val="24"/>
                <w:lang w:val="en-US" w:eastAsia="zh-CN"/>
                <w14:textFill>
                  <w14:solidFill>
                    <w14:schemeClr w14:val="tx1"/>
                  </w14:solidFill>
                </w14:textFill>
              </w:rPr>
              <w:t>3</w:t>
            </w:r>
            <w:r>
              <w:rPr>
                <w:rFonts w:hint="eastAsia"/>
                <w:color w:val="000000" w:themeColor="text1"/>
                <w:sz w:val="24"/>
                <w14:textFill>
                  <w14:solidFill>
                    <w14:schemeClr w14:val="tx1"/>
                  </w14:solidFill>
                </w14:textFill>
              </w:rPr>
              <w:t>可以看出，本项目钻孔施工期柴油发电机废气中烟尘、SO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、NO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、NO</w:t>
            </w:r>
            <w:r>
              <w:rPr>
                <w:rFonts w:hint="eastAsia"/>
                <w:color w:val="000000" w:themeColor="text1"/>
                <w:sz w:val="24"/>
                <w:vertAlign w:val="subscript"/>
                <w14:textFill>
                  <w14:solidFill>
                    <w14:schemeClr w14:val="tx1"/>
                  </w14:solidFill>
                </w14:textFill>
              </w:rPr>
              <w:t>x</w:t>
            </w:r>
            <w:r>
              <w:rPr>
                <w:rFonts w:hint="eastAsia"/>
                <w:color w:val="000000" w:themeColor="text1"/>
                <w:sz w:val="24"/>
                <w:vertAlign w:val="baseline"/>
                <w:lang w:val="en-US" w:eastAsia="zh-CN"/>
                <w14:textFill>
                  <w14:solidFill>
                    <w14:schemeClr w14:val="tx1"/>
                  </w14:solidFill>
                </w14:textFill>
              </w:rPr>
              <w:t>及CO</w:t>
            </w:r>
            <w:r>
              <w:rPr>
                <w:rFonts w:hint="eastAsia"/>
                <w:color w:val="000000" w:themeColor="text1"/>
                <w:sz w:val="24"/>
                <w14:textFill>
                  <w14:solidFill>
                    <w14:schemeClr w14:val="tx1"/>
                  </w14:solidFill>
                </w14:textFill>
              </w:rPr>
              <w:t>，最大占标率分别为</w:t>
            </w:r>
            <w:r>
              <w:rPr>
                <w:rFonts w:hint="eastAsia"/>
                <w:color w:val="000000" w:themeColor="text1"/>
                <w:sz w:val="24"/>
                <w:lang w:val="en-US" w:eastAsia="zh-CN"/>
                <w14:textFill>
                  <w14:solidFill>
                    <w14:schemeClr w14:val="tx1"/>
                  </w14:solidFill>
                </w14:textFill>
              </w:rPr>
              <w:t>0.77</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4.17</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6.52</w:t>
            </w:r>
            <w:r>
              <w:rPr>
                <w:rFonts w:hint="eastAsia"/>
                <w:color w:val="000000" w:themeColor="text1"/>
                <w:sz w:val="24"/>
                <w14:textFill>
                  <w14:solidFill>
                    <w14:schemeClr w14:val="tx1"/>
                  </w14:solidFill>
                </w14:textFill>
              </w:rPr>
              <w:t>%、5.</w:t>
            </w:r>
            <w:r>
              <w:rPr>
                <w:rFonts w:hint="eastAsia"/>
                <w:color w:val="000000" w:themeColor="text1"/>
                <w:sz w:val="24"/>
                <w:lang w:val="en-US" w:eastAsia="zh-CN"/>
                <w14:textFill>
                  <w14:solidFill>
                    <w14:schemeClr w14:val="tx1"/>
                  </w14:solidFill>
                </w14:textFill>
              </w:rPr>
              <w:t>21</w:t>
            </w:r>
            <w:r>
              <w:rPr>
                <w:rFonts w:hint="eastAsia"/>
                <w:color w:val="000000" w:themeColor="text1"/>
                <w:sz w:val="24"/>
                <w14:textFill>
                  <w14:solidFill>
                    <w14:schemeClr w14:val="tx1"/>
                  </w14:solidFill>
                </w14:textFill>
              </w:rPr>
              <w:t>%及</w:t>
            </w:r>
            <w:r>
              <w:rPr>
                <w:rFonts w:hint="eastAsia"/>
                <w:color w:val="000000" w:themeColor="text1"/>
                <w:sz w:val="24"/>
                <w:lang w:val="en-US" w:eastAsia="zh-CN"/>
                <w14:textFill>
                  <w14:solidFill>
                    <w14:schemeClr w14:val="tx1"/>
                  </w14:solidFill>
                </w14:textFill>
              </w:rPr>
              <w:t>0.08</w:t>
            </w:r>
            <w:r>
              <w:rPr>
                <w:rFonts w:hint="eastAsia"/>
                <w:color w:val="000000" w:themeColor="text1"/>
                <w:sz w:val="24"/>
                <w14:textFill>
                  <w14:solidFill>
                    <w14:schemeClr w14:val="tx1"/>
                  </w14:solidFill>
                </w14:textFill>
              </w:rPr>
              <w:t>%，位于污染源下风向</w:t>
            </w:r>
            <w:r>
              <w:rPr>
                <w:rFonts w:hint="eastAsia"/>
                <w:color w:val="000000" w:themeColor="text1"/>
                <w:sz w:val="24"/>
                <w:lang w:val="en-US" w:eastAsia="zh-CN"/>
                <w14:textFill>
                  <w14:solidFill>
                    <w14:schemeClr w14:val="tx1"/>
                  </w14:solidFill>
                </w14:textFill>
              </w:rPr>
              <w:t>20</w:t>
            </w:r>
            <w:r>
              <w:rPr>
                <w:rFonts w:hint="eastAsia"/>
                <w:color w:val="000000" w:themeColor="text1"/>
                <w:sz w:val="24"/>
                <w14:textFill>
                  <w14:solidFill>
                    <w14:schemeClr w14:val="tx1"/>
                  </w14:solidFill>
                </w14:textFill>
              </w:rPr>
              <w:t>m处，最大落地浓度远小于《环境空气质量标准》</w:t>
            </w:r>
            <w:r>
              <w:rPr>
                <w:rFonts w:hint="eastAsia"/>
                <w:color w:val="000000" w:themeColor="text1"/>
                <w:sz w:val="24"/>
                <w:lang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GB3095-2012</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二级标准，对外环境的影响较小。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评价等级及评价范围</w:t>
            </w:r>
          </w:p>
          <w:p>
            <w:pPr>
              <w:spacing w:line="360" w:lineRule="auto"/>
              <w:ind w:firstLine="480" w:firstLineChars="200"/>
              <w:rPr>
                <w:color w:val="000000" w:themeColor="text1"/>
                <w:sz w:val="24"/>
                <w14:textFill>
                  <w14:solidFill>
                    <w14:schemeClr w14:val="tx1"/>
                  </w14:solidFill>
                </w14:textFill>
              </w:rPr>
            </w:pPr>
            <w:r>
              <w:rPr>
                <w:rFonts w:ascii="Times New Roman" w:cs="Times New Roman"/>
                <w:color w:val="000000" w:themeColor="text1"/>
                <w:sz w:val="24"/>
                <w:szCs w:val="24"/>
                <w:lang w:eastAsia="zh-CN"/>
                <w14:textFill>
                  <w14:solidFill>
                    <w14:schemeClr w14:val="tx1"/>
                  </w14:solidFill>
                </w14:textFill>
              </w:rPr>
              <w:t>根据</w:t>
            </w:r>
            <w:r>
              <w:rPr>
                <w:rFonts w:hint="eastAsia" w:ascii="Times New Roman" w:cs="Times New Roman"/>
                <w:color w:val="000000" w:themeColor="text1"/>
                <w:sz w:val="24"/>
                <w:szCs w:val="24"/>
                <w:lang w:eastAsia="zh-CN"/>
                <w14:textFill>
                  <w14:solidFill>
                    <w14:schemeClr w14:val="tx1"/>
                  </w14:solidFill>
                </w14:textFill>
              </w:rPr>
              <w:t>HJ2.2-2018表2评价等级判别表</w:t>
            </w:r>
            <w:r>
              <w:rPr>
                <w:rFonts w:ascii="Times New Roman" w:cs="Times New Roman"/>
                <w:color w:val="000000" w:themeColor="text1"/>
                <w:sz w:val="24"/>
                <w:szCs w:val="24"/>
                <w:lang w:eastAsia="zh-CN"/>
                <w14:textFill>
                  <w14:solidFill>
                    <w14:schemeClr w14:val="tx1"/>
                  </w14:solidFill>
                </w14:textFill>
              </w:rPr>
              <w:t>，主要污染物的</w:t>
            </w:r>
            <w:r>
              <w:rPr>
                <w:rFonts w:hint="eastAsia" w:ascii="Times New Roman" w:cs="Times New Roman"/>
                <w:color w:val="000000" w:themeColor="text1"/>
                <w:sz w:val="24"/>
                <w:szCs w:val="24"/>
                <w:lang w:eastAsia="zh-CN"/>
                <w14:textFill>
                  <w14:solidFill>
                    <w14:schemeClr w14:val="tx1"/>
                  </w14:solidFill>
                </w14:textFill>
              </w:rPr>
              <w:t>最大</w:t>
            </w:r>
            <w:r>
              <w:rPr>
                <w:rFonts w:ascii="Times New Roman" w:cs="Times New Roman"/>
                <w:color w:val="000000" w:themeColor="text1"/>
                <w:sz w:val="24"/>
                <w:szCs w:val="24"/>
                <w:lang w:eastAsia="zh-CN"/>
                <w14:textFill>
                  <w14:solidFill>
                    <w14:schemeClr w14:val="tx1"/>
                  </w14:solidFill>
                </w14:textFill>
              </w:rPr>
              <w:t>地面空气质量浓度占标率为</w:t>
            </w:r>
            <w:r>
              <w:rPr>
                <w:rFonts w:hint="eastAsia"/>
                <w:color w:val="000000" w:themeColor="text1"/>
                <w:sz w:val="24"/>
                <w:lang w:val="en-US" w:eastAsia="zh-CN"/>
                <w14:textFill>
                  <w14:solidFill>
                    <w14:schemeClr w14:val="tx1"/>
                  </w14:solidFill>
                </w14:textFill>
              </w:rPr>
              <w:t>6.52</w:t>
            </w:r>
            <w:r>
              <w:rPr>
                <w:rFonts w:hint="eastAsia"/>
                <w:color w:val="000000" w:themeColor="text1"/>
                <w:sz w:val="24"/>
                <w14:textFill>
                  <w14:solidFill>
                    <w14:schemeClr w14:val="tx1"/>
                  </w14:solidFill>
                </w14:textFill>
              </w:rPr>
              <w:t>%，</w:t>
            </w:r>
            <w:r>
              <w:rPr>
                <w:rFonts w:ascii="Times New Roman" w:cs="Times New Roman"/>
                <w:color w:val="000000" w:themeColor="text1"/>
                <w:sz w:val="24"/>
                <w:szCs w:val="24"/>
                <w:lang w:eastAsia="zh-CN"/>
                <w14:textFill>
                  <w14:solidFill>
                    <w14:schemeClr w14:val="tx1"/>
                  </w14:solidFill>
                </w14:textFill>
              </w:rPr>
              <w:t>本项目大气评价等级判定为二级，可不进行进一步预测</w:t>
            </w:r>
            <w:r>
              <w:rPr>
                <w:rFonts w:hint="eastAsia" w:ascii="Times New Roman" w:cs="Times New Roman"/>
                <w:color w:val="000000" w:themeColor="text1"/>
                <w:sz w:val="24"/>
                <w:szCs w:val="24"/>
                <w:lang w:eastAsia="zh-CN"/>
                <w14:textFill>
                  <w14:solidFill>
                    <w14:schemeClr w14:val="tx1"/>
                  </w14:solidFill>
                </w14:textFill>
              </w:rPr>
              <w:t>与评价。</w:t>
            </w:r>
            <w:r>
              <w:rPr>
                <w:rFonts w:hint="eastAsia"/>
                <w:color w:val="000000" w:themeColor="text1"/>
                <w:sz w:val="24"/>
                <w14:textFill>
                  <w14:solidFill>
                    <w14:schemeClr w14:val="tx1"/>
                  </w14:solidFill>
                </w14:textFill>
              </w:rPr>
              <w:t>评价范围为以钻孔场地为中心，边长取5km的矩形区域。考虑到钻孔位置在较分散且施工过程中会发生调整，本次评价重点给出</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内</w:t>
            </w:r>
            <w:r>
              <w:rPr>
                <w:rFonts w:hint="eastAsia"/>
                <w:color w:val="000000" w:themeColor="text1"/>
                <w:sz w:val="24"/>
                <w:lang w:val="en-US" w:eastAsia="zh-CN"/>
                <w14:textFill>
                  <w14:solidFill>
                    <w14:schemeClr w14:val="tx1"/>
                  </w14:solidFill>
                </w14:textFill>
              </w:rPr>
              <w:t>镇级</w:t>
            </w:r>
            <w:r>
              <w:rPr>
                <w:rFonts w:hint="eastAsia"/>
                <w:color w:val="000000" w:themeColor="text1"/>
                <w:sz w:val="24"/>
                <w14:textFill>
                  <w14:solidFill>
                    <w14:schemeClr w14:val="tx1"/>
                  </w14:solidFill>
                </w14:textFill>
              </w:rPr>
              <w:t>以上环境空气保护目标，见表5-7。</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HJ2.2-2018二级评价相关要求，本次评价根据环境保护部环境工程评估中心“国家环境保护环境影响评价数值模拟重点实验室”上线的环境空气质量模型基础数据服务系统查询，对项目所在区域的钻探工程主要涉及的地级市环境空气质量达标情况进行调查，见</w:t>
            </w:r>
            <w:r>
              <w:rPr>
                <w:rFonts w:hint="eastAsia"/>
                <w:color w:val="000000" w:themeColor="text1"/>
                <w:sz w:val="24"/>
                <w:lang w:val="en-US" w:eastAsia="zh-CN"/>
                <w14:textFill>
                  <w14:solidFill>
                    <w14:schemeClr w14:val="tx1"/>
                  </w14:solidFill>
                </w14:textFill>
              </w:rPr>
              <w:t xml:space="preserve">五 </w:t>
            </w:r>
            <w:r>
              <w:rPr>
                <w:rFonts w:hint="eastAsia"/>
                <w:color w:val="000000" w:themeColor="text1"/>
                <w:sz w:val="24"/>
                <w14:textFill>
                  <w14:solidFill>
                    <w14:schemeClr w14:val="tx1"/>
                  </w14:solidFill>
                </w14:textFill>
              </w:rPr>
              <w:t>环境质量状况中环境空气现状评价；另外，对污染物排放量进行了核算，见工程分析。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预测结果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根据预测结果，</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eastAsia"/>
                <w:color w:val="000000" w:themeColor="text1"/>
                <w:sz w:val="24"/>
                <w14:textFill>
                  <w14:solidFill>
                    <w14:schemeClr w14:val="tx1"/>
                  </w14:solidFill>
                </w14:textFill>
              </w:rPr>
              <w:t>、SO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、NO</w:t>
            </w:r>
            <w:r>
              <w:rPr>
                <w:rFonts w:hint="eastAsia"/>
                <w:color w:val="000000" w:themeColor="text1"/>
                <w:sz w:val="24"/>
                <w:vertAlign w:val="subscript"/>
                <w:lang w:val="en-US" w:eastAsia="zh-CN"/>
                <w14:textFill>
                  <w14:solidFill>
                    <w14:schemeClr w14:val="tx1"/>
                  </w14:solidFill>
                </w14:textFill>
              </w:rPr>
              <w:t>2</w:t>
            </w:r>
            <w:r>
              <w:rPr>
                <w:rFonts w:hint="eastAsia"/>
                <w:color w:val="000000" w:themeColor="text1"/>
                <w:sz w:val="24"/>
                <w:vertAlign w:val="baseline"/>
                <w:lang w:val="en-US" w:eastAsia="zh-CN"/>
                <w14:textFill>
                  <w14:solidFill>
                    <w14:schemeClr w14:val="tx1"/>
                  </w14:solidFill>
                </w14:textFill>
              </w:rPr>
              <w:t>及CO</w:t>
            </w:r>
            <w:r>
              <w:rPr>
                <w:rFonts w:hint="eastAsia"/>
                <w:color w:val="000000" w:themeColor="text1"/>
                <w:sz w:val="24"/>
                <w14:textFill>
                  <w14:solidFill>
                    <w14:schemeClr w14:val="tx1"/>
                  </w14:solidFill>
                </w14:textFill>
              </w:rPr>
              <w:t>最大落地浓度分别为3.</w:t>
            </w:r>
            <w:r>
              <w:rPr>
                <w:rFonts w:hint="eastAsia"/>
                <w:color w:val="000000" w:themeColor="text1"/>
                <w:sz w:val="24"/>
                <w:lang w:val="en-US" w:eastAsia="zh-CN"/>
                <w14:textFill>
                  <w14:solidFill>
                    <w14:schemeClr w14:val="tx1"/>
                  </w14:solidFill>
                </w14:textFill>
              </w:rPr>
              <w:t>48</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20.9</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13</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7.82</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根据环境保护部环境工程评估中心“国家环境保护环境影响评价数值模拟重点实验室”上线的环境空气质量模型基础数据服务系统查询</w:t>
            </w:r>
            <w:r>
              <w:rPr>
                <w:rFonts w:hint="eastAsia"/>
                <w:color w:val="000000" w:themeColor="text1"/>
                <w:sz w:val="24"/>
                <w:lang w:val="en-US" w:eastAsia="zh-CN"/>
                <w14:textFill>
                  <w14:solidFill>
                    <w14:schemeClr w14:val="tx1"/>
                  </w14:solidFill>
                </w14:textFill>
              </w:rPr>
              <w:t>的</w:t>
            </w:r>
            <w:r>
              <w:rPr>
                <w:rFonts w:hint="eastAsia"/>
                <w:color w:val="000000" w:themeColor="text1"/>
                <w:sz w:val="24"/>
                <w14:textFill>
                  <w14:solidFill>
                    <w14:schemeClr w14:val="tx1"/>
                  </w14:solidFill>
                </w14:textFill>
              </w:rPr>
              <w:t>海西蒙古族藏族自治州</w:t>
            </w:r>
            <w:r>
              <w:rPr>
                <w:rFonts w:hint="eastAsia"/>
                <w:color w:val="000000" w:themeColor="text1"/>
                <w:sz w:val="24"/>
                <w:lang w:val="en-US" w:eastAsia="zh-CN"/>
                <w14:textFill>
                  <w14:solidFill>
                    <w14:schemeClr w14:val="tx1"/>
                  </w14:solidFill>
                </w14:textFill>
              </w:rPr>
              <w:t>2020年</w:t>
            </w:r>
            <w:r>
              <w:rPr>
                <w:rFonts w:hint="eastAsia"/>
                <w:color w:val="000000" w:themeColor="text1"/>
                <w:sz w:val="24"/>
                <w14:textFill>
                  <w14:solidFill>
                    <w14:schemeClr w14:val="tx1"/>
                  </w14:solidFill>
                </w14:textFill>
              </w:rPr>
              <w:t>环境空气质量年均值，</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w:t>
            </w:r>
            <w:r>
              <w:rPr>
                <w:rFonts w:hint="eastAsia"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年均浓度、CO24小时平均第95百分位数</w:t>
            </w:r>
            <w:r>
              <w:rPr>
                <w:rFonts w:hint="eastAsia" w:cs="Times New Roman"/>
                <w:b w:val="0"/>
                <w:bCs w:val="0"/>
                <w:color w:val="000000" w:themeColor="text1"/>
                <w:sz w:val="24"/>
                <w:szCs w:val="24"/>
                <w:lang w:val="en-US" w:eastAsia="zh-CN"/>
                <w14:textFill>
                  <w14:solidFill>
                    <w14:schemeClr w14:val="tx1"/>
                  </w14:solidFill>
                </w14:textFill>
              </w:rPr>
              <w:t>分别为</w:t>
            </w:r>
            <w:r>
              <w:rPr>
                <w:rFonts w:hint="eastAsia"/>
                <w:color w:val="000000" w:themeColor="text1"/>
                <w:sz w:val="24"/>
                <w14:textFill>
                  <w14:solidFill>
                    <w14:schemeClr w14:val="tx1"/>
                  </w14:solidFill>
                </w14:textFill>
              </w:rPr>
              <w:t>39</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、11</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、13</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0.7m</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eastAsia"/>
                <w:color w:val="000000" w:themeColor="text1"/>
                <w:sz w:val="24"/>
                <w14:textFill>
                  <w14:solidFill>
                    <w14:schemeClr w14:val="tx1"/>
                  </w14:solidFill>
                </w14:textFill>
              </w:rPr>
              <w:t>。叠加地区背景值后，PM</w:t>
            </w:r>
            <w:r>
              <w:rPr>
                <w:color w:val="000000" w:themeColor="text1"/>
                <w:sz w:val="24"/>
                <w:vertAlign w:val="subscript"/>
                <w14:textFill>
                  <w14:solidFill>
                    <w14:schemeClr w14:val="tx1"/>
                  </w14:solidFill>
                </w14:textFill>
              </w:rPr>
              <w:t>10</w:t>
            </w:r>
            <w:r>
              <w:rPr>
                <w:rFonts w:hint="eastAsia"/>
                <w:color w:val="000000" w:themeColor="text1"/>
                <w:sz w:val="24"/>
                <w14:textFill>
                  <w14:solidFill>
                    <w14:schemeClr w14:val="tx1"/>
                  </w14:solidFill>
                </w14:textFill>
              </w:rPr>
              <w:t>、SO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、NO</w:t>
            </w:r>
            <w:r>
              <w:rPr>
                <w:rFonts w:hint="eastAsia"/>
                <w:color w:val="000000" w:themeColor="text1"/>
                <w:sz w:val="24"/>
                <w:vertAlign w:val="subscript"/>
                <w14:textFill>
                  <w14:solidFill>
                    <w14:schemeClr w14:val="tx1"/>
                  </w14:solidFill>
                </w14:textFill>
              </w:rPr>
              <w:t>2</w:t>
            </w:r>
            <w:r>
              <w:rPr>
                <w:rFonts w:hint="eastAsia"/>
                <w:color w:val="000000" w:themeColor="text1"/>
                <w:sz w:val="24"/>
                <w:vertAlign w:val="baseline"/>
                <w:lang w:val="en-US" w:eastAsia="zh-CN"/>
                <w14:textFill>
                  <w14:solidFill>
                    <w14:schemeClr w14:val="tx1"/>
                  </w14:solidFill>
                </w14:textFill>
              </w:rPr>
              <w:t>及CO</w:t>
            </w:r>
            <w:r>
              <w:rPr>
                <w:rFonts w:hint="eastAsia"/>
                <w:color w:val="000000" w:themeColor="text1"/>
                <w:sz w:val="24"/>
                <w14:textFill>
                  <w14:solidFill>
                    <w14:schemeClr w14:val="tx1"/>
                  </w14:solidFill>
                </w14:textFill>
              </w:rPr>
              <w:t>的年平均值浓度分别为</w:t>
            </w:r>
            <w:r>
              <w:rPr>
                <w:rFonts w:hint="eastAsia"/>
                <w:color w:val="000000" w:themeColor="text1"/>
                <w:sz w:val="24"/>
                <w:lang w:val="en-US" w:eastAsia="zh-CN"/>
                <w14:textFill>
                  <w14:solidFill>
                    <w14:schemeClr w14:val="tx1"/>
                  </w14:solidFill>
                </w14:textFill>
              </w:rPr>
              <w:t>42.48</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31.9</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26</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707.82</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，均小于《环境空气质量标准》</w:t>
            </w:r>
            <w:r>
              <w:rPr>
                <w:rFonts w:hint="eastAsia"/>
                <w:color w:val="000000" w:themeColor="text1"/>
                <w:sz w:val="24"/>
                <w:lang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GB3095-2012</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二级标准年平均值（</w:t>
            </w:r>
            <w:r>
              <w:rPr>
                <w:color w:val="000000" w:themeColor="text1"/>
                <w:sz w:val="24"/>
                <w14:textFill>
                  <w14:solidFill>
                    <w14:schemeClr w14:val="tx1"/>
                  </w14:solidFill>
                </w14:textFill>
              </w:rPr>
              <w:t>PM</w:t>
            </w:r>
            <w:r>
              <w:rPr>
                <w:color w:val="000000" w:themeColor="text1"/>
                <w:sz w:val="24"/>
                <w:vertAlign w:val="subscript"/>
                <w14:textFill>
                  <w14:solidFill>
                    <w14:schemeClr w14:val="tx1"/>
                  </w14:solidFill>
                </w14:textFill>
              </w:rPr>
              <w:t>10</w:t>
            </w:r>
            <w:r>
              <w:rPr>
                <w:rFonts w:hint="eastAsia"/>
                <w:color w:val="000000" w:themeColor="text1"/>
                <w:sz w:val="24"/>
                <w14:textFill>
                  <w14:solidFill>
                    <w14:schemeClr w14:val="tx1"/>
                  </w14:solidFill>
                </w14:textFill>
              </w:rPr>
              <w:t>：70</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：6</w:t>
            </w:r>
            <w:r>
              <w:rPr>
                <w:color w:val="000000" w:themeColor="text1"/>
                <w:sz w:val="24"/>
                <w14:textFill>
                  <w14:solidFill>
                    <w14:schemeClr w14:val="tx1"/>
                  </w14:solidFill>
                </w14:textFill>
              </w:rPr>
              <w:t>0μg/m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、NO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：4</w:t>
            </w:r>
            <w:r>
              <w:rPr>
                <w:color w:val="000000" w:themeColor="text1"/>
                <w:sz w:val="24"/>
                <w14:textFill>
                  <w14:solidFill>
                    <w14:schemeClr w14:val="tx1"/>
                  </w14:solidFill>
                </w14:textFill>
              </w:rPr>
              <w:t>0μg/m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）。因此，</w:t>
            </w:r>
            <w:r>
              <w:rPr>
                <w:rFonts w:hint="eastAsia"/>
                <w:color w:val="000000" w:themeColor="text1"/>
                <w:sz w:val="24"/>
                <w:lang w:val="en-US" w:eastAsia="zh-CN"/>
                <w14:textFill>
                  <w14:solidFill>
                    <w14:schemeClr w14:val="tx1"/>
                  </w14:solidFill>
                </w14:textFill>
              </w:rPr>
              <w:t>柴油发电机</w:t>
            </w:r>
            <w:r>
              <w:rPr>
                <w:rFonts w:hint="eastAsia"/>
                <w:color w:val="000000" w:themeColor="text1"/>
                <w:sz w:val="24"/>
                <w14:textFill>
                  <w14:solidFill>
                    <w14:schemeClr w14:val="tx1"/>
                  </w14:solidFill>
                </w14:textFill>
              </w:rPr>
              <w:t>废气对居民影响较小。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1.2环境空气影响分析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（1）施工扬尘环境影响分析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扬尘主要产生在钻前场地平整、土方开挖等环节，及材料运输过程中的道路扬尘，属于无组织排放。施工扬尘对环境造成的不良影响主要有：导致环境空气中颗粒物浓度升高，影响施工场地周边环境空气质量；道路扬尘对施工沿线附近村民产生一定不利影响。扬尘的起尘条件主要取决于表面含水量、地面状况和风速大小等因素。</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当环境风速大于4.5m/s，扬尘会产生一定的影响，但随着距离的增加，TSP浓度迅速减小，其影响范围一般在仅在下风向150m范围内，在200m处基本恢复到背景值。由于施工扬尘粒径较大，飘移距离短，采取洒水、抑尘、苫盖等控制措施后，影响范围有限。随着施工期的结束，影响将会消失。</w:t>
            </w:r>
          </w:p>
          <w:p>
            <w:pPr>
              <w:spacing w:line="360" w:lineRule="auto"/>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本次评价针对施工扬尘提出以下污染防治措施：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①合理规划施工进度，临时弃土集中堆放在背风侧，且不宜堆积过久、过高，防止弃土风化失水起尘，堆放过程中应在顶部加盖篷布；遇4级以上大风天气应停止土方作业；</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②在施工初期合理规划设备、材料等运输路线，尽量利用现有路网；运料车辆在运料顶部加盖篷布，不得装载过满，以防洒落在地，形成二次扬尘；运输车辆路过村庄等人群密集区时，速度保持在20km/h以下；</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③文明施工，粉状材料堆放过程中要进行苫盖，卸放过程要轻拿轻放，定期清扫散落在施工场地的泥土，有条件的场地要可以通过洒水抑尘。</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采取以上防治措施后，施工扬尘可得到有效的控制和减缓，对</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环境空气质量影响较小。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（2）燃油废气</w:t>
            </w:r>
            <w:r>
              <w:rPr>
                <w:rFonts w:hint="eastAsia"/>
                <w:color w:val="000000" w:themeColor="text1"/>
                <w:sz w:val="24"/>
                <w:lang w:val="en-US" w:eastAsia="zh-CN"/>
                <w14:textFill>
                  <w14:solidFill>
                    <w14:schemeClr w14:val="tx1"/>
                  </w14:solidFill>
                </w14:textFill>
              </w:rPr>
              <w:t>环境影响分析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钻探过程中废气主要来自于柴油发电机燃烧废气，主要污染物为烟尘</w:t>
            </w:r>
            <w:r>
              <w:rPr>
                <w:rFonts w:hint="eastAsia" w:ascii="Times New Roman" w:hAnsi="Times New Roman" w:cs="Times New Roman"/>
                <w:color w:val="000000" w:themeColor="text1"/>
                <w:sz w:val="24"/>
                <w:lang w:eastAsia="zh-CN"/>
                <w14:textFill>
                  <w14:solidFill>
                    <w14:schemeClr w14:val="tx1"/>
                  </w14:solidFill>
                </w14:textFill>
              </w:rPr>
              <w:t>、</w:t>
            </w:r>
            <w:r>
              <w:rPr>
                <w:rFonts w:ascii="Times New Roman" w:hAnsi="Times New Roman" w:cs="Times New Roman"/>
                <w:color w:val="000000" w:themeColor="text1"/>
                <w:sz w:val="24"/>
                <w:lang w:eastAsia="zh-CN"/>
                <w14:textFill>
                  <w14:solidFill>
                    <w14:schemeClr w14:val="tx1"/>
                  </w14:solidFill>
                </w14:textFill>
              </w:rPr>
              <w:t>NO</w:t>
            </w:r>
            <w:r>
              <w:rPr>
                <w:rFonts w:hint="eastAsia" w:ascii="Times New Roman" w:hAnsi="Times New Roman" w:cs="Times New Roman"/>
                <w:color w:val="000000" w:themeColor="text1"/>
                <w:sz w:val="24"/>
                <w:vertAlign w:val="subscript"/>
                <w:lang w:eastAsia="zh-CN"/>
                <w14:textFill>
                  <w14:solidFill>
                    <w14:schemeClr w14:val="tx1"/>
                  </w14:solidFill>
                </w14:textFill>
              </w:rPr>
              <w:t>x</w:t>
            </w:r>
            <w:r>
              <w:rPr>
                <w:rFonts w:ascii="Times New Roman" w:hAnsi="Times New Roman" w:cs="Times New Roman"/>
                <w:color w:val="000000" w:themeColor="text1"/>
                <w:sz w:val="24"/>
                <w:lang w:eastAsia="zh-CN"/>
                <w14:textFill>
                  <w14:solidFill>
                    <w14:schemeClr w14:val="tx1"/>
                  </w14:solidFill>
                </w14:textFill>
              </w:rPr>
              <w:t>、SO</w:t>
            </w:r>
            <w:r>
              <w:rPr>
                <w:rFonts w:ascii="Times New Roman" w:hAnsi="Times New Roman" w:cs="Times New Roman"/>
                <w:color w:val="000000" w:themeColor="text1"/>
                <w:sz w:val="24"/>
                <w:vertAlign w:val="subscript"/>
                <w:lang w:eastAsia="zh-CN"/>
                <w14:textFill>
                  <w14:solidFill>
                    <w14:schemeClr w14:val="tx1"/>
                  </w14:solidFill>
                </w14:textFill>
              </w:rPr>
              <w:t>2</w:t>
            </w:r>
            <w:r>
              <w:rPr>
                <w:rFonts w:ascii="Times New Roman" w:hAnsi="Times New Roman" w:cs="Times New Roman"/>
                <w:color w:val="000000" w:themeColor="text1"/>
                <w:sz w:val="24"/>
                <w:lang w:eastAsia="zh-CN"/>
                <w14:textFill>
                  <w14:solidFill>
                    <w14:schemeClr w14:val="tx1"/>
                  </w14:solidFill>
                </w14:textFill>
              </w:rPr>
              <w:t>等，为无组织、分散排放。</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本项目选择符合环保要求的柴油机，每个钻孔用到柴油发电机的时间一般</w:t>
            </w:r>
            <w:r>
              <w:rPr>
                <w:color w:val="000000" w:themeColor="text1"/>
                <w:sz w:val="24"/>
                <w14:textFill>
                  <w14:solidFill>
                    <w14:schemeClr w14:val="tx1"/>
                  </w14:solidFill>
                </w14:textFill>
              </w:rPr>
              <w:t>15</w:t>
            </w:r>
            <w:r>
              <w:rPr>
                <w:rFonts w:hint="eastAsia"/>
                <w:color w:val="000000" w:themeColor="text1"/>
                <w:sz w:val="24"/>
                <w14:textFill>
                  <w14:solidFill>
                    <w14:schemeClr w14:val="tx1"/>
                  </w14:solidFill>
                </w14:textFill>
              </w:rPr>
              <w:t>天左右，钻孔周围一般没有密集的建筑物与居民区，随着钻井工作的结束，柴油燃烧废气对环境空气的影响会逐渐消失，对周围环境影响不大。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本次评价针对燃油废气提出以下污染防治措施：</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snapToGrid w:val="0"/>
                <w:color w:val="000000" w:themeColor="text1"/>
                <w:sz w:val="24"/>
                <w:lang w:eastAsia="zh-CN"/>
                <w14:textFill>
                  <w14:solidFill>
                    <w14:schemeClr w14:val="tx1"/>
                  </w14:solidFill>
                </w14:textFill>
              </w:rPr>
            </w:pPr>
            <w:r>
              <w:rPr>
                <w:rFonts w:hint="eastAsia"/>
                <w:snapToGrid w:val="0"/>
                <w:color w:val="000000" w:themeColor="text1"/>
                <w:sz w:val="24"/>
                <w:lang w:eastAsia="zh-CN"/>
                <w14:textFill>
                  <w14:solidFill>
                    <w14:schemeClr w14:val="tx1"/>
                  </w14:solidFill>
                </w14:textFill>
              </w:rPr>
              <w:t>①采用节能环保型柴油动力设备；</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snapToGrid w:val="0"/>
                <w:color w:val="000000" w:themeColor="text1"/>
                <w:sz w:val="24"/>
                <w:lang w:eastAsia="zh-CN"/>
                <w14:textFill>
                  <w14:solidFill>
                    <w14:schemeClr w14:val="tx1"/>
                  </w14:solidFill>
                </w14:textFill>
              </w:rPr>
            </w:pPr>
            <w:r>
              <w:rPr>
                <w:rFonts w:hint="eastAsia"/>
                <w:snapToGrid w:val="0"/>
                <w:color w:val="000000" w:themeColor="text1"/>
                <w:sz w:val="24"/>
                <w:lang w:eastAsia="zh-CN"/>
                <w14:textFill>
                  <w14:solidFill>
                    <w14:schemeClr w14:val="tx1"/>
                  </w14:solidFill>
                </w14:textFill>
              </w:rPr>
              <w:t>②发采用符合《普通柴油》（GB 252-2015）标准的柴油；</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snapToGrid w:val="0"/>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lang w:eastAsia="zh-CN"/>
                <w14:textFill>
                  <w14:solidFill>
                    <w14:schemeClr w14:val="tx1"/>
                  </w14:solidFill>
                </w14:textFill>
              </w:rPr>
              <w:fldChar w:fldCharType="begin"/>
            </w:r>
            <w:r>
              <w:rPr>
                <w:rFonts w:hint="eastAsia" w:ascii="Times New Roman" w:hAnsi="Times New Roman" w:cs="Times New Roman"/>
                <w:color w:val="000000" w:themeColor="text1"/>
                <w:sz w:val="24"/>
                <w:lang w:eastAsia="zh-CN"/>
                <w14:textFill>
                  <w14:solidFill>
                    <w14:schemeClr w14:val="tx1"/>
                  </w14:solidFill>
                </w14:textFill>
              </w:rPr>
              <w:instrText xml:space="preserve"> = 3 \* GB3 \* MERGEFORMAT </w:instrText>
            </w:r>
            <w:r>
              <w:rPr>
                <w:rFonts w:hint="eastAsia" w:ascii="Times New Roman" w:hAnsi="Times New Roman" w:cs="Times New Roman"/>
                <w:color w:val="000000" w:themeColor="text1"/>
                <w:sz w:val="24"/>
                <w:lang w:eastAsia="zh-CN"/>
                <w14:textFill>
                  <w14:solidFill>
                    <w14:schemeClr w14:val="tx1"/>
                  </w14:solidFill>
                </w14:textFill>
              </w:rPr>
              <w:fldChar w:fldCharType="separate"/>
            </w:r>
            <w:r>
              <w:rPr>
                <w:rFonts w:ascii="Times New Roman" w:hAnsi="Times New Roman" w:cs="Times New Roman"/>
                <w:color w:val="000000" w:themeColor="text1"/>
                <w:sz w:val="24"/>
                <w:lang w:eastAsia="zh-CN"/>
                <w14:textFill>
                  <w14:solidFill>
                    <w14:schemeClr w14:val="tx1"/>
                  </w14:solidFill>
                </w14:textFill>
              </w:rPr>
              <w:t>③</w:t>
            </w:r>
            <w:r>
              <w:rPr>
                <w:rFonts w:hint="eastAsia" w:ascii="Times New Roman" w:hAnsi="Times New Roman" w:cs="Times New Roman"/>
                <w:color w:val="000000" w:themeColor="text1"/>
                <w:sz w:val="24"/>
                <w:lang w:eastAsia="zh-CN"/>
                <w14:textFill>
                  <w14:solidFill>
                    <w14:schemeClr w14:val="tx1"/>
                  </w14:solidFill>
                </w14:textFill>
              </w:rPr>
              <w:fldChar w:fldCharType="end"/>
            </w:r>
            <w:r>
              <w:rPr>
                <w:rFonts w:hint="eastAsia" w:ascii="Times New Roman" w:hAnsi="Times New Roman" w:cs="Times New Roman"/>
                <w:color w:val="000000" w:themeColor="text1"/>
                <w:sz w:val="24"/>
                <w:lang w:eastAsia="zh-CN"/>
                <w14:textFill>
                  <w14:solidFill>
                    <w14:schemeClr w14:val="tx1"/>
                  </w14:solidFill>
                </w14:textFill>
              </w:rPr>
              <w:t>选用的柴油发电机需满足《非道路柴油移动机械污染物排放控制技术要求》（HJ1014-2020）。</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采取以上防治措施后，燃油废气的影响可得到有效的控制，对</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域环境空气质量影响较小。</w:t>
            </w:r>
          </w:p>
          <w:p>
            <w:pPr>
              <w:pStyle w:val="19"/>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2、</w:t>
            </w:r>
            <w:r>
              <w:rPr>
                <w:rFonts w:hint="eastAsia"/>
                <w:b/>
                <w:color w:val="000000" w:themeColor="text1"/>
                <w:sz w:val="24"/>
                <w14:textFill>
                  <w14:solidFill>
                    <w14:schemeClr w14:val="tx1"/>
                  </w14:solidFill>
                </w14:textFill>
              </w:rPr>
              <w:t>地表水环境影响分析</w:t>
            </w:r>
          </w:p>
          <w:p>
            <w:pPr>
              <w:spacing w:line="360" w:lineRule="auto"/>
              <w:contextualSpacing/>
              <w:rPr>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2.1评价等级判定</w:t>
            </w:r>
          </w:p>
          <w:p>
            <w:pPr>
              <w:widowControl/>
              <w:spacing w:line="360" w:lineRule="auto"/>
              <w:ind w:firstLine="480" w:firstLineChars="200"/>
              <w:contextualSpacing/>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本项目的地表水环境影响评价为水污染影响型。产生的废、污水主要来自施工作业废水和生活污水，全部回用，不外排。按照《环境影响评价技术导则—地表水环境》</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HJ2.3-2018</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表1评价工作等级的划分见表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，判定地表水评价等级为三级B。</w:t>
            </w:r>
          </w:p>
          <w:p>
            <w:pPr>
              <w:jc w:val="center"/>
              <w:rPr>
                <w:b/>
                <w:bCs/>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 xml:space="preserve">4 </w:t>
            </w:r>
            <w:r>
              <w:rPr>
                <w:color w:val="000000" w:themeColor="text1"/>
                <w:sz w:val="24"/>
                <w14:textFill>
                  <w14:solidFill>
                    <w14:schemeClr w14:val="tx1"/>
                  </w14:solidFill>
                </w14:textFill>
              </w:rPr>
              <w:t xml:space="preserve"> </w:t>
            </w:r>
            <w:r>
              <w:rPr>
                <w:rFonts w:hint="eastAsia"/>
                <w:color w:val="000000" w:themeColor="text1"/>
                <w:sz w:val="24"/>
                <w14:textFill>
                  <w14:solidFill>
                    <w14:schemeClr w14:val="tx1"/>
                  </w14:solidFill>
                </w14:textFill>
              </w:rPr>
              <w:t>水污染影响型建设项目评价等级判定</w:t>
            </w:r>
            <w:r>
              <w:rPr>
                <w:color w:val="000000" w:themeColor="text1"/>
                <w:sz w:val="24"/>
                <w14:textFill>
                  <w14:solidFill>
                    <w14:schemeClr w14:val="tx1"/>
                  </w14:solidFill>
                </w14:textFill>
              </w:rPr>
              <w:t>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442"/>
              <w:gridCol w:w="2722"/>
              <w:gridCol w:w="44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vMerge w:val="restar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评价等级</w:t>
                  </w:r>
                </w:p>
              </w:tc>
              <w:tc>
                <w:tcPr>
                  <w:tcW w:w="3724" w:type="pct"/>
                  <w:gridSpan w:val="2"/>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判定依据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vMerge w:val="continue"/>
                  <w:tcBorders>
                    <w:tl2br w:val="nil"/>
                    <w:tr2bl w:val="nil"/>
                  </w:tcBorders>
                  <w:vAlign w:val="center"/>
                </w:tcPr>
                <w:p>
                  <w:pPr>
                    <w:jc w:val="center"/>
                    <w:rPr>
                      <w:color w:val="000000" w:themeColor="text1"/>
                      <w:kern w:val="0"/>
                      <w:szCs w:val="21"/>
                      <w14:textFill>
                        <w14:solidFill>
                          <w14:schemeClr w14:val="tx1"/>
                        </w14:solidFill>
                      </w14:textFill>
                    </w:rPr>
                  </w:pP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排放方式</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废水排放量Q/（m</w:t>
                  </w:r>
                  <w:r>
                    <w:rPr>
                      <w:color w:val="000000" w:themeColor="text1"/>
                      <w:kern w:val="0"/>
                      <w:szCs w:val="21"/>
                      <w:vertAlign w:val="superscript"/>
                      <w14:textFill>
                        <w14:solidFill>
                          <w14:schemeClr w14:val="tx1"/>
                        </w14:solidFill>
                      </w14:textFill>
                    </w:rPr>
                    <w:t>3</w:t>
                  </w:r>
                  <w:r>
                    <w:rPr>
                      <w:color w:val="000000" w:themeColor="text1"/>
                      <w:kern w:val="0"/>
                      <w:szCs w:val="21"/>
                      <w14:textFill>
                        <w14:solidFill>
                          <w14:schemeClr w14:val="tx1"/>
                        </w14:solidFill>
                      </w14:textFill>
                    </w:rPr>
                    <w:t>/d）；</w:t>
                  </w:r>
                </w:p>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水污染物当量数W/（无量纲）</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一级</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Q≥20000或W≥600000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二级</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其他</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三级A</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Q＜200且W＜6000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三级B</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3"/>
                  <w:tcBorders>
                    <w:tl2br w:val="nil"/>
                    <w:tr2bl w:val="nil"/>
                  </w:tcBorders>
                  <w:vAlign w:val="center"/>
                </w:tcPr>
                <w:p>
                  <w:pPr>
                    <w:adjustRightInd w:val="0"/>
                    <w:jc w:val="left"/>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注10：建设项目生产工艺中有废水产生，但作为回水利用，不排放到外环境的，按三级B评价。</w:t>
                  </w:r>
                </w:p>
              </w:tc>
            </w:tr>
          </w:tbl>
          <w:p>
            <w:pPr>
              <w:spacing w:line="360" w:lineRule="auto"/>
              <w:contextualSpacing/>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2.2地表水环境影响分析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施工期的废水主要来自项目部</w:t>
            </w:r>
            <w:r>
              <w:rPr>
                <w:rFonts w:hint="eastAsia"/>
                <w:color w:val="000000" w:themeColor="text1"/>
                <w:sz w:val="24"/>
                <w:lang w:val="en-US" w:eastAsia="zh-CN"/>
                <w14:textFill>
                  <w14:solidFill>
                    <w14:schemeClr w14:val="tx1"/>
                  </w14:solidFill>
                </w14:textFill>
              </w:rPr>
              <w:t>和</w:t>
            </w:r>
            <w:r>
              <w:rPr>
                <w:rFonts w:hint="eastAsia"/>
                <w:color w:val="000000" w:themeColor="text1"/>
                <w:sz w:val="24"/>
                <w14:textFill>
                  <w14:solidFill>
                    <w14:schemeClr w14:val="tx1"/>
                  </w14:solidFill>
                </w14:textFill>
              </w:rPr>
              <w:t>钻探</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生活污水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钻井施工中的钻井泥浆废水、设备冲洗废水。项目部依托周边村庄现有旱厕，生活洗漱废水用于洒水抑尘；钻探施工区的生活区设旱厕，生活洗漱污水用于洒水抑尘。钻井泥浆池中的上清液循环使用，过程需补充一定消耗水量，废水全部循环，不外排。设备冲洗废水进入泥浆池沉淀自然干化，不外排。</w:t>
            </w:r>
          </w:p>
          <w:p>
            <w:pPr>
              <w:spacing w:line="360" w:lineRule="auto"/>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本次评价提出以下地表水污染防治措施：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①施工过程中清洁设备尽量采用擦洗，避免直接冲洗，减少清水使用量；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②严禁在水体附近清洗施工器具、机械等；加强施工机械维护，防止施工机械漏油，若有漏油现象应及时收集，并用专门容器盛装后统一处理；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③水泥等封孔材料应设篷盖和围拦，防止雨水冲刷进入水体。</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采取以上防治措施后，施工期污、废水不外排，不会对地表水环境产生影响。</w:t>
            </w:r>
          </w:p>
          <w:p>
            <w:pPr>
              <w:pStyle w:val="19"/>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3、</w:t>
            </w:r>
            <w:r>
              <w:rPr>
                <w:rFonts w:hint="eastAsia"/>
                <w:b/>
                <w:color w:val="000000" w:themeColor="text1"/>
                <w:sz w:val="24"/>
                <w14:textFill>
                  <w14:solidFill>
                    <w14:schemeClr w14:val="tx1"/>
                  </w14:solidFill>
                </w14:textFill>
              </w:rPr>
              <w:t>声环境影响分析</w:t>
            </w:r>
          </w:p>
          <w:p>
            <w:pPr>
              <w:spacing w:line="360" w:lineRule="auto"/>
              <w:contextualSpacing/>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3.1评价等级判定</w:t>
            </w:r>
          </w:p>
          <w:p>
            <w:pPr>
              <w:spacing w:line="360" w:lineRule="auto"/>
              <w:ind w:firstLine="480" w:firstLineChars="200"/>
              <w:rPr>
                <w:rFonts w:hAnsi="宋体"/>
                <w:color w:val="000000" w:themeColor="text1"/>
                <w:kern w:val="0"/>
                <w:sz w:val="24"/>
                <w:szCs w:val="20"/>
                <w14:textFill>
                  <w14:solidFill>
                    <w14:schemeClr w14:val="tx1"/>
                  </w14:solidFill>
                </w14:textFill>
              </w:rPr>
            </w:pPr>
            <w:r>
              <w:rPr>
                <w:rFonts w:hint="eastAsia" w:hAnsi="宋体"/>
                <w:color w:val="000000" w:themeColor="text1"/>
                <w:kern w:val="0"/>
                <w:sz w:val="24"/>
                <w:szCs w:val="20"/>
                <w14:textFill>
                  <w14:solidFill>
                    <w14:schemeClr w14:val="tx1"/>
                  </w14:solidFill>
                </w14:textFill>
              </w:rPr>
              <w:t>本项目所在区域声环境质量执行《声环境质量标准》（</w:t>
            </w:r>
            <w:r>
              <w:rPr>
                <w:rFonts w:hAnsi="宋体"/>
                <w:color w:val="000000" w:themeColor="text1"/>
                <w:kern w:val="0"/>
                <w:sz w:val="24"/>
                <w:szCs w:val="20"/>
                <w14:textFill>
                  <w14:solidFill>
                    <w14:schemeClr w14:val="tx1"/>
                  </w14:solidFill>
                </w14:textFill>
              </w:rPr>
              <w:t>GB3096-2008</w:t>
            </w:r>
            <w:r>
              <w:rPr>
                <w:rFonts w:hint="eastAsia" w:hAnsi="宋体"/>
                <w:color w:val="000000" w:themeColor="text1"/>
                <w:kern w:val="0"/>
                <w:sz w:val="24"/>
                <w:szCs w:val="20"/>
                <w14:textFill>
                  <w14:solidFill>
                    <w14:schemeClr w14:val="tx1"/>
                  </w14:solidFill>
                </w14:textFill>
              </w:rPr>
              <w:t>）中</w:t>
            </w:r>
            <w:r>
              <w:rPr>
                <w:rFonts w:hAnsi="宋体"/>
                <w:color w:val="000000" w:themeColor="text1"/>
                <w:kern w:val="0"/>
                <w:sz w:val="24"/>
                <w:szCs w:val="20"/>
                <w14:textFill>
                  <w14:solidFill>
                    <w14:schemeClr w14:val="tx1"/>
                  </w14:solidFill>
                </w14:textFill>
              </w:rPr>
              <w:t>1</w:t>
            </w:r>
            <w:r>
              <w:rPr>
                <w:rFonts w:hint="eastAsia" w:hAnsi="宋体"/>
                <w:color w:val="000000" w:themeColor="text1"/>
                <w:kern w:val="0"/>
                <w:sz w:val="24"/>
                <w:szCs w:val="20"/>
                <w14:textFill>
                  <w14:solidFill>
                    <w14:schemeClr w14:val="tx1"/>
                  </w14:solidFill>
                </w14:textFill>
              </w:rPr>
              <w:t>类区标准要求。根据《环境影响评价技术导则</w:t>
            </w:r>
            <w:r>
              <w:rPr>
                <w:rFonts w:hAnsi="宋体"/>
                <w:color w:val="000000" w:themeColor="text1"/>
                <w:kern w:val="0"/>
                <w:sz w:val="24"/>
                <w:szCs w:val="20"/>
                <w14:textFill>
                  <w14:solidFill>
                    <w14:schemeClr w14:val="tx1"/>
                  </w14:solidFill>
                </w14:textFill>
              </w:rPr>
              <w:t xml:space="preserve"> </w:t>
            </w:r>
            <w:r>
              <w:rPr>
                <w:rFonts w:hint="eastAsia" w:hAnsi="宋体"/>
                <w:color w:val="000000" w:themeColor="text1"/>
                <w:kern w:val="0"/>
                <w:sz w:val="24"/>
                <w:szCs w:val="20"/>
                <w14:textFill>
                  <w14:solidFill>
                    <w14:schemeClr w14:val="tx1"/>
                  </w14:solidFill>
                </w14:textFill>
              </w:rPr>
              <w:t>声环境》（</w:t>
            </w:r>
            <w:r>
              <w:rPr>
                <w:rFonts w:hAnsi="宋体"/>
                <w:color w:val="000000" w:themeColor="text1"/>
                <w:kern w:val="0"/>
                <w:sz w:val="24"/>
                <w:szCs w:val="20"/>
                <w14:textFill>
                  <w14:solidFill>
                    <w14:schemeClr w14:val="tx1"/>
                  </w14:solidFill>
                </w14:textFill>
              </w:rPr>
              <w:t>HJ2.4-2009</w:t>
            </w:r>
            <w:r>
              <w:rPr>
                <w:rFonts w:hint="eastAsia" w:hAnsi="宋体"/>
                <w:color w:val="000000" w:themeColor="text1"/>
                <w:kern w:val="0"/>
                <w:sz w:val="24"/>
                <w:szCs w:val="20"/>
                <w14:textFill>
                  <w14:solidFill>
                    <w14:schemeClr w14:val="tx1"/>
                  </w14:solidFill>
                </w14:textFill>
              </w:rPr>
              <w:t>），项目声环境评价等级为二级</w:t>
            </w:r>
            <w:r>
              <w:rPr>
                <w:rFonts w:hint="eastAsia" w:hAnsi="宋体"/>
                <w:color w:val="000000" w:themeColor="text1"/>
                <w:kern w:val="0"/>
                <w:sz w:val="24"/>
                <w:szCs w:val="20"/>
                <w:lang w:eastAsia="zh-CN"/>
                <w14:textFill>
                  <w14:solidFill>
                    <w14:schemeClr w14:val="tx1"/>
                  </w14:solidFill>
                </w14:textFill>
              </w:rPr>
              <w:t>，</w:t>
            </w:r>
            <w:r>
              <w:rPr>
                <w:rFonts w:hint="eastAsia" w:hAnsi="宋体"/>
                <w:color w:val="000000" w:themeColor="text1"/>
                <w:kern w:val="0"/>
                <w:sz w:val="24"/>
                <w:szCs w:val="20"/>
                <w14:textFill>
                  <w14:solidFill>
                    <w14:schemeClr w14:val="tx1"/>
                  </w14:solidFill>
                </w14:textFill>
              </w:rPr>
              <w:t>评价范围为钻孔施工平台边界向外</w:t>
            </w:r>
            <w:r>
              <w:rPr>
                <w:rFonts w:hAnsi="宋体"/>
                <w:color w:val="000000" w:themeColor="text1"/>
                <w:kern w:val="0"/>
                <w:sz w:val="24"/>
                <w:szCs w:val="20"/>
                <w14:textFill>
                  <w14:solidFill>
                    <w14:schemeClr w14:val="tx1"/>
                  </w14:solidFill>
                </w14:textFill>
              </w:rPr>
              <w:t>250m</w:t>
            </w:r>
            <w:r>
              <w:rPr>
                <w:rFonts w:hint="eastAsia" w:hAnsi="宋体"/>
                <w:color w:val="000000" w:themeColor="text1"/>
                <w:kern w:val="0"/>
                <w:sz w:val="24"/>
                <w:szCs w:val="20"/>
                <w14:textFill>
                  <w14:solidFill>
                    <w14:schemeClr w14:val="tx1"/>
                  </w14:solidFill>
                </w14:textFill>
              </w:rPr>
              <w:t>。</w:t>
            </w:r>
          </w:p>
          <w:p>
            <w:pPr>
              <w:adjustRightInd w:val="0"/>
              <w:spacing w:line="360" w:lineRule="auto"/>
              <w:contextualSpacing/>
              <w:rPr>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3.2声环境影响分析</w:t>
            </w:r>
          </w:p>
          <w:p>
            <w:pPr>
              <w:pStyle w:val="17"/>
              <w:adjustRightInd/>
              <w:spacing w:line="360" w:lineRule="auto"/>
              <w:ind w:firstLine="480" w:firstLineChars="200"/>
              <w:jc w:val="both"/>
              <w:rPr>
                <w:rFonts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勘查过程中，机械噪声会对周边环境产生影响，固定性声源主要有钻探机组、柴油发电机、泥浆泵、除砂器及泥浆搅拌机，噪声级一般65～95dB（A）；流动性声源主要指运输车辆，噪声级一般65～75dB（A）。</w:t>
            </w:r>
          </w:p>
          <w:p>
            <w:pPr>
              <w:pStyle w:val="17"/>
              <w:adjustRightInd/>
              <w:spacing w:line="360" w:lineRule="auto"/>
              <w:ind w:firstLine="480" w:firstLineChars="200"/>
              <w:jc w:val="both"/>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w:t>
            </w:r>
            <w:r>
              <w:rPr>
                <w:rFonts w:ascii="Times New Roman" w:hAnsi="Times New Roman" w:cs="Times New Roman"/>
                <w:bCs/>
                <w:color w:val="000000" w:themeColor="text1"/>
                <w14:textFill>
                  <w14:solidFill>
                    <w14:schemeClr w14:val="tx1"/>
                  </w14:solidFill>
                </w14:textFill>
              </w:rPr>
              <w:t>1</w:t>
            </w:r>
            <w:r>
              <w:rPr>
                <w:rFonts w:ascii="Times New Roman" w:hAnsi="Times New Roman" w:cs="Times New Roman"/>
                <w:color w:val="000000" w:themeColor="text1"/>
                <w14:textFill>
                  <w14:solidFill>
                    <w14:schemeClr w14:val="tx1"/>
                  </w14:solidFill>
                </w14:textFill>
              </w:rPr>
              <w:t>）噪声源强</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钻井噪声固定声源主要来源于钻探机组、柴油发电机、泥浆泵、除砂器及泥浆搅拌机，噪声源强在65～95dB（A)，对环境影响较大。钻机产生的影响主要为钻机设备产生的振动，随着钻机钻探深度增加，在地层屏蔽的作用下，影响逐渐减小。</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目前，钻井噪声处理难度较大，减轻钻井噪声影响的主要措施是柴油发电机自带消音装置，在柴油机、钻机、泥浆泵等设备设置减振，在钻井过程中平稳操作，避免产生非正常的噪声，通过以上措施可以降低噪声约</w:t>
            </w:r>
            <w:r>
              <w:rPr>
                <w:snapToGrid w:val="0"/>
                <w:color w:val="000000" w:themeColor="text1"/>
                <w:kern w:val="0"/>
                <w:sz w:val="24"/>
                <w14:textFill>
                  <w14:solidFill>
                    <w14:schemeClr w14:val="tx1"/>
                  </w14:solidFill>
                </w14:textFill>
              </w:rPr>
              <w:t>5</w:t>
            </w:r>
            <w:r>
              <w:rPr>
                <w:rFonts w:hint="eastAsia"/>
                <w:snapToGrid w:val="0"/>
                <w:color w:val="000000" w:themeColor="text1"/>
                <w:kern w:val="0"/>
                <w:sz w:val="24"/>
                <w:lang w:val="en-US" w:eastAsia="zh-CN"/>
                <w14:textFill>
                  <w14:solidFill>
                    <w14:schemeClr w14:val="tx1"/>
                  </w14:solidFill>
                </w14:textFill>
              </w:rPr>
              <w:t>-10</w:t>
            </w:r>
            <w:r>
              <w:rPr>
                <w:snapToGrid w:val="0"/>
                <w:color w:val="000000" w:themeColor="text1"/>
                <w:kern w:val="0"/>
                <w:sz w:val="24"/>
                <w14:textFill>
                  <w14:solidFill>
                    <w14:schemeClr w14:val="tx1"/>
                  </w14:solidFill>
                </w14:textFill>
              </w:rPr>
              <w:t>dB(A)</w:t>
            </w:r>
            <w:r>
              <w:rPr>
                <w:rFonts w:hint="eastAsia"/>
                <w:snapToGrid w:val="0"/>
                <w:color w:val="000000" w:themeColor="text1"/>
                <w:kern w:val="0"/>
                <w:sz w:val="24"/>
                <w14:textFill>
                  <w14:solidFill>
                    <w14:schemeClr w14:val="tx1"/>
                  </w14:solidFill>
                </w14:textFill>
              </w:rPr>
              <w:t>左右。单个钻井平台降噪前后噪声源强见表</w:t>
            </w:r>
            <w:r>
              <w:rPr>
                <w:snapToGrid w:val="0"/>
                <w:color w:val="000000" w:themeColor="text1"/>
                <w:kern w:val="0"/>
                <w:sz w:val="24"/>
                <w14:textFill>
                  <w14:solidFill>
                    <w14:schemeClr w14:val="tx1"/>
                  </w14:solidFill>
                </w14:textFill>
              </w:rPr>
              <w:t>8-</w:t>
            </w:r>
            <w:r>
              <w:rPr>
                <w:rFonts w:hint="eastAsia"/>
                <w:snapToGrid w:val="0"/>
                <w:color w:val="000000" w:themeColor="text1"/>
                <w:kern w:val="0"/>
                <w:sz w:val="24"/>
                <w:lang w:val="en-US" w:eastAsia="zh-CN"/>
                <w14:textFill>
                  <w14:solidFill>
                    <w14:schemeClr w14:val="tx1"/>
                  </w14:solidFill>
                </w14:textFill>
              </w:rPr>
              <w:t>5</w:t>
            </w:r>
            <w:r>
              <w:rPr>
                <w:rFonts w:hint="eastAsia"/>
                <w:snapToGrid w:val="0"/>
                <w:color w:val="000000" w:themeColor="text1"/>
                <w:kern w:val="0"/>
                <w:sz w:val="24"/>
                <w14:textFill>
                  <w14:solidFill>
                    <w14:schemeClr w14:val="tx1"/>
                  </w14:solidFill>
                </w14:textFill>
              </w:rPr>
              <w:t>。</w:t>
            </w:r>
          </w:p>
          <w:p>
            <w:pPr>
              <w:jc w:val="center"/>
              <w:rPr>
                <w:b/>
                <w:bCs/>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 xml:space="preserve">  单个钻井平台降噪前后噪声源强   单位：dB（A）</w:t>
            </w:r>
          </w:p>
          <w:tbl>
            <w:tblPr>
              <w:tblStyle w:val="1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031"/>
              <w:gridCol w:w="1840"/>
              <w:gridCol w:w="1603"/>
              <w:gridCol w:w="1364"/>
              <w:gridCol w:w="1982"/>
              <w:gridCol w:w="174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tblHeader/>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设备名称</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数量</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源强</w:t>
                  </w:r>
                </w:p>
              </w:tc>
              <w:tc>
                <w:tcPr>
                  <w:tcW w:w="103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降噪措施</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降噪后源强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w:t>
                  </w:r>
                </w:p>
              </w:tc>
              <w:tc>
                <w:tcPr>
                  <w:tcW w:w="1036" w:type="pct"/>
                  <w:tcBorders>
                    <w:tl2br w:val="nil"/>
                    <w:tr2bl w:val="nil"/>
                  </w:tcBorders>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snapToGrid w:val="0"/>
                      <w:color w:val="000000" w:themeColor="text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w:t>
                  </w:r>
                </w:p>
              </w:tc>
              <w:tc>
                <w:tcPr>
                  <w:tcW w:w="1036" w:type="pct"/>
                  <w:tcBorders>
                    <w:tl2br w:val="nil"/>
                    <w:tr2bl w:val="nil"/>
                  </w:tcBorders>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hint="eastAsia"/>
                      <w:snapToGrid w:val="0"/>
                      <w:color w:val="000000" w:themeColor="text1"/>
                      <w14:textFill>
                        <w14:solidFill>
                          <w14:schemeClr w14:val="tx1"/>
                        </w14:solidFill>
                      </w14:textFill>
                    </w:rPr>
                    <w:t>自带消音装置</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14:textFill>
                        <w14:solidFill>
                          <w14:schemeClr w14:val="tx1"/>
                        </w14:solidFill>
                      </w14:textFill>
                    </w:rPr>
                    <w:t>90</w:t>
                  </w:r>
                </w:p>
              </w:tc>
              <w:tc>
                <w:tcPr>
                  <w:tcW w:w="1036" w:type="pct"/>
                  <w:tcBorders>
                    <w:tl2br w:val="nil"/>
                    <w:tr2bl w:val="nil"/>
                  </w:tcBorders>
                  <w:vAlign w:val="center"/>
                </w:tcPr>
                <w:p>
                  <w:pPr>
                    <w:adjustRightInd w:val="0"/>
                    <w:snapToGrid w:val="0"/>
                    <w:jc w:val="center"/>
                    <w:rPr>
                      <w:snapToGrid w:val="0"/>
                      <w:color w:val="000000" w:themeColor="text1"/>
                      <w:kern w:val="0"/>
                      <w:szCs w:val="21"/>
                      <w:highlight w:val="yellow"/>
                      <w14:textFill>
                        <w14:solidFill>
                          <w14:schemeClr w14:val="tx1"/>
                        </w14:solidFill>
                      </w14:textFill>
                    </w:rPr>
                  </w:pPr>
                  <w:r>
                    <w:rPr>
                      <w:snapToGrid w:val="0"/>
                      <w:color w:val="000000" w:themeColor="text1"/>
                      <w:kern w:val="0"/>
                      <w:szCs w:val="2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除砂器</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kern w:val="2"/>
                      <w14:textFill>
                        <w14:solidFill>
                          <w14:schemeClr w14:val="tx1"/>
                        </w14:solidFill>
                      </w14:textFill>
                    </w:rPr>
                    <w:t>90</w:t>
                  </w:r>
                </w:p>
              </w:tc>
              <w:tc>
                <w:tcPr>
                  <w:tcW w:w="1036" w:type="pct"/>
                  <w:tcBorders>
                    <w:tl2br w:val="nil"/>
                    <w:tr2bl w:val="nil"/>
                  </w:tcBorders>
                  <w:vAlign w:val="center"/>
                </w:tcPr>
                <w:p>
                  <w:pPr>
                    <w:adjustRightInd w:val="0"/>
                    <w:snapToGrid w:val="0"/>
                    <w:jc w:val="center"/>
                    <w:rPr>
                      <w:snapToGrid w:val="0"/>
                      <w:color w:val="000000" w:themeColor="text1"/>
                      <w:kern w:val="0"/>
                      <w:szCs w:val="21"/>
                      <w14:textFill>
                        <w14:solidFill>
                          <w14:schemeClr w14:val="tx1"/>
                        </w14:solidFill>
                      </w14:textFill>
                    </w:rPr>
                  </w:pPr>
                  <w:r>
                    <w:rPr>
                      <w:snapToGrid w:val="0"/>
                      <w:color w:val="000000" w:themeColor="text1"/>
                      <w:kern w:val="0"/>
                      <w:szCs w:val="2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pStyle w:val="22"/>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kern w:val="2"/>
                      <w14:textFill>
                        <w14:solidFill>
                          <w14:schemeClr w14:val="tx1"/>
                        </w14:solidFill>
                      </w14:textFill>
                    </w:rPr>
                    <w:t>65</w:t>
                  </w:r>
                </w:p>
              </w:tc>
              <w:tc>
                <w:tcPr>
                  <w:tcW w:w="1036" w:type="pct"/>
                  <w:tcBorders>
                    <w:tl2br w:val="nil"/>
                    <w:tr2bl w:val="nil"/>
                  </w:tcBorders>
                  <w:vAlign w:val="center"/>
                </w:tcPr>
                <w:p>
                  <w:pPr>
                    <w:adjustRightInd w:val="0"/>
                    <w:snapToGrid w:val="0"/>
                    <w:jc w:val="center"/>
                    <w:rPr>
                      <w:snapToGrid w:val="0"/>
                      <w:color w:val="000000" w:themeColor="text1"/>
                      <w:kern w:val="0"/>
                      <w:szCs w:val="21"/>
                      <w14:textFill>
                        <w14:solidFill>
                          <w14:schemeClr w14:val="tx1"/>
                        </w14:solidFill>
                      </w14:textFill>
                    </w:rPr>
                  </w:pPr>
                  <w:r>
                    <w:rPr>
                      <w:snapToGrid w:val="0"/>
                      <w:color w:val="000000" w:themeColor="text1"/>
                      <w:kern w:val="0"/>
                      <w:szCs w:val="21"/>
                      <w14:textFill>
                        <w14:solidFill>
                          <w14:schemeClr w14:val="tx1"/>
                        </w14:solidFill>
                      </w14:textFill>
                    </w:rPr>
                    <w:t>/</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65</w:t>
                  </w:r>
                </w:p>
              </w:tc>
            </w:tr>
          </w:tbl>
          <w:p>
            <w:pPr>
              <w:autoSpaceDE w:val="0"/>
              <w:autoSpaceDN w:val="0"/>
              <w:spacing w:line="360" w:lineRule="auto"/>
              <w:ind w:firstLine="480" w:firstLineChars="200"/>
              <w:rPr>
                <w:rFonts w:ascii="宋体" w:cs="宋体"/>
                <w:color w:val="000000" w:themeColor="text1"/>
                <w:kern w:val="0"/>
                <w:sz w:val="24"/>
                <w14:textFill>
                  <w14:solidFill>
                    <w14:schemeClr w14:val="tx1"/>
                  </w14:solidFill>
                </w14:textFill>
              </w:rPr>
            </w:pPr>
            <w:r>
              <w:rPr>
                <w:rFonts w:hint="eastAsia" w:ascii="宋体" w:cs="宋体"/>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2</w:t>
            </w:r>
            <w:r>
              <w:rPr>
                <w:rFonts w:hint="eastAsia" w:ascii="宋体" w:cs="宋体"/>
                <w:color w:val="000000" w:themeColor="text1"/>
                <w:sz w:val="24"/>
                <w14:textFill>
                  <w14:solidFill>
                    <w14:schemeClr w14:val="tx1"/>
                  </w14:solidFill>
                </w14:textFill>
              </w:rPr>
              <w:t>）</w:t>
            </w:r>
            <w:r>
              <w:rPr>
                <w:rFonts w:hint="eastAsia"/>
                <w:snapToGrid w:val="0"/>
                <w:color w:val="000000" w:themeColor="text1"/>
                <w:kern w:val="0"/>
                <w:sz w:val="24"/>
                <w14:textFill>
                  <w14:solidFill>
                    <w14:schemeClr w14:val="tx1"/>
                  </w14:solidFill>
                </w14:textFill>
              </w:rPr>
              <w:t>预测模式</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hAnsi="宋体"/>
                <w:snapToGrid w:val="0"/>
                <w:color w:val="000000" w:themeColor="text1"/>
                <w:kern w:val="0"/>
                <w:sz w:val="24"/>
                <w14:textFill>
                  <w14:solidFill>
                    <w14:schemeClr w14:val="tx1"/>
                  </w14:solidFill>
                </w14:textFill>
              </w:rPr>
              <w:t>井场</w:t>
            </w:r>
            <w:r>
              <w:rPr>
                <w:rFonts w:hAnsi="宋体"/>
                <w:snapToGrid w:val="0"/>
                <w:color w:val="000000" w:themeColor="text1"/>
                <w:kern w:val="0"/>
                <w:sz w:val="24"/>
                <w14:textFill>
                  <w14:solidFill>
                    <w14:schemeClr w14:val="tx1"/>
                  </w14:solidFill>
                </w14:textFill>
              </w:rPr>
              <w:t>设备噪声可近似视为点声源处理，根据点声源噪声衰减模式，估算距离声源不同距离处的噪声值，预测模式如下：</w:t>
            </w:r>
          </w:p>
          <w:p>
            <w:pPr>
              <w:tabs>
                <w:tab w:val="left" w:pos="420"/>
                <w:tab w:val="left" w:pos="840"/>
                <w:tab w:val="left" w:pos="7620"/>
              </w:tabs>
              <w:spacing w:line="360" w:lineRule="auto"/>
              <w:jc w:val="center"/>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drawing>
                <wp:inline distT="0" distB="0" distL="0" distR="0">
                  <wp:extent cx="1603375" cy="267970"/>
                  <wp:effectExtent l="0" t="0" r="9525" b="1143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1603375" cy="267970"/>
                          </a:xfrm>
                          <a:prstGeom prst="rect">
                            <a:avLst/>
                          </a:prstGeom>
                          <a:noFill/>
                        </pic:spPr>
                      </pic:pic>
                    </a:graphicData>
                  </a:graphic>
                </wp:inline>
              </w:drawing>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式中：Lp：距声源r</w:t>
            </w:r>
            <w:r>
              <w:rPr>
                <w:snapToGrid w:val="0"/>
                <w:color w:val="000000" w:themeColor="text1"/>
                <w:kern w:val="0"/>
                <w:sz w:val="24"/>
                <w:vertAlign w:val="subscript"/>
                <w14:textFill>
                  <w14:solidFill>
                    <w14:schemeClr w14:val="tx1"/>
                  </w14:solidFill>
                </w14:textFill>
              </w:rPr>
              <w:t>m</w:t>
            </w:r>
            <w:r>
              <w:rPr>
                <w:snapToGrid w:val="0"/>
                <w:color w:val="000000" w:themeColor="text1"/>
                <w:kern w:val="0"/>
                <w:sz w:val="24"/>
                <w14:textFill>
                  <w14:solidFill>
                    <w14:schemeClr w14:val="tx1"/>
                  </w14:solidFill>
                </w14:textFill>
              </w:rPr>
              <w:t>处的施工噪声预测值，dB(A)；</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 xml:space="preserve">      Lp</w:t>
            </w:r>
            <w:r>
              <w:rPr>
                <w:snapToGrid w:val="0"/>
                <w:color w:val="000000" w:themeColor="text1"/>
                <w:kern w:val="0"/>
                <w:sz w:val="24"/>
                <w:vertAlign w:val="subscript"/>
                <w14:textFill>
                  <w14:solidFill>
                    <w14:schemeClr w14:val="tx1"/>
                  </w14:solidFill>
                </w14:textFill>
              </w:rPr>
              <w:t>0</w:t>
            </w:r>
            <w:r>
              <w:rPr>
                <w:snapToGrid w:val="0"/>
                <w:color w:val="000000" w:themeColor="text1"/>
                <w:kern w:val="0"/>
                <w:sz w:val="24"/>
                <w14:textFill>
                  <w14:solidFill>
                    <w14:schemeClr w14:val="tx1"/>
                  </w14:solidFill>
                </w14:textFill>
              </w:rPr>
              <w:t>：距声源r</w:t>
            </w:r>
            <w:r>
              <w:rPr>
                <w:snapToGrid w:val="0"/>
                <w:color w:val="000000" w:themeColor="text1"/>
                <w:kern w:val="0"/>
                <w:sz w:val="24"/>
                <w:vertAlign w:val="subscript"/>
                <w14:textFill>
                  <w14:solidFill>
                    <w14:schemeClr w14:val="tx1"/>
                  </w14:solidFill>
                </w14:textFill>
              </w:rPr>
              <w:t>0</w:t>
            </w:r>
            <w:r>
              <w:rPr>
                <w:snapToGrid w:val="0"/>
                <w:color w:val="000000" w:themeColor="text1"/>
                <w:kern w:val="0"/>
                <w:sz w:val="24"/>
                <w14:textFill>
                  <w14:solidFill>
                    <w14:schemeClr w14:val="tx1"/>
                  </w14:solidFill>
                </w14:textFill>
              </w:rPr>
              <w:t>处的噪声参考值，dB(A)</w:t>
            </w:r>
            <w:r>
              <w:rPr>
                <w:rFonts w:hint="eastAsia"/>
                <w:snapToGrid w:val="0"/>
                <w:color w:val="000000" w:themeColor="text1"/>
                <w:kern w:val="0"/>
                <w:sz w:val="24"/>
                <w14:textFill>
                  <w14:solidFill>
                    <w14:schemeClr w14:val="tx1"/>
                  </w14:solidFill>
                </w14:textFill>
              </w:rPr>
              <w:t>。</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多台设备同时运行的噪声级是多个声源衰减后叠加声级，预测模式如下：</w:t>
            </w:r>
          </w:p>
          <w:p>
            <w:pPr>
              <w:spacing w:line="360" w:lineRule="auto"/>
              <w:jc w:val="center"/>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Lpn=</w:t>
            </w:r>
            <w:r>
              <w:rPr>
                <w:snapToGrid w:val="0"/>
                <w:color w:val="000000" w:themeColor="text1"/>
                <w:kern w:val="0"/>
                <w:sz w:val="24"/>
                <w14:textFill>
                  <w14:solidFill>
                    <w14:schemeClr w14:val="tx1"/>
                  </w14:solidFill>
                </w14:textFill>
              </w:rPr>
              <w:t>10</w:t>
            </w:r>
            <w:r>
              <w:rPr>
                <w:rFonts w:hint="eastAsia"/>
                <w:snapToGrid w:val="0"/>
                <w:color w:val="000000" w:themeColor="text1"/>
                <w:kern w:val="0"/>
                <w:sz w:val="24"/>
                <w14:textFill>
                  <w14:solidFill>
                    <w14:schemeClr w14:val="tx1"/>
                  </w14:solidFill>
                </w14:textFill>
              </w:rPr>
              <w:t>lg[</w:t>
            </w:r>
            <m:oMath>
              <m:nary>
                <m:naryPr>
                  <m:chr m:val="∑"/>
                  <m:limLoc m:val="undOvr"/>
                  <m:ctrlPr>
                    <w:rPr>
                      <w:rFonts w:ascii="Cambria Math" w:hAnsi="Cambria Math"/>
                      <w:i/>
                      <w:snapToGrid w:val="0"/>
                      <w:color w:val="000000" w:themeColor="text1"/>
                      <w:kern w:val="0"/>
                      <w:sz w:val="24"/>
                      <w14:textFill>
                        <w14:solidFill>
                          <w14:schemeClr w14:val="tx1"/>
                        </w14:solidFill>
                      </w14:textFill>
                    </w:rPr>
                  </m:ctrlPr>
                </m:naryPr>
                <m:sub>
                  <m:r>
                    <w:rPr>
                      <w:rFonts w:hint="eastAsia" w:ascii="Cambria Math" w:hAnsi="Cambria Math"/>
                      <w:snapToGrid w:val="0"/>
                      <w:color w:val="000000" w:themeColor="text1"/>
                      <w:kern w:val="0"/>
                      <w:sz w:val="24"/>
                      <w14:textFill>
                        <w14:solidFill>
                          <w14:schemeClr w14:val="tx1"/>
                        </w14:solidFill>
                      </w14:textFill>
                    </w:rPr>
                    <m:t>i=</m:t>
                  </m:r>
                  <m:r>
                    <w:rPr>
                      <w:rFonts w:ascii="Cambria Math" w:hAnsi="Cambria Math"/>
                      <w:snapToGrid w:val="0"/>
                      <w:color w:val="000000" w:themeColor="text1"/>
                      <w:kern w:val="0"/>
                      <w:sz w:val="24"/>
                      <w14:textFill>
                        <w14:solidFill>
                          <w14:schemeClr w14:val="tx1"/>
                        </w14:solidFill>
                      </w14:textFill>
                    </w:rPr>
                    <m:t>1</m:t>
                  </m:r>
                  <m:ctrlPr>
                    <w:rPr>
                      <w:rFonts w:ascii="Cambria Math" w:hAnsi="Cambria Math"/>
                      <w:i/>
                      <w:snapToGrid w:val="0"/>
                      <w:color w:val="000000" w:themeColor="text1"/>
                      <w:kern w:val="0"/>
                      <w:sz w:val="24"/>
                      <w14:textFill>
                        <w14:solidFill>
                          <w14:schemeClr w14:val="tx1"/>
                        </w14:solidFill>
                      </w14:textFill>
                    </w:rPr>
                  </m:ctrlPr>
                </m:sub>
                <m:sup>
                  <m:r>
                    <w:rPr>
                      <w:rFonts w:hint="eastAsia" w:ascii="Cambria Math" w:hAnsi="Cambria Math"/>
                      <w:snapToGrid w:val="0"/>
                      <w:color w:val="000000" w:themeColor="text1"/>
                      <w:kern w:val="0"/>
                      <w:sz w:val="24"/>
                      <w14:textFill>
                        <w14:solidFill>
                          <w14:schemeClr w14:val="tx1"/>
                        </w14:solidFill>
                      </w14:textFill>
                    </w:rPr>
                    <m:t>n</m:t>
                  </m:r>
                  <m:ctrlPr>
                    <w:rPr>
                      <w:rFonts w:ascii="Cambria Math" w:hAnsi="Cambria Math"/>
                      <w:i/>
                      <w:snapToGrid w:val="0"/>
                      <w:color w:val="000000" w:themeColor="text1"/>
                      <w:kern w:val="0"/>
                      <w:sz w:val="24"/>
                      <w14:textFill>
                        <w14:solidFill>
                          <w14:schemeClr w14:val="tx1"/>
                        </w14:solidFill>
                      </w14:textFill>
                    </w:rPr>
                  </m:ctrlPr>
                </m:sup>
                <m:e>
                  <m:sSup>
                    <m:sSupPr>
                      <m:ctrlPr>
                        <w:rPr>
                          <w:rFonts w:ascii="Cambria Math" w:hAnsi="Cambria Math"/>
                          <w:i/>
                          <w:snapToGrid w:val="0"/>
                          <w:color w:val="000000" w:themeColor="text1"/>
                          <w:kern w:val="0"/>
                          <w:sz w:val="24"/>
                          <w14:textFill>
                            <w14:solidFill>
                              <w14:schemeClr w14:val="tx1"/>
                            </w14:solidFill>
                          </w14:textFill>
                        </w:rPr>
                      </m:ctrlPr>
                    </m:sSupPr>
                    <m:e>
                      <m:r>
                        <w:rPr>
                          <w:rFonts w:ascii="Cambria Math" w:hAnsi="Cambria Math"/>
                          <w:snapToGrid w:val="0"/>
                          <w:color w:val="000000" w:themeColor="text1"/>
                          <w:kern w:val="0"/>
                          <w:sz w:val="24"/>
                          <w14:textFill>
                            <w14:solidFill>
                              <w14:schemeClr w14:val="tx1"/>
                            </w14:solidFill>
                          </w14:textFill>
                        </w:rPr>
                        <m:t>10</m:t>
                      </m:r>
                      <m:ctrlPr>
                        <w:rPr>
                          <w:rFonts w:ascii="Cambria Math" w:hAnsi="Cambria Math"/>
                          <w:i/>
                          <w:snapToGrid w:val="0"/>
                          <w:color w:val="000000" w:themeColor="text1"/>
                          <w:kern w:val="0"/>
                          <w:sz w:val="24"/>
                          <w14:textFill>
                            <w14:solidFill>
                              <w14:schemeClr w14:val="tx1"/>
                            </w14:solidFill>
                          </w14:textFill>
                        </w:rPr>
                      </m:ctrlPr>
                    </m:e>
                    <m:sup>
                      <m:r>
                        <w:rPr>
                          <w:rFonts w:ascii="Cambria Math" w:hAnsi="Cambria Math"/>
                          <w:snapToGrid w:val="0"/>
                          <w:color w:val="000000" w:themeColor="text1"/>
                          <w:kern w:val="0"/>
                          <w:sz w:val="24"/>
                          <w14:textFill>
                            <w14:solidFill>
                              <w14:schemeClr w14:val="tx1"/>
                            </w14:solidFill>
                          </w14:textFill>
                        </w:rPr>
                        <m:t>0.1</m:t>
                      </m:r>
                      <m:sSub>
                        <m:sSubPr>
                          <m:ctrlPr>
                            <w:rPr>
                              <w:rFonts w:ascii="Cambria Math" w:hAnsi="Cambria Math"/>
                              <w:i/>
                              <w:snapToGrid w:val="0"/>
                              <w:color w:val="000000" w:themeColor="text1"/>
                              <w:kern w:val="0"/>
                              <w:sz w:val="24"/>
                              <w14:textFill>
                                <w14:solidFill>
                                  <w14:schemeClr w14:val="tx1"/>
                                </w14:solidFill>
                              </w14:textFill>
                            </w:rPr>
                          </m:ctrlPr>
                        </m:sSubPr>
                        <m:e>
                          <m:r>
                            <w:rPr>
                              <w:rFonts w:hint="eastAsia" w:ascii="Cambria Math" w:hAnsi="Cambria Math"/>
                              <w:snapToGrid w:val="0"/>
                              <w:color w:val="000000" w:themeColor="text1"/>
                              <w:kern w:val="0"/>
                              <w:sz w:val="24"/>
                              <w14:textFill>
                                <w14:solidFill>
                                  <w14:schemeClr w14:val="tx1"/>
                                </w14:solidFill>
                              </w14:textFill>
                            </w:rPr>
                            <m:t>L</m:t>
                          </m:r>
                          <m:ctrlPr>
                            <w:rPr>
                              <w:rFonts w:ascii="Cambria Math" w:hAnsi="Cambria Math"/>
                              <w:i/>
                              <w:snapToGrid w:val="0"/>
                              <w:color w:val="000000" w:themeColor="text1"/>
                              <w:kern w:val="0"/>
                              <w:sz w:val="24"/>
                              <w14:textFill>
                                <w14:solidFill>
                                  <w14:schemeClr w14:val="tx1"/>
                                </w14:solidFill>
                              </w14:textFill>
                            </w:rPr>
                          </m:ctrlPr>
                        </m:e>
                        <m:sub>
                          <m:r>
                            <w:rPr>
                              <w:rFonts w:hint="eastAsia" w:ascii="Cambria Math" w:hAnsi="Cambria Math"/>
                              <w:snapToGrid w:val="0"/>
                              <w:color w:val="000000" w:themeColor="text1"/>
                              <w:kern w:val="0"/>
                              <w:sz w:val="24"/>
                              <w14:textFill>
                                <w14:solidFill>
                                  <w14:schemeClr w14:val="tx1"/>
                                </w14:solidFill>
                              </w14:textFill>
                            </w:rPr>
                            <m:t>pni</m:t>
                          </m:r>
                          <m:ctrlPr>
                            <w:rPr>
                              <w:rFonts w:ascii="Cambria Math" w:hAnsi="Cambria Math"/>
                              <w:i/>
                              <w:snapToGrid w:val="0"/>
                              <w:color w:val="000000" w:themeColor="text1"/>
                              <w:kern w:val="0"/>
                              <w:sz w:val="24"/>
                              <w14:textFill>
                                <w14:solidFill>
                                  <w14:schemeClr w14:val="tx1"/>
                                </w14:solidFill>
                              </w14:textFill>
                            </w:rPr>
                          </m:ctrlPr>
                        </m:sub>
                      </m:sSub>
                      <m:ctrlPr>
                        <w:rPr>
                          <w:rFonts w:ascii="Cambria Math" w:hAnsi="Cambria Math"/>
                          <w:i/>
                          <w:snapToGrid w:val="0"/>
                          <w:color w:val="000000" w:themeColor="text1"/>
                          <w:kern w:val="0"/>
                          <w:sz w:val="24"/>
                          <w14:textFill>
                            <w14:solidFill>
                              <w14:schemeClr w14:val="tx1"/>
                            </w14:solidFill>
                          </w14:textFill>
                        </w:rPr>
                      </m:ctrlPr>
                    </m:sup>
                  </m:sSup>
                  <m:ctrlPr>
                    <w:rPr>
                      <w:rFonts w:ascii="Cambria Math" w:hAnsi="Cambria Math"/>
                      <w:i/>
                      <w:snapToGrid w:val="0"/>
                      <w:color w:val="000000" w:themeColor="text1"/>
                      <w:kern w:val="0"/>
                      <w:sz w:val="24"/>
                      <w14:textFill>
                        <w14:solidFill>
                          <w14:schemeClr w14:val="tx1"/>
                        </w14:solidFill>
                      </w14:textFill>
                    </w:rPr>
                  </m:ctrlPr>
                </m:e>
              </m:nary>
            </m:oMath>
            <w:r>
              <w:rPr>
                <w:snapToGrid w:val="0"/>
                <w:color w:val="000000" w:themeColor="text1"/>
                <w:kern w:val="0"/>
                <w:sz w:val="24"/>
                <w14:textFill>
                  <w14:solidFill>
                    <w14:schemeClr w14:val="tx1"/>
                  </w14:solidFill>
                </w14:textFill>
              </w:rPr>
              <w:t>]</w:t>
            </w:r>
          </w:p>
          <w:p>
            <w:pPr>
              <w:spacing w:line="360" w:lineRule="auto"/>
              <w:ind w:firstLine="624" w:firstLineChars="26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式中：</w:t>
            </w:r>
            <w:r>
              <w:rPr>
                <w:bCs/>
                <w:color w:val="000000" w:themeColor="text1"/>
                <w:sz w:val="24"/>
                <w14:textFill>
                  <w14:solidFill>
                    <w14:schemeClr w14:val="tx1"/>
                  </w14:solidFill>
                </w14:textFill>
              </w:rPr>
              <w:t>L</w:t>
            </w:r>
            <w:r>
              <w:rPr>
                <w:bCs/>
                <w:color w:val="000000" w:themeColor="text1"/>
                <w:sz w:val="24"/>
                <w:vertAlign w:val="subscript"/>
                <w14:textFill>
                  <w14:solidFill>
                    <w14:schemeClr w14:val="tx1"/>
                  </w14:solidFill>
                </w14:textFill>
              </w:rPr>
              <w:t>pn</w:t>
            </w:r>
            <w:r>
              <w:rPr>
                <w:bCs/>
                <w:color w:val="000000" w:themeColor="text1"/>
                <w:sz w:val="24"/>
                <w14:textFill>
                  <w14:solidFill>
                    <w14:schemeClr w14:val="tx1"/>
                  </w14:solidFill>
                </w14:textFill>
              </w:rPr>
              <w:t>—n</w:t>
            </w:r>
            <w:r>
              <w:rPr>
                <w:rFonts w:hint="eastAsia"/>
                <w:bCs/>
                <w:color w:val="000000" w:themeColor="text1"/>
                <w:sz w:val="24"/>
                <w14:textFill>
                  <w14:solidFill>
                    <w14:schemeClr w14:val="tx1"/>
                  </w14:solidFill>
                </w14:textFill>
              </w:rPr>
              <w:t>个噪声源在预测点产生的声压级，</w:t>
            </w:r>
            <w:r>
              <w:rPr>
                <w:bCs/>
                <w:color w:val="000000" w:themeColor="text1"/>
                <w:sz w:val="24"/>
                <w14:textFill>
                  <w14:solidFill>
                    <w14:schemeClr w14:val="tx1"/>
                  </w14:solidFill>
                </w14:textFill>
              </w:rPr>
              <w:t>dB(A)</w:t>
            </w:r>
            <w:r>
              <w:rPr>
                <w:rFonts w:hint="eastAsia"/>
                <w:bCs/>
                <w:color w:val="000000" w:themeColor="text1"/>
                <w:sz w:val="24"/>
                <w14:textFill>
                  <w14:solidFill>
                    <w14:schemeClr w14:val="tx1"/>
                  </w14:solidFill>
                </w14:textFill>
              </w:rPr>
              <w:t>；</w:t>
            </w:r>
          </w:p>
          <w:p>
            <w:pPr>
              <w:spacing w:line="360" w:lineRule="auto"/>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 xml:space="preserve">      </w:t>
            </w:r>
            <w:r>
              <w:rPr>
                <w:rFonts w:hint="eastAsia"/>
                <w:bCs/>
                <w:color w:val="000000" w:themeColor="text1"/>
                <w:sz w:val="24"/>
                <w14:textFill>
                  <w14:solidFill>
                    <w14:schemeClr w14:val="tx1"/>
                  </w14:solidFill>
                </w14:textFill>
              </w:rPr>
              <w:t xml:space="preserve"> </w:t>
            </w:r>
            <w:r>
              <w:rPr>
                <w:bCs/>
                <w:color w:val="000000" w:themeColor="text1"/>
                <w:sz w:val="24"/>
                <w14:textFill>
                  <w14:solidFill>
                    <w14:schemeClr w14:val="tx1"/>
                  </w14:solidFill>
                </w14:textFill>
              </w:rPr>
              <w:t>L</w:t>
            </w:r>
            <w:r>
              <w:rPr>
                <w:bCs/>
                <w:color w:val="000000" w:themeColor="text1"/>
                <w:sz w:val="24"/>
                <w:vertAlign w:val="subscript"/>
                <w14:textFill>
                  <w14:solidFill>
                    <w14:schemeClr w14:val="tx1"/>
                  </w14:solidFill>
                </w14:textFill>
              </w:rPr>
              <w:t>pni</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第</w:t>
            </w:r>
            <w:r>
              <w:rPr>
                <w:bCs/>
                <w:color w:val="000000" w:themeColor="text1"/>
                <w:sz w:val="24"/>
                <w14:textFill>
                  <w14:solidFill>
                    <w14:schemeClr w14:val="tx1"/>
                  </w14:solidFill>
                </w14:textFill>
              </w:rPr>
              <w:t>n</w:t>
            </w:r>
            <w:r>
              <w:rPr>
                <w:rFonts w:hint="eastAsia"/>
                <w:bCs/>
                <w:color w:val="000000" w:themeColor="text1"/>
                <w:sz w:val="24"/>
                <w14:textFill>
                  <w14:solidFill>
                    <w14:schemeClr w14:val="tx1"/>
                  </w14:solidFill>
                </w14:textFill>
              </w:rPr>
              <w:t>个噪声源在预测点产生的声压级，</w:t>
            </w:r>
            <w:r>
              <w:rPr>
                <w:bCs/>
                <w:color w:val="000000" w:themeColor="text1"/>
                <w:sz w:val="24"/>
                <w14:textFill>
                  <w14:solidFill>
                    <w14:schemeClr w14:val="tx1"/>
                  </w14:solidFill>
                </w14:textFill>
              </w:rPr>
              <w:t>dB(A)</w:t>
            </w:r>
            <w:r>
              <w:rPr>
                <w:rFonts w:hint="eastAsia"/>
                <w:bCs/>
                <w:color w:val="000000" w:themeColor="text1"/>
                <w:sz w:val="24"/>
                <w14:textFill>
                  <w14:solidFill>
                    <w14:schemeClr w14:val="tx1"/>
                  </w14:solidFill>
                </w14:textFill>
              </w:rPr>
              <w:t>。</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（3）预测结果及影响分析</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预测结果见表8-</w:t>
            </w:r>
            <w:r>
              <w:rPr>
                <w:rFonts w:hint="eastAsia"/>
                <w:snapToGrid w:val="0"/>
                <w:color w:val="000000" w:themeColor="text1"/>
                <w:kern w:val="0"/>
                <w:sz w:val="24"/>
                <w:lang w:val="en-US" w:eastAsia="zh-CN"/>
                <w14:textFill>
                  <w14:solidFill>
                    <w14:schemeClr w14:val="tx1"/>
                  </w14:solidFill>
                </w14:textFill>
              </w:rPr>
              <w:t>6</w:t>
            </w:r>
            <w:r>
              <w:rPr>
                <w:snapToGrid w:val="0"/>
                <w:color w:val="000000" w:themeColor="text1"/>
                <w:kern w:val="0"/>
                <w:sz w:val="24"/>
                <w14:textFill>
                  <w14:solidFill>
                    <w14:schemeClr w14:val="tx1"/>
                  </w14:solidFill>
                </w14:textFill>
              </w:rPr>
              <w:t>。</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 xml:space="preserve">  噪声源随距离的衰减情况  </w:t>
            </w:r>
            <w:r>
              <w:rPr>
                <w:color w:val="000000" w:themeColor="text1"/>
                <w:sz w:val="24"/>
                <w14:textFill>
                  <w14:solidFill>
                    <w14:schemeClr w14:val="tx1"/>
                  </w14:solidFill>
                </w14:textFill>
              </w:rPr>
              <w:t>单位：dB(A)</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480"/>
              <w:gridCol w:w="616"/>
              <w:gridCol w:w="616"/>
              <w:gridCol w:w="587"/>
              <w:gridCol w:w="595"/>
              <w:gridCol w:w="653"/>
              <w:gridCol w:w="584"/>
              <w:gridCol w:w="595"/>
              <w:gridCol w:w="585"/>
              <w:gridCol w:w="659"/>
              <w:gridCol w:w="6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Merge w:val="restar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噪声源</w:t>
                  </w:r>
                </w:p>
              </w:tc>
              <w:tc>
                <w:tcPr>
                  <w:tcW w:w="3178" w:type="pct"/>
                  <w:gridSpan w:val="10"/>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距声源距离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Merge w:val="continue"/>
                  <w:vAlign w:val="center"/>
                </w:tcPr>
                <w:p>
                  <w:pPr>
                    <w:adjustRightInd w:val="0"/>
                    <w:snapToGrid w:val="0"/>
                    <w:jc w:val="center"/>
                    <w:rPr>
                      <w:snapToGrid w:val="0"/>
                      <w:color w:val="000000" w:themeColor="text1"/>
                      <w:szCs w:val="21"/>
                      <w14:textFill>
                        <w14:solidFill>
                          <w14:schemeClr w14:val="tx1"/>
                        </w14:solidFill>
                      </w14:textFill>
                    </w:rPr>
                  </w:pP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10</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20</w:t>
                  </w:r>
                </w:p>
              </w:tc>
              <w:tc>
                <w:tcPr>
                  <w:tcW w:w="310"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40</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60</w:t>
                  </w:r>
                </w:p>
              </w:tc>
              <w:tc>
                <w:tcPr>
                  <w:tcW w:w="34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80</w:t>
                  </w:r>
                </w:p>
              </w:tc>
              <w:tc>
                <w:tcPr>
                  <w:tcW w:w="28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100</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150</w:t>
                  </w:r>
                </w:p>
              </w:tc>
              <w:tc>
                <w:tcPr>
                  <w:tcW w:w="29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200</w:t>
                  </w:r>
                </w:p>
              </w:tc>
              <w:tc>
                <w:tcPr>
                  <w:tcW w:w="347"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w:t>
                  </w:r>
                  <w:r>
                    <w:rPr>
                      <w:snapToGrid w:val="0"/>
                      <w:color w:val="000000" w:themeColor="text1"/>
                      <w:szCs w:val="21"/>
                      <w14:textFill>
                        <w14:solidFill>
                          <w14:schemeClr w14:val="tx1"/>
                        </w14:solidFill>
                      </w14:textFill>
                    </w:rPr>
                    <w:t>50</w:t>
                  </w:r>
                </w:p>
              </w:tc>
              <w:tc>
                <w:tcPr>
                  <w:tcW w:w="31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钻探机组</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70</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63.9</w:t>
                  </w:r>
                </w:p>
              </w:tc>
              <w:tc>
                <w:tcPr>
                  <w:tcW w:w="310"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57.9</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54.4</w:t>
                  </w:r>
                </w:p>
              </w:tc>
              <w:tc>
                <w:tcPr>
                  <w:tcW w:w="34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51.9</w:t>
                  </w:r>
                </w:p>
              </w:tc>
              <w:tc>
                <w:tcPr>
                  <w:tcW w:w="28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50</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46.5</w:t>
                  </w:r>
                </w:p>
              </w:tc>
              <w:tc>
                <w:tcPr>
                  <w:tcW w:w="29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44.0</w:t>
                  </w:r>
                </w:p>
              </w:tc>
              <w:tc>
                <w:tcPr>
                  <w:tcW w:w="347"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42.0</w:t>
                  </w:r>
                </w:p>
              </w:tc>
              <w:tc>
                <w:tcPr>
                  <w:tcW w:w="31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10"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4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28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29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47"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1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10"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4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28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29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47"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1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Align w:val="center"/>
                </w:tcPr>
                <w:p>
                  <w:pPr>
                    <w:jc w:val="center"/>
                    <w:rPr>
                      <w:snapToGrid w:val="0"/>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除砂器</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10"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4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28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29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47"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1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10"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32.9</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29.4</w:t>
                  </w:r>
                </w:p>
              </w:tc>
              <w:tc>
                <w:tcPr>
                  <w:tcW w:w="34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26.9</w:t>
                  </w:r>
                </w:p>
              </w:tc>
              <w:tc>
                <w:tcPr>
                  <w:tcW w:w="28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25</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21.5</w:t>
                  </w:r>
                </w:p>
              </w:tc>
              <w:tc>
                <w:tcPr>
                  <w:tcW w:w="29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18.9</w:t>
                  </w:r>
                </w:p>
              </w:tc>
              <w:tc>
                <w:tcPr>
                  <w:tcW w:w="347"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17.0</w:t>
                  </w:r>
                </w:p>
              </w:tc>
              <w:tc>
                <w:tcPr>
                  <w:tcW w:w="31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共同运行</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72.9</w:t>
                  </w:r>
                </w:p>
              </w:tc>
              <w:tc>
                <w:tcPr>
                  <w:tcW w:w="325"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66.9</w:t>
                  </w:r>
                </w:p>
              </w:tc>
              <w:tc>
                <w:tcPr>
                  <w:tcW w:w="310"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60.8</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57.3</w:t>
                  </w:r>
                </w:p>
              </w:tc>
              <w:tc>
                <w:tcPr>
                  <w:tcW w:w="34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54.8</w:t>
                  </w:r>
                </w:p>
              </w:tc>
              <w:tc>
                <w:tcPr>
                  <w:tcW w:w="28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14"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29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47"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44.9</w:t>
                  </w:r>
                </w:p>
              </w:tc>
              <w:tc>
                <w:tcPr>
                  <w:tcW w:w="31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Align w:val="center"/>
                </w:tcPr>
                <w:p>
                  <w:pPr>
                    <w:adjustRightInd w:val="0"/>
                    <w:snapToGrid w:val="0"/>
                    <w:jc w:val="center"/>
                    <w:rPr>
                      <w:snapToGrid w:val="0"/>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《建筑施工场界环境噪声排放标准》</w:t>
                  </w:r>
                </w:p>
                <w:p>
                  <w:pPr>
                    <w:adjustRightInd w:val="0"/>
                    <w:snapToGrid w:val="0"/>
                    <w:jc w:val="center"/>
                    <w:rPr>
                      <w:snapToGrid w:val="0"/>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（GB12523-2011）</w:t>
                  </w:r>
                </w:p>
              </w:tc>
              <w:tc>
                <w:tcPr>
                  <w:tcW w:w="3178" w:type="pct"/>
                  <w:gridSpan w:val="10"/>
                  <w:vAlign w:val="center"/>
                </w:tcPr>
                <w:p>
                  <w:pPr>
                    <w:adjustRightInd w:val="0"/>
                    <w:snapToGrid w:val="0"/>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昼间≤</w:t>
                  </w:r>
                  <w:r>
                    <w:rPr>
                      <w:rFonts w:hint="eastAsia"/>
                      <w:color w:val="000000" w:themeColor="text1"/>
                      <w:szCs w:val="21"/>
                      <w14:textFill>
                        <w14:solidFill>
                          <w14:schemeClr w14:val="tx1"/>
                        </w14:solidFill>
                      </w14:textFill>
                    </w:rPr>
                    <w:t>70</w:t>
                  </w:r>
                  <w:r>
                    <w:rPr>
                      <w:color w:val="000000" w:themeColor="text1"/>
                      <w:szCs w:val="21"/>
                      <w14:textFill>
                        <w14:solidFill>
                          <w14:schemeClr w14:val="tx1"/>
                        </w14:solidFill>
                      </w14:textFill>
                    </w:rPr>
                    <w:t>dB(A)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夜间≤</w:t>
                  </w:r>
                  <w:r>
                    <w:rPr>
                      <w:rFonts w:hint="eastAsia"/>
                      <w:color w:val="000000" w:themeColor="text1"/>
                      <w:szCs w:val="21"/>
                      <w14:textFill>
                        <w14:solidFill>
                          <w14:schemeClr w14:val="tx1"/>
                        </w14:solidFill>
                      </w14:textFill>
                    </w:rPr>
                    <w:t>55</w:t>
                  </w:r>
                  <w:r>
                    <w:rPr>
                      <w:color w:val="000000" w:themeColor="text1"/>
                      <w:szCs w:val="21"/>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21"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《声环境质量标准》（GB3096-2008）</w:t>
                  </w:r>
                </w:p>
                <w:p>
                  <w:pPr>
                    <w:adjustRightInd w:val="0"/>
                    <w:snapToGrid w:val="0"/>
                    <w:jc w:val="center"/>
                    <w:rPr>
                      <w:snapToGrid w:val="0"/>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1</w:t>
                  </w:r>
                  <w:r>
                    <w:rPr>
                      <w:rFonts w:hint="eastAsia"/>
                      <w:snapToGrid w:val="0"/>
                      <w:color w:val="000000" w:themeColor="text1"/>
                      <w:szCs w:val="21"/>
                      <w14:textFill>
                        <w14:solidFill>
                          <w14:schemeClr w14:val="tx1"/>
                        </w14:solidFill>
                      </w14:textFill>
                    </w:rPr>
                    <w:t>类</w:t>
                  </w:r>
                </w:p>
              </w:tc>
              <w:tc>
                <w:tcPr>
                  <w:tcW w:w="3178" w:type="pct"/>
                  <w:gridSpan w:val="10"/>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昼间≤55dB(A)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夜间≤45dB(A)</w:t>
                  </w:r>
                </w:p>
              </w:tc>
            </w:tr>
          </w:tbl>
          <w:p>
            <w:pPr>
              <w:spacing w:line="360" w:lineRule="auto"/>
              <w:ind w:firstLine="480" w:firstLineChars="200"/>
              <w:rPr>
                <w:rFonts w:hint="eastAsia"/>
                <w:snapToGrid w:val="0"/>
                <w:color w:val="000000" w:themeColor="text1"/>
                <w:kern w:val="0"/>
                <w:sz w:val="24"/>
                <w14:textFill>
                  <w14:solidFill>
                    <w14:schemeClr w14:val="tx1"/>
                  </w14:solidFill>
                </w14:textFill>
              </w:rPr>
            </w:pPr>
            <w:r>
              <w:rPr>
                <w:rFonts w:hint="eastAsia"/>
                <w:snapToGrid w:val="0"/>
                <w:color w:val="000000" w:themeColor="text1"/>
                <w:kern w:val="0"/>
                <w:sz w:val="24"/>
                <w:lang w:val="en-US" w:eastAsia="zh-CN"/>
                <w14:textFill>
                  <w14:solidFill>
                    <w14:schemeClr w14:val="tx1"/>
                  </w14:solidFill>
                </w14:textFill>
              </w:rPr>
              <w:t>根据</w:t>
            </w:r>
            <w:r>
              <w:rPr>
                <w:rFonts w:hint="eastAsia"/>
                <w:snapToGrid w:val="0"/>
                <w:color w:val="000000" w:themeColor="text1"/>
                <w:kern w:val="0"/>
                <w:sz w:val="24"/>
                <w14:textFill>
                  <w14:solidFill>
                    <w14:schemeClr w14:val="tx1"/>
                  </w14:solidFill>
                </w14:textFill>
              </w:rPr>
              <w:t>《建筑施工场界环境噪声排放标准》（GB12523-2011），昼间场界噪声排放限值为70dB，夜间排放限值为55dB。根据上表预测结果，仅考虑距离衰减的影响，设备同时运行时，20m处噪声贡献值为66.9dB(A)，80m处噪声贡献值为54.8dB(A)，200m处噪声贡献值为46.9dB(A)，250m处噪声贡献值为44.9dB(A)，300m处噪声贡献值为43.3dB(A)。则20m处噪声贡献值可以满足《建筑施工场界环境噪声排放标准》（GB12523-2011）昼间排放限值要求，80m处噪声贡献值可以满足《建筑施工场界环境噪声排放标准》（GB12523-2011）夜间排放限值要求。根据《声环境质量标准》（GB3096-2008）</w:t>
            </w:r>
            <w:r>
              <w:rPr>
                <w:snapToGrid w:val="0"/>
                <w:color w:val="000000" w:themeColor="text1"/>
                <w:kern w:val="0"/>
                <w:sz w:val="24"/>
                <w14:textFill>
                  <w14:solidFill>
                    <w14:schemeClr w14:val="tx1"/>
                  </w14:solidFill>
                </w14:textFill>
              </w:rPr>
              <w:t>1</w:t>
            </w:r>
            <w:r>
              <w:rPr>
                <w:rFonts w:hint="eastAsia"/>
                <w:snapToGrid w:val="0"/>
                <w:color w:val="000000" w:themeColor="text1"/>
                <w:kern w:val="0"/>
                <w:sz w:val="24"/>
                <w14:textFill>
                  <w14:solidFill>
                    <w14:schemeClr w14:val="tx1"/>
                  </w14:solidFill>
                </w14:textFill>
              </w:rPr>
              <w:t>类可知，对周边敏感点昼间影响范围为</w:t>
            </w:r>
            <w:r>
              <w:rPr>
                <w:snapToGrid w:val="0"/>
                <w:color w:val="000000" w:themeColor="text1"/>
                <w:kern w:val="0"/>
                <w:sz w:val="24"/>
                <w14:textFill>
                  <w14:solidFill>
                    <w14:schemeClr w14:val="tx1"/>
                  </w14:solidFill>
                </w14:textFill>
              </w:rPr>
              <w:t>8</w:t>
            </w:r>
            <w:r>
              <w:rPr>
                <w:rFonts w:hint="eastAsia"/>
                <w:snapToGrid w:val="0"/>
                <w:color w:val="000000" w:themeColor="text1"/>
                <w:kern w:val="0"/>
                <w:sz w:val="24"/>
                <w14:textFill>
                  <w14:solidFill>
                    <w14:schemeClr w14:val="tx1"/>
                  </w14:solidFill>
                </w14:textFill>
              </w:rPr>
              <w:t>0m，夜间影响范围为</w:t>
            </w:r>
            <w:r>
              <w:rPr>
                <w:snapToGrid w:val="0"/>
                <w:color w:val="000000" w:themeColor="text1"/>
                <w:kern w:val="0"/>
                <w:sz w:val="24"/>
                <w14:textFill>
                  <w14:solidFill>
                    <w14:schemeClr w14:val="tx1"/>
                  </w14:solidFill>
                </w14:textFill>
              </w:rPr>
              <w:t>2</w:t>
            </w:r>
            <w:r>
              <w:rPr>
                <w:rFonts w:hint="eastAsia"/>
                <w:snapToGrid w:val="0"/>
                <w:color w:val="000000" w:themeColor="text1"/>
                <w:kern w:val="0"/>
                <w:sz w:val="24"/>
                <w14:textFill>
                  <w14:solidFill>
                    <w14:schemeClr w14:val="tx1"/>
                  </w14:solidFill>
                </w14:textFill>
              </w:rPr>
              <w:t>50m。</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bCs/>
                <w:color w:val="000000" w:themeColor="text1"/>
                <w:sz w:val="24"/>
                <w14:textFill>
                  <w14:solidFill>
                    <w14:schemeClr w14:val="tx1"/>
                  </w14:solidFill>
                </w14:textFill>
              </w:rPr>
              <w:t>根据计划安排，2022年预计设钻孔46个，2023年-2026年预计设钻孔分别为</w:t>
            </w:r>
            <w:r>
              <w:rPr>
                <w:rFonts w:hint="eastAsia"/>
                <w:bCs/>
                <w:color w:val="000000" w:themeColor="text1"/>
                <w:sz w:val="24"/>
                <w:lang w:val="en-US" w:eastAsia="zh-CN"/>
                <w14:textFill>
                  <w14:solidFill>
                    <w14:schemeClr w14:val="tx1"/>
                  </w14:solidFill>
                </w14:textFill>
              </w:rPr>
              <w:t>238</w:t>
            </w:r>
            <w:r>
              <w:rPr>
                <w:rFonts w:hint="eastAsia"/>
                <w:bCs/>
                <w:color w:val="000000" w:themeColor="text1"/>
                <w:sz w:val="24"/>
                <w14:textFill>
                  <w14:solidFill>
                    <w14:schemeClr w14:val="tx1"/>
                  </w14:solidFill>
                </w14:textFill>
              </w:rPr>
              <w:t>个，根据</w:t>
            </w:r>
            <w:r>
              <w:rPr>
                <w:rFonts w:hint="eastAsia"/>
                <w:bCs/>
                <w:color w:val="000000" w:themeColor="text1"/>
                <w:sz w:val="24"/>
                <w:lang w:val="en-US" w:eastAsia="zh-CN"/>
                <w14:textFill>
                  <w14:solidFill>
                    <w14:schemeClr w14:val="tx1"/>
                  </w14:solidFill>
                </w14:textFill>
              </w:rPr>
              <w:t>2022年</w:t>
            </w:r>
            <w:r>
              <w:rPr>
                <w:rFonts w:hint="eastAsia"/>
                <w:bCs/>
                <w:color w:val="000000" w:themeColor="text1"/>
                <w:sz w:val="24"/>
                <w14:textFill>
                  <w14:solidFill>
                    <w14:schemeClr w14:val="tx1"/>
                  </w14:solidFill>
                </w14:textFill>
              </w:rPr>
              <w:t>初步确定的拟设钻孔的位置，</w:t>
            </w:r>
            <w:r>
              <w:rPr>
                <w:rFonts w:hint="eastAsia"/>
                <w:color w:val="000000" w:themeColor="text1"/>
                <w:sz w:val="24"/>
                <w:szCs w:val="24"/>
                <w:lang w:eastAsia="zh-CN"/>
                <w14:textFill>
                  <w14:solidFill>
                    <w14:schemeClr w14:val="tx1"/>
                  </w14:solidFill>
                </w14:textFill>
              </w:rPr>
              <w:t>项目距敏感点（</w:t>
            </w:r>
            <w:r>
              <w:rPr>
                <w:rFonts w:hint="eastAsia"/>
                <w:color w:val="000000" w:themeColor="text1"/>
                <w:sz w:val="24"/>
                <w:szCs w:val="24"/>
                <w:lang w:val="en-US" w:eastAsia="zh-CN"/>
                <w14:textFill>
                  <w14:solidFill>
                    <w14:schemeClr w14:val="tx1"/>
                  </w14:solidFill>
                </w14:textFill>
              </w:rPr>
              <w:t>茫崖镇</w:t>
            </w:r>
            <w:r>
              <w:rPr>
                <w:rFonts w:hint="eastAsia"/>
                <w:color w:val="000000" w:themeColor="text1"/>
                <w:sz w:val="24"/>
                <w:szCs w:val="24"/>
                <w:lang w:eastAsia="zh-CN"/>
                <w14:textFill>
                  <w14:solidFill>
                    <w14:schemeClr w14:val="tx1"/>
                  </w14:solidFill>
                </w14:textFill>
              </w:rPr>
              <w:t>）最近的钻孔为ZKA23-2，距离为</w:t>
            </w:r>
            <w:r>
              <w:rPr>
                <w:rFonts w:hint="eastAsia"/>
                <w:color w:val="000000" w:themeColor="text1"/>
                <w:sz w:val="24"/>
                <w:szCs w:val="24"/>
                <w:lang w:val="en-US" w:eastAsia="zh-CN"/>
                <w14:textFill>
                  <w14:solidFill>
                    <w14:schemeClr w14:val="tx1"/>
                  </w14:solidFill>
                </w14:textFill>
              </w:rPr>
              <w:t>0.56</w:t>
            </w:r>
            <w:r>
              <w:rPr>
                <w:rFonts w:hint="eastAsia"/>
                <w:color w:val="000000" w:themeColor="text1"/>
                <w:sz w:val="24"/>
                <w:szCs w:val="24"/>
                <w:lang w:eastAsia="zh-CN"/>
                <w14:textFill>
                  <w14:solidFill>
                    <w14:schemeClr w14:val="tx1"/>
                  </w14:solidFill>
                </w14:textFill>
              </w:rPr>
              <w:t>km。因此，2022年布设的钻探施工噪声不会对周边敏感点造成影响。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考虑到</w:t>
            </w:r>
            <w:r>
              <w:rPr>
                <w:bCs/>
                <w:color w:val="000000" w:themeColor="text1"/>
                <w:sz w:val="24"/>
                <w14:textFill>
                  <w14:solidFill>
                    <w14:schemeClr w14:val="tx1"/>
                  </w14:solidFill>
                </w14:textFill>
              </w:rPr>
              <w:t>202</w:t>
            </w:r>
            <w:r>
              <w:rPr>
                <w:rFonts w:hint="eastAsia"/>
                <w:bCs/>
                <w:color w:val="000000" w:themeColor="text1"/>
                <w:sz w:val="24"/>
                <w14:textFill>
                  <w14:solidFill>
                    <w14:schemeClr w14:val="tx1"/>
                  </w14:solidFill>
                </w14:textFill>
              </w:rPr>
              <w:t>2年拟布设钻孔在实际勘查中会随时调整，同时</w:t>
            </w:r>
            <w:r>
              <w:rPr>
                <w:bCs/>
                <w:color w:val="000000" w:themeColor="text1"/>
                <w:sz w:val="24"/>
                <w14:textFill>
                  <w14:solidFill>
                    <w14:schemeClr w14:val="tx1"/>
                  </w14:solidFill>
                </w14:textFill>
              </w:rPr>
              <w:t>202</w:t>
            </w:r>
            <w:r>
              <w:rPr>
                <w:rFonts w:hint="eastAsia"/>
                <w:bCs/>
                <w:color w:val="000000" w:themeColor="text1"/>
                <w:sz w:val="24"/>
                <w14:textFill>
                  <w14:solidFill>
                    <w14:schemeClr w14:val="tx1"/>
                  </w14:solidFill>
                </w14:textFill>
              </w:rPr>
              <w:t>3-2026年的钻孔位置尚未确定，因此本次评价提出以下钻井噪声控制措施：</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①钻井施工时，柴油发电机自带消音装置，在钻机、泥浆泵、除砂器等设备下加衬弹性垫料，在钻井过程中平稳操作，加强设备维护，避免产生非正常的噪声；</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②加强施工组织和施工管理；</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③2022年钻孔调整以及2023-2026年拟布设的钻孔建议应距离周边村庄集中居住区在250m以上，无法避让时强化降噪措施，可采取在敏感点设降噪或隔声设施。</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钻探施工时间较短，伴随施工结束，影响消失，采取上述噪声控制措施后，钻井噪声对声环境的影响可得到有效控制。</w:t>
            </w:r>
          </w:p>
          <w:p>
            <w:pPr>
              <w:pStyle w:val="19"/>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4、</w:t>
            </w:r>
            <w:r>
              <w:rPr>
                <w:rFonts w:hint="eastAsia"/>
                <w:b/>
                <w:color w:val="000000" w:themeColor="text1"/>
                <w:sz w:val="24"/>
                <w14:textFill>
                  <w14:solidFill>
                    <w14:schemeClr w14:val="tx1"/>
                  </w14:solidFill>
                </w14:textFill>
              </w:rPr>
              <w:t>固体废弃物影响分析</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根据工程分析，本项目固体废物主要为剥离表土、钻井泥浆、岩芯、施工人员生活垃圾以及废机油。</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（1）剥离表土</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表土就近堆放于钻孔平台附近，待封孔后用于场地恢复。充分利用选定施工场所地形，合理布置施工设备，做到挖方、填方平衡。</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（2）废弃钻井泥浆</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废弃钻井泥浆是指在钻井过程中无法利用或钻井完工后弃置于泥浆池中的泥浆，废钻井泥浆是钻井过程中产生的一种液态细腻胶状物，失水后变成固态物。</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按照建设单位对废弃泥浆进行自然蒸发后就地填埋方案，由于泥浆池考虑防渗措施，对地下水造成影响的较小；再者，泥浆池占地面积较小，长时间后泥浆中部分有机物降解，增加了土壤中的有机质、防渗措施在客观上减缓了地表雨水下渗，使地表植被更容易吸收水分，对土壤以及植被生长有利。</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（3）岩芯</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项目产生矿段岩芯放置在岩芯箱内，堆存于岩芯库内。岩芯库租用项目部无人居住的民房，防火、防雨、防盗，专人看管，登记台账备查。待钻孔完毕后，采集矿段岩芯样品主要有铀镭样、钍钾样、密度样、湿度样、岩矿鉴定样、粒度样、岩石地球化学环境指标样和硅酸盐全分析等样品，</w:t>
            </w:r>
            <w:r>
              <w:rPr>
                <w:rFonts w:hint="eastAsia"/>
                <w:color w:val="000000" w:themeColor="text1"/>
                <w:sz w:val="24"/>
                <w:szCs w:val="24"/>
                <w:lang w:val="en-US" w:eastAsia="zh-CN" w:bidi="ar"/>
                <w14:textFill>
                  <w14:solidFill>
                    <w14:schemeClr w14:val="tx1"/>
                  </w14:solidFill>
                </w14:textFill>
              </w:rPr>
              <w:t>送我所分析测试中心进行检验，我所具备相关检验资格</w:t>
            </w:r>
            <w:r>
              <w:rPr>
                <w:rFonts w:hint="eastAsia"/>
                <w:color w:val="000000" w:themeColor="text1"/>
                <w:sz w:val="24"/>
                <w:szCs w:val="24"/>
                <w:lang w:eastAsia="zh-CN" w:bidi="ar"/>
                <w14:textFill>
                  <w14:solidFill>
                    <w14:schemeClr w14:val="tx1"/>
                  </w14:solidFill>
                </w14:textFill>
              </w:rPr>
              <w:t>。</w:t>
            </w:r>
          </w:p>
          <w:p>
            <w:pPr>
              <w:spacing w:line="360" w:lineRule="auto"/>
              <w:ind w:firstLine="480"/>
              <w:rPr>
                <w:rFonts w:hint="eastAsia"/>
                <w:bCs/>
                <w:color w:val="000000" w:themeColor="text1"/>
                <w:sz w:val="24"/>
                <w:lang w:eastAsia="zh-CN"/>
                <w14:textFill>
                  <w14:solidFill>
                    <w14:schemeClr w14:val="tx1"/>
                  </w14:solidFill>
                </w14:textFill>
              </w:rPr>
            </w:pPr>
            <w:r>
              <w:rPr>
                <w:rFonts w:hint="eastAsia"/>
                <w:bCs/>
                <w:color w:val="000000" w:themeColor="text1"/>
                <w:sz w:val="24"/>
                <w:lang w:eastAsia="zh-CN"/>
                <w14:textFill>
                  <w14:solidFill>
                    <w14:schemeClr w14:val="tx1"/>
                  </w14:solidFill>
                </w14:textFill>
              </w:rPr>
              <w:t>非矿段岩芯</w:t>
            </w:r>
            <w:r>
              <w:rPr>
                <w:color w:val="000000" w:themeColor="text1"/>
                <w:kern w:val="2"/>
                <w:sz w:val="24"/>
                <w:szCs w:val="24"/>
                <w:lang w:eastAsia="zh-CN" w:bidi="ar-SA"/>
                <w14:textFill>
                  <w14:solidFill>
                    <w14:schemeClr w14:val="tx1"/>
                  </w14:solidFill>
                </w14:textFill>
              </w:rPr>
              <w:t>本身来自地层，对土壤等无污染</w:t>
            </w:r>
            <w:r>
              <w:rPr>
                <w:rFonts w:hint="eastAsia"/>
                <w:color w:val="000000" w:themeColor="text1"/>
                <w:kern w:val="2"/>
                <w:sz w:val="24"/>
                <w:szCs w:val="24"/>
                <w:lang w:eastAsia="zh-CN" w:bidi="ar-SA"/>
                <w14:textFill>
                  <w14:solidFill>
                    <w14:schemeClr w14:val="tx1"/>
                  </w14:solidFill>
                </w14:textFill>
              </w:rPr>
              <w:t>，</w:t>
            </w:r>
            <w:r>
              <w:rPr>
                <w:color w:val="000000" w:themeColor="text1"/>
                <w:kern w:val="2"/>
                <w:sz w:val="24"/>
                <w:szCs w:val="24"/>
                <w:lang w:eastAsia="zh-CN" w:bidi="ar-SA"/>
                <w14:textFill>
                  <w14:solidFill>
                    <w14:schemeClr w14:val="tx1"/>
                  </w14:solidFill>
                </w14:textFill>
              </w:rPr>
              <w:t>存放</w:t>
            </w:r>
            <w:r>
              <w:rPr>
                <w:rFonts w:hint="eastAsia"/>
                <w:color w:val="000000" w:themeColor="text1"/>
                <w:kern w:val="2"/>
                <w:sz w:val="24"/>
                <w:szCs w:val="24"/>
                <w:lang w:eastAsia="zh-CN" w:bidi="ar-SA"/>
                <w14:textFill>
                  <w14:solidFill>
                    <w14:schemeClr w14:val="tx1"/>
                  </w14:solidFill>
                </w14:textFill>
              </w:rPr>
              <w:t>岩芯</w:t>
            </w:r>
            <w:r>
              <w:rPr>
                <w:color w:val="000000" w:themeColor="text1"/>
                <w:kern w:val="2"/>
                <w:sz w:val="24"/>
                <w:szCs w:val="24"/>
                <w:lang w:eastAsia="zh-CN" w:bidi="ar-SA"/>
                <w14:textFill>
                  <w14:solidFill>
                    <w14:schemeClr w14:val="tx1"/>
                  </w14:solidFill>
                </w14:textFill>
              </w:rPr>
              <w:t>的</w:t>
            </w:r>
            <w:r>
              <w:rPr>
                <w:rFonts w:hint="eastAsia"/>
                <w:color w:val="000000" w:themeColor="text1"/>
                <w:kern w:val="2"/>
                <w:sz w:val="24"/>
                <w:szCs w:val="24"/>
                <w:lang w:eastAsia="zh-CN" w:bidi="ar-SA"/>
                <w14:textFill>
                  <w14:solidFill>
                    <w14:schemeClr w14:val="tx1"/>
                  </w14:solidFill>
                </w14:textFill>
              </w:rPr>
              <w:t>岩芯</w:t>
            </w:r>
            <w:r>
              <w:rPr>
                <w:color w:val="000000" w:themeColor="text1"/>
                <w:kern w:val="2"/>
                <w:sz w:val="24"/>
                <w:szCs w:val="24"/>
                <w:lang w:eastAsia="zh-CN" w:bidi="ar-SA"/>
                <w14:textFill>
                  <w14:solidFill>
                    <w14:schemeClr w14:val="tx1"/>
                  </w14:solidFill>
                </w14:textFill>
              </w:rPr>
              <w:t>池内铺设永久防渗材料，一般情况下无渗漏，不会污染地下水</w:t>
            </w:r>
            <w:r>
              <w:rPr>
                <w:rFonts w:hint="eastAsia"/>
                <w:color w:val="000000" w:themeColor="text1"/>
                <w:kern w:val="2"/>
                <w:sz w:val="24"/>
                <w:szCs w:val="24"/>
                <w:lang w:eastAsia="zh-CN" w:bidi="ar-SA"/>
                <w14:textFill>
                  <w14:solidFill>
                    <w14:schemeClr w14:val="tx1"/>
                  </w14:solidFill>
                </w14:textFill>
              </w:rPr>
              <w:t>，因此</w:t>
            </w:r>
            <w:r>
              <w:rPr>
                <w:rFonts w:hint="eastAsia"/>
                <w:bCs/>
                <w:color w:val="000000" w:themeColor="text1"/>
                <w:sz w:val="24"/>
                <w:lang w:eastAsia="zh-CN"/>
                <w14:textFill>
                  <w14:solidFill>
                    <w14:schemeClr w14:val="tx1"/>
                  </w14:solidFill>
                </w14:textFill>
              </w:rPr>
              <w:t>岩芯池填埋后，对周边环境影响比较小。</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（4）生活垃圾</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施工场地产生的生活垃圾若随意丢弃，将会造成各个施工营地卫生环境恶化，并可能对当地土壤和农田产生一定影响。钻探</w:t>
            </w:r>
            <w:r>
              <w:rPr>
                <w:rFonts w:hint="eastAsia"/>
                <w:color w:val="000000" w:themeColor="text1"/>
                <w:sz w:val="24"/>
                <w:lang w:val="en-US" w:eastAsia="zh-CN"/>
                <w14:textFill>
                  <w14:solidFill>
                    <w14:schemeClr w14:val="tx1"/>
                  </w14:solidFill>
                </w14:textFill>
              </w:rPr>
              <w:t>勘查区</w:t>
            </w:r>
            <w:r>
              <w:rPr>
                <w:rFonts w:hint="eastAsia"/>
                <w:color w:val="000000" w:themeColor="text1"/>
                <w:sz w:val="24"/>
                <w:lang w:val="en-GB"/>
                <w14:textFill>
                  <w14:solidFill>
                    <w14:schemeClr w14:val="tx1"/>
                  </w14:solidFill>
                </w14:textFill>
              </w:rPr>
              <w:t>生活垃圾用垃圾袋带回项目部，项目部设垃圾桶进行收集，定期送往乡镇垃圾堆放点，由当地环卫部门清理处置</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对当地环境的影响较小。</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（5）废机油</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工程钻机、柴油发电机等施工机械运转过程中，将产生少量的废机油</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根据</w:t>
            </w:r>
            <w:r>
              <w:rPr>
                <w:rFonts w:hint="eastAsia"/>
                <w:color w:val="000000" w:themeColor="text1"/>
                <w:sz w:val="24"/>
                <w:lang w:val="en-GB"/>
                <w14:textFill>
                  <w14:solidFill>
                    <w14:schemeClr w14:val="tx1"/>
                  </w14:solidFill>
                </w14:textFill>
              </w:rPr>
              <w:t>《国家危险废物名录</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2021版</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》，废机油属于危险废物类别中的废矿物油（HW08），废物代码为900-249-08。评价要求建设单位应设置废机油收集桶，经收集后交有资质单位进行处置，将不会对环境产生影响。</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本项目固体废物收集、贮存及处置方式见表</w:t>
            </w:r>
            <w:r>
              <w:rPr>
                <w:color w:val="000000" w:themeColor="text1"/>
                <w:sz w:val="24"/>
                <w:lang w:val="en-GB"/>
                <w14:textFill>
                  <w14:solidFill>
                    <w14:schemeClr w14:val="tx1"/>
                  </w14:solidFill>
                </w14:textFill>
              </w:rPr>
              <w:t>8-</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en-GB"/>
                <w14:textFill>
                  <w14:solidFill>
                    <w14:schemeClr w14:val="tx1"/>
                  </w14:solidFill>
                </w14:textFill>
              </w:rPr>
              <w:t>。</w:t>
            </w:r>
          </w:p>
          <w:p>
            <w:pPr>
              <w:jc w:val="center"/>
              <w:rPr>
                <w:rFonts w:hint="eastAsia"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7</w:t>
            </w:r>
            <w:r>
              <w:rPr>
                <w:rFonts w:hint="eastAsia"/>
                <w:color w:val="000000" w:themeColor="text1"/>
                <w:sz w:val="24"/>
                <w14:textFill>
                  <w14:solidFill>
                    <w14:schemeClr w14:val="tx1"/>
                  </w14:solidFill>
                </w14:textFill>
              </w:rPr>
              <w:t xml:space="preserve">  固体废物产生、收集及处置</w:t>
            </w:r>
            <w:r>
              <w:rPr>
                <w:rFonts w:hint="eastAsia"/>
                <w:color w:val="000000" w:themeColor="text1"/>
                <w:sz w:val="24"/>
                <w:lang w:val="en-US" w:eastAsia="zh-CN"/>
                <w14:textFill>
                  <w14:solidFill>
                    <w14:schemeClr w14:val="tx1"/>
                  </w14:solidFill>
                </w14:textFill>
              </w:rPr>
              <w:t>方式</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61"/>
              <w:gridCol w:w="1257"/>
              <w:gridCol w:w="1256"/>
              <w:gridCol w:w="3275"/>
              <w:gridCol w:w="212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2" w:hRule="atLeast"/>
                <w:tblHeader/>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固体废物类型</w:t>
                  </w:r>
                </w:p>
              </w:tc>
              <w:tc>
                <w:tcPr>
                  <w:tcW w:w="657"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产生地点</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产生环节</w:t>
                  </w:r>
                </w:p>
              </w:tc>
              <w:tc>
                <w:tcPr>
                  <w:tcW w:w="1711" w:type="pct"/>
                  <w:tcBorders>
                    <w:tl2br w:val="nil"/>
                    <w:tr2bl w:val="nil"/>
                  </w:tcBorders>
                  <w:vAlign w:val="center"/>
                </w:tcPr>
                <w:p>
                  <w:pPr>
                    <w:snapToGrid w:val="0"/>
                    <w:ind w:firstLine="210" w:firstLineChars="10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收集方式</w:t>
                  </w:r>
                </w:p>
              </w:tc>
              <w:tc>
                <w:tcPr>
                  <w:tcW w:w="110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处置方式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钻井泥浆</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钻井机台</w:t>
                  </w:r>
                </w:p>
              </w:tc>
              <w:tc>
                <w:tcPr>
                  <w:tcW w:w="656" w:type="pct"/>
                  <w:tcBorders>
                    <w:tl2br w:val="nil"/>
                    <w:tr2bl w:val="nil"/>
                  </w:tcBorders>
                  <w:vAlign w:val="center"/>
                </w:tcPr>
                <w:p>
                  <w:pPr>
                    <w:snapToGrid w:val="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钻井过程产生的泥浆岩屑、封孔时被水泥置换的钻井泥浆</w:t>
                  </w:r>
                </w:p>
              </w:tc>
              <w:tc>
                <w:tcPr>
                  <w:tcW w:w="1711" w:type="pct"/>
                  <w:tcBorders>
                    <w:tl2br w:val="nil"/>
                    <w:tr2bl w:val="nil"/>
                  </w:tcBorders>
                  <w:vAlign w:val="center"/>
                </w:tcPr>
                <w:p>
                  <w:pPr>
                    <w:snapToGrid w:val="0"/>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每个机台设沉淀池、泥浆循环池及泥浆坑，机台至各个设施设导流槽。钻井过程泥浆经筛分网筛分，大颗粒岩屑存于泥浆坑，剩余泥浆排入循环池循环使用。池体、坑体均铺设HDPE防渗膜，并做防溢处理</w:t>
                  </w:r>
                </w:p>
              </w:tc>
              <w:tc>
                <w:tcPr>
                  <w:tcW w:w="1108" w:type="pct"/>
                  <w:tcBorders>
                    <w:tl2br w:val="nil"/>
                    <w:tr2bl w:val="nil"/>
                  </w:tcBorders>
                  <w:vAlign w:val="center"/>
                </w:tcPr>
                <w:p>
                  <w:pPr>
                    <w:snapToGrid w:val="0"/>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施工结束后，泥浆坑的泥浆蒸发脱水，就地固化填埋，地表恢复植被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岩</w:t>
                  </w:r>
                  <w:r>
                    <w:rPr>
                      <w:rFonts w:hint="eastAsia"/>
                      <w:bCs/>
                      <w:color w:val="000000" w:themeColor="text1"/>
                      <w:szCs w:val="21"/>
                      <w14:textFill>
                        <w14:solidFill>
                          <w14:schemeClr w14:val="tx1"/>
                        </w14:solidFill>
                      </w14:textFill>
                    </w:rPr>
                    <w:t>芯</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钻井机台</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取芯环节</w:t>
                  </w:r>
                </w:p>
              </w:tc>
              <w:tc>
                <w:tcPr>
                  <w:tcW w:w="3275" w:type="dxa"/>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钻井过程中岩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全部集中放置在岩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箱</w:t>
                  </w:r>
                </w:p>
              </w:tc>
              <w:tc>
                <w:tcPr>
                  <w:tcW w:w="2121" w:type="dxa"/>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施工结束后，</w:t>
                  </w:r>
                  <w:r>
                    <w:rPr>
                      <w:color w:val="000000" w:themeColor="text1"/>
                      <w:szCs w:val="21"/>
                      <w14:textFill>
                        <w14:solidFill>
                          <w14:schemeClr w14:val="tx1"/>
                        </w14:solidFill>
                      </w14:textFill>
                    </w:rPr>
                    <w:t>矿段岩</w:t>
                  </w:r>
                  <w:r>
                    <w:rPr>
                      <w:rFonts w:hint="eastAsia"/>
                      <w:color w:val="000000" w:themeColor="text1"/>
                      <w:szCs w:val="21"/>
                      <w14:textFill>
                        <w14:solidFill>
                          <w14:schemeClr w14:val="tx1"/>
                        </w14:solidFill>
                      </w14:textFill>
                    </w:rPr>
                    <w:t>芯放置在岩芯箱内，堆存于岩芯库内</w:t>
                  </w:r>
                  <w:r>
                    <w:rPr>
                      <w:rFonts w:hint="eastAsia"/>
                      <w:color w:val="000000" w:themeColor="text1"/>
                      <w:szCs w:val="21"/>
                      <w:lang w:eastAsia="zh-CN"/>
                      <w14:textFill>
                        <w14:solidFill>
                          <w14:schemeClr w14:val="tx1"/>
                        </w14:solidFill>
                      </w14:textFill>
                    </w:rPr>
                    <w:t>，后期带回分析、化验；</w:t>
                  </w:r>
                  <w:r>
                    <w:rPr>
                      <w:bCs/>
                      <w:color w:val="000000" w:themeColor="text1"/>
                      <w:szCs w:val="21"/>
                      <w14:textFill>
                        <w14:solidFill>
                          <w14:schemeClr w14:val="tx1"/>
                        </w14:solidFill>
                      </w14:textFill>
                    </w:rPr>
                    <w:t>非矿段岩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集中在岩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池填埋，岩</w:t>
                  </w:r>
                  <w:r>
                    <w:rPr>
                      <w:rFonts w:hint="eastAsia"/>
                      <w:color w:val="000000" w:themeColor="text1"/>
                      <w:szCs w:val="21"/>
                      <w14:textFill>
                        <w14:solidFill>
                          <w14:schemeClr w14:val="tx1"/>
                        </w14:solidFill>
                      </w14:textFill>
                    </w:rPr>
                    <w:t>芯</w:t>
                  </w:r>
                  <w:r>
                    <w:rPr>
                      <w:bCs/>
                      <w:color w:val="000000" w:themeColor="text1"/>
                      <w:szCs w:val="21"/>
                      <w14:textFill>
                        <w14:solidFill>
                          <w14:schemeClr w14:val="tx1"/>
                        </w14:solidFill>
                      </w14:textFill>
                    </w:rPr>
                    <w:t>池</w:t>
                  </w:r>
                  <w:r>
                    <w:rPr>
                      <w:color w:val="000000" w:themeColor="text1"/>
                      <w:szCs w:val="21"/>
                      <w14:textFill>
                        <w14:solidFill>
                          <w14:schemeClr w14:val="tx1"/>
                        </w14:solidFill>
                      </w14:textFill>
                    </w:rPr>
                    <w:t>铺设HDPE防渗膜</w:t>
                  </w:r>
                  <w:r>
                    <w:rPr>
                      <w:rFonts w:hint="eastAsia"/>
                      <w:color w:val="000000" w:themeColor="text1"/>
                      <w:szCs w:val="21"/>
                      <w:lang w:eastAsia="zh-CN"/>
                      <w14:textFill>
                        <w14:solidFill>
                          <w14:schemeClr w14:val="tx1"/>
                        </w14:solidFill>
                      </w14:textFill>
                    </w:rPr>
                    <w:t>，就地填埋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生活垃圾</w:t>
                  </w:r>
                </w:p>
              </w:tc>
              <w:tc>
                <w:tcPr>
                  <w:tcW w:w="657" w:type="pct"/>
                  <w:tcBorders>
                    <w:tl2br w:val="nil"/>
                    <w:tr2bl w:val="nil"/>
                  </w:tcBorders>
                  <w:vAlign w:val="center"/>
                </w:tcPr>
                <w:p>
                  <w:pPr>
                    <w:snapToGrid w:val="0"/>
                    <w:jc w:val="center"/>
                    <w:rPr>
                      <w:rFonts w:hint="eastAsia" w:eastAsia="宋体"/>
                      <w:color w:val="000000" w:themeColor="text1"/>
                      <w:szCs w:val="21"/>
                      <w:lang w:eastAsia="zh-CN"/>
                      <w14:textFill>
                        <w14:solidFill>
                          <w14:schemeClr w14:val="tx1"/>
                        </w14:solidFill>
                      </w14:textFill>
                    </w:rPr>
                  </w:pPr>
                  <w:r>
                    <w:rPr>
                      <w:color w:val="000000" w:themeColor="text1"/>
                      <w:szCs w:val="21"/>
                      <w14:textFill>
                        <w14:solidFill>
                          <w14:schemeClr w14:val="tx1"/>
                        </w14:solidFill>
                      </w14:textFill>
                    </w:rPr>
                    <w:t>项目部、钻探</w:t>
                  </w:r>
                  <w:r>
                    <w:rPr>
                      <w:rFonts w:hint="eastAsia"/>
                      <w:color w:val="000000" w:themeColor="text1"/>
                      <w:szCs w:val="21"/>
                      <w:lang w:val="en-US" w:eastAsia="zh-CN"/>
                      <w14:textFill>
                        <w14:solidFill>
                          <w14:schemeClr w14:val="tx1"/>
                        </w14:solidFill>
                      </w14:textFill>
                    </w:rPr>
                    <w:t>人员</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施工人员办公、生活</w:t>
                  </w:r>
                </w:p>
              </w:tc>
              <w:tc>
                <w:tcPr>
                  <w:tcW w:w="1711" w:type="pct"/>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钻探勘查区生活垃圾</w:t>
                  </w:r>
                  <w:r>
                    <w:rPr>
                      <w:bCs/>
                      <w:color w:val="000000" w:themeColor="text1"/>
                      <w:szCs w:val="21"/>
                      <w14:textFill>
                        <w14:solidFill>
                          <w14:schemeClr w14:val="tx1"/>
                        </w14:solidFill>
                      </w14:textFill>
                    </w:rPr>
                    <w:t>用垃圾袋带回项目部，项目部设垃圾桶</w:t>
                  </w:r>
                  <w:r>
                    <w:rPr>
                      <w:rFonts w:hint="eastAsia"/>
                      <w:bCs/>
                      <w:color w:val="000000" w:themeColor="text1"/>
                      <w:szCs w:val="21"/>
                      <w14:textFill>
                        <w14:solidFill>
                          <w14:schemeClr w14:val="tx1"/>
                        </w14:solidFill>
                      </w14:textFill>
                    </w:rPr>
                    <w:t>。</w:t>
                  </w:r>
                </w:p>
              </w:tc>
              <w:tc>
                <w:tcPr>
                  <w:tcW w:w="1108" w:type="pct"/>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定期送往乡镇垃圾堆放点，由环卫部门清理处置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2"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废机油</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钻探场地</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w:t>
                  </w:r>
                </w:p>
              </w:tc>
              <w:tc>
                <w:tcPr>
                  <w:tcW w:w="1711" w:type="pct"/>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废机油收集桶</w:t>
                  </w:r>
                  <w:r>
                    <w:rPr>
                      <w:rFonts w:hint="eastAsia"/>
                      <w:bCs/>
                      <w:color w:val="000000" w:themeColor="text1"/>
                      <w:szCs w:val="21"/>
                      <w14:textFill>
                        <w14:solidFill>
                          <w14:schemeClr w14:val="tx1"/>
                        </w14:solidFill>
                      </w14:textFill>
                    </w:rPr>
                    <w:t>。</w:t>
                  </w:r>
                </w:p>
              </w:tc>
              <w:tc>
                <w:tcPr>
                  <w:tcW w:w="1108" w:type="pct"/>
                  <w:tcBorders>
                    <w:tl2br w:val="nil"/>
                    <w:tr2bl w:val="nil"/>
                  </w:tcBorders>
                  <w:vAlign w:val="center"/>
                </w:tcPr>
                <w:p>
                  <w:pPr>
                    <w:snapToGrid w:val="0"/>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经收集后交有资质单位进行处置</w:t>
                  </w:r>
                </w:p>
              </w:tc>
            </w:tr>
          </w:tbl>
          <w:p>
            <w:pPr>
              <w:pStyle w:val="17"/>
              <w:adjustRightInd/>
              <w:spacing w:line="360" w:lineRule="auto"/>
              <w:ind w:firstLine="482" w:firstLineChars="200"/>
              <w:jc w:val="both"/>
              <w:rPr>
                <w:b/>
                <w:color w:val="000000" w:themeColor="text1"/>
                <w14:textFill>
                  <w14:solidFill>
                    <w14:schemeClr w14:val="tx1"/>
                  </w14:solidFill>
                </w14:textFill>
              </w:rPr>
            </w:pPr>
            <w:r>
              <w:rPr>
                <w:rFonts w:hint="eastAsia"/>
                <w:b/>
                <w:color w:val="000000" w:themeColor="text1"/>
                <w14:textFill>
                  <w14:solidFill>
                    <w14:schemeClr w14:val="tx1"/>
                  </w14:solidFill>
                </w14:textFill>
              </w:rPr>
              <w:t>本次评价针对固体废物收集、处置等环节提出以下污染防治措施：</w:t>
            </w:r>
          </w:p>
          <w:p>
            <w:pPr>
              <w:spacing w:line="360" w:lineRule="auto"/>
              <w:ind w:firstLine="480" w:firstLineChars="200"/>
              <w:rPr>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①</w:t>
            </w:r>
            <w:r>
              <w:rPr>
                <w:bCs/>
                <w:snapToGrid w:val="0"/>
                <w:color w:val="000000" w:themeColor="text1"/>
                <w:kern w:val="0"/>
                <w:sz w:val="24"/>
                <w14:textFill>
                  <w14:solidFill>
                    <w14:schemeClr w14:val="tx1"/>
                  </w14:solidFill>
                </w14:textFill>
              </w:rPr>
              <w:t>根据每个机台周围地形</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合理选择</w:t>
            </w:r>
            <w:r>
              <w:rPr>
                <w:rFonts w:hint="eastAsia"/>
                <w:bCs/>
                <w:snapToGrid w:val="0"/>
                <w:color w:val="000000" w:themeColor="text1"/>
                <w:kern w:val="0"/>
                <w:sz w:val="24"/>
                <w14:textFill>
                  <w14:solidFill>
                    <w14:schemeClr w14:val="tx1"/>
                  </w14:solidFill>
                </w14:textFill>
              </w:rPr>
              <w:t>沉淀</w:t>
            </w:r>
            <w:r>
              <w:rPr>
                <w:bCs/>
                <w:snapToGrid w:val="0"/>
                <w:color w:val="000000" w:themeColor="text1"/>
                <w:kern w:val="0"/>
                <w:sz w:val="24"/>
                <w14:textFill>
                  <w14:solidFill>
                    <w14:schemeClr w14:val="tx1"/>
                  </w14:solidFill>
                </w14:textFill>
              </w:rPr>
              <w:t>池</w:t>
            </w:r>
            <w:r>
              <w:rPr>
                <w:rFonts w:hint="eastAsia"/>
                <w:bCs/>
                <w:snapToGrid w:val="0"/>
                <w:color w:val="000000" w:themeColor="text1"/>
                <w:kern w:val="0"/>
                <w:sz w:val="24"/>
                <w14:textFill>
                  <w14:solidFill>
                    <w14:schemeClr w14:val="tx1"/>
                  </w14:solidFill>
                </w14:textFill>
              </w:rPr>
              <w:t>、泥浆</w:t>
            </w:r>
            <w:r>
              <w:rPr>
                <w:bCs/>
                <w:snapToGrid w:val="0"/>
                <w:color w:val="000000" w:themeColor="text1"/>
                <w:kern w:val="0"/>
                <w:sz w:val="24"/>
                <w14:textFill>
                  <w14:solidFill>
                    <w14:schemeClr w14:val="tx1"/>
                  </w14:solidFill>
                </w14:textFill>
              </w:rPr>
              <w:t>循环池及泥浆坑的位置，应选在满足承载力要求的地基上，以避免地基下沉的影响，特别是不均匀或局部下沉的影响</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应避开断层、断层破碎带、溶洞区，以及天然滑坡或泥石流影响区</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禁止选在江河、湖泊、水库最高水位线以下的滩地和</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"https://baike.sogou.com/lemma/ShowInnerLink.htm?lemmaId=70030824&amp;ss_c=ssc.citiao.link" \t "_blank" </w:instrText>
            </w:r>
            <w:r>
              <w:rPr>
                <w:color w:val="000000" w:themeColor="text1"/>
                <w14:textFill>
                  <w14:solidFill>
                    <w14:schemeClr w14:val="tx1"/>
                  </w14:solidFill>
                </w14:textFill>
              </w:rPr>
              <w:fldChar w:fldCharType="separate"/>
            </w:r>
            <w:r>
              <w:rPr>
                <w:bCs/>
                <w:snapToGrid w:val="0"/>
                <w:color w:val="000000" w:themeColor="text1"/>
                <w:kern w:val="0"/>
                <w:sz w:val="24"/>
                <w14:textFill>
                  <w14:solidFill>
                    <w14:schemeClr w14:val="tx1"/>
                  </w14:solidFill>
                </w14:textFill>
              </w:rPr>
              <w:t>洪泛区</w:t>
            </w:r>
            <w:r>
              <w:rPr>
                <w:bCs/>
                <w:snapToGrid w:val="0"/>
                <w:color w:val="000000" w:themeColor="text1"/>
                <w:kern w:val="0"/>
                <w:sz w:val="24"/>
                <w14:textFill>
                  <w14:solidFill>
                    <w14:schemeClr w14:val="tx1"/>
                  </w14:solidFill>
                </w14:textFill>
              </w:rPr>
              <w:fldChar w:fldCharType="end"/>
            </w:r>
            <w:r>
              <w:rPr>
                <w:rFonts w:hint="eastAsia"/>
                <w:bCs/>
                <w:snapToGrid w:val="0"/>
                <w:color w:val="000000" w:themeColor="text1"/>
                <w:kern w:val="0"/>
                <w:sz w:val="24"/>
                <w14:textFill>
                  <w14:solidFill>
                    <w14:schemeClr w14:val="tx1"/>
                  </w14:solidFill>
                </w14:textFill>
              </w:rPr>
              <w:t>；</w:t>
            </w:r>
          </w:p>
          <w:p>
            <w:pPr>
              <w:spacing w:line="360" w:lineRule="auto"/>
              <w:ind w:firstLine="480" w:firstLineChars="200"/>
              <w:rPr>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②保证机台至各个泥浆设施之间的导流槽平整通畅，</w:t>
            </w:r>
            <w:r>
              <w:rPr>
                <w:bCs/>
                <w:snapToGrid w:val="0"/>
                <w:color w:val="000000" w:themeColor="text1"/>
                <w:kern w:val="0"/>
                <w:sz w:val="24"/>
                <w14:textFill>
                  <w14:solidFill>
                    <w14:schemeClr w14:val="tx1"/>
                  </w14:solidFill>
                </w14:textFill>
              </w:rPr>
              <w:t>严格操作程序，减少钻井</w:t>
            </w:r>
            <w:r>
              <w:rPr>
                <w:rFonts w:hint="eastAsia"/>
                <w:bCs/>
                <w:snapToGrid w:val="0"/>
                <w:color w:val="000000" w:themeColor="text1"/>
                <w:kern w:val="0"/>
                <w:sz w:val="24"/>
                <w14:textFill>
                  <w14:solidFill>
                    <w14:schemeClr w14:val="tx1"/>
                  </w14:solidFill>
                </w14:textFill>
              </w:rPr>
              <w:t>泥浆</w:t>
            </w:r>
            <w:r>
              <w:rPr>
                <w:bCs/>
                <w:snapToGrid w:val="0"/>
                <w:color w:val="000000" w:themeColor="text1"/>
                <w:kern w:val="0"/>
                <w:sz w:val="24"/>
                <w14:textFill>
                  <w14:solidFill>
                    <w14:schemeClr w14:val="tx1"/>
                  </w14:solidFill>
                </w14:textFill>
              </w:rPr>
              <w:t>的跑冒滴漏</w:t>
            </w:r>
            <w:r>
              <w:rPr>
                <w:rFonts w:hint="eastAsia"/>
                <w:bCs/>
                <w:snapToGrid w:val="0"/>
                <w:color w:val="000000" w:themeColor="text1"/>
                <w:kern w:val="0"/>
                <w:sz w:val="24"/>
                <w14:textFill>
                  <w14:solidFill>
                    <w14:schemeClr w14:val="tx1"/>
                  </w14:solidFill>
                </w14:textFill>
              </w:rPr>
              <w:t>；</w:t>
            </w:r>
          </w:p>
          <w:p>
            <w:pPr>
              <w:spacing w:line="360" w:lineRule="auto"/>
              <w:ind w:firstLine="480" w:firstLineChars="200"/>
              <w:rPr>
                <w:rFonts w:ascii="宋体" w:hAnsi="宋体" w:cs="宋体"/>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③为防止暴雨季节泥浆池溢流造成土壤、地表水等的污染，泥浆池要留设一定防雨水容量；另外，在暴雨较多的季节，可以根据需要在泥浆池上游方向设临时围挡或截水沟，阻止暴雨时地表漫流和径流进入泥浆池；</w:t>
            </w:r>
          </w:p>
          <w:p>
            <w:pPr>
              <w:spacing w:line="360" w:lineRule="auto"/>
              <w:ind w:firstLine="480" w:firstLineChars="200"/>
              <w:rPr>
                <w:rFonts w:ascii="宋体" w:hAnsi="宋体" w:cs="宋体"/>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④泥浆池、岩芯池等池体、坑体的</w:t>
            </w:r>
            <w:r>
              <w:rPr>
                <w:bCs/>
                <w:snapToGrid w:val="0"/>
                <w:color w:val="000000" w:themeColor="text1"/>
                <w:kern w:val="0"/>
                <w:sz w:val="24"/>
                <w14:textFill>
                  <w14:solidFill>
                    <w14:schemeClr w14:val="tx1"/>
                  </w14:solidFill>
                </w14:textFill>
              </w:rPr>
              <w:t>HDPE</w:t>
            </w:r>
            <w:r>
              <w:rPr>
                <w:rFonts w:hint="eastAsia" w:ascii="宋体" w:hAnsi="宋体" w:cs="宋体"/>
                <w:bCs/>
                <w:snapToGrid w:val="0"/>
                <w:color w:val="000000" w:themeColor="text1"/>
                <w:kern w:val="0"/>
                <w:sz w:val="24"/>
                <w14:textFill>
                  <w14:solidFill>
                    <w14:schemeClr w14:val="tx1"/>
                  </w14:solidFill>
                </w14:textFill>
              </w:rPr>
              <w:t>防渗膜铺设作业要规范操作，基础需平坦，无不均匀沉陷，无锐石、树根等能刺穿薄膜的硬物，铺时勿使薄膜受拉，放松为好，防渗技术要求为等效粘土防渗层</w:t>
            </w:r>
            <w:r>
              <w:rPr>
                <w:bCs/>
                <w:snapToGrid w:val="0"/>
                <w:color w:val="000000" w:themeColor="text1"/>
                <w:kern w:val="0"/>
                <w:sz w:val="24"/>
                <w14:textFill>
                  <w14:solidFill>
                    <w14:schemeClr w14:val="tx1"/>
                  </w14:solidFill>
                </w14:textFill>
              </w:rPr>
              <w:t>Mb≥1.5m，K≤1×10</w:t>
            </w:r>
            <w:r>
              <w:rPr>
                <w:bCs/>
                <w:snapToGrid w:val="0"/>
                <w:color w:val="000000" w:themeColor="text1"/>
                <w:kern w:val="0"/>
                <w:sz w:val="24"/>
                <w:vertAlign w:val="superscript"/>
                <w14:textFill>
                  <w14:solidFill>
                    <w14:schemeClr w14:val="tx1"/>
                  </w14:solidFill>
                </w14:textFill>
              </w:rPr>
              <w:t>-7</w:t>
            </w:r>
            <w:r>
              <w:rPr>
                <w:bCs/>
                <w:snapToGrid w:val="0"/>
                <w:color w:val="000000" w:themeColor="text1"/>
                <w:kern w:val="0"/>
                <w:sz w:val="24"/>
                <w14:textFill>
                  <w14:solidFill>
                    <w14:schemeClr w14:val="tx1"/>
                  </w14:solidFill>
                </w14:textFill>
              </w:rPr>
              <w:t>cm/s</w:t>
            </w:r>
            <w:r>
              <w:rPr>
                <w:rFonts w:hint="eastAsia" w:ascii="宋体" w:hAnsi="宋体" w:cs="宋体"/>
                <w:bCs/>
                <w:snapToGrid w:val="0"/>
                <w:color w:val="000000" w:themeColor="text1"/>
                <w:kern w:val="0"/>
                <w:sz w:val="24"/>
                <w14:textFill>
                  <w14:solidFill>
                    <w14:schemeClr w14:val="tx1"/>
                  </w14:solidFill>
                </w14:textFill>
              </w:rPr>
              <w:t>。</w:t>
            </w:r>
          </w:p>
          <w:p>
            <w:pPr>
              <w:pStyle w:val="19"/>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5、</w:t>
            </w:r>
            <w:r>
              <w:rPr>
                <w:rFonts w:hint="eastAsia"/>
                <w:b/>
                <w:color w:val="000000" w:themeColor="text1"/>
                <w:sz w:val="24"/>
                <w14:textFill>
                  <w14:solidFill>
                    <w14:schemeClr w14:val="tx1"/>
                  </w14:solidFill>
                </w14:textFill>
              </w:rPr>
              <w:t>土壤、地下水环境影响分析</w:t>
            </w:r>
          </w:p>
          <w:p>
            <w:pPr>
              <w:pStyle w:val="17"/>
              <w:spacing w:line="360" w:lineRule="auto"/>
              <w:ind w:firstLine="480" w:firstLineChars="200"/>
              <w:jc w:val="both"/>
              <w:outlineLvl w:val="0"/>
              <w:rPr>
                <w:rFonts w:hint="eastAsia" w:hAnsi="宋体"/>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根据《环境影响评价技术导则 地下水环境》（HJ610-2016），本项目属于附录A中C地质勘查24、矿产资源地质勘查（包括</w:t>
            </w:r>
            <w:r>
              <w:rPr>
                <w:rFonts w:hint="eastAsia" w:ascii="Times New Roman" w:hAnsi="Times New Roman" w:cs="Times New Roman"/>
                <w:color w:val="000000" w:themeColor="text1"/>
                <w:lang w:eastAsia="zh-CN"/>
                <w14:textFill>
                  <w14:solidFill>
                    <w14:schemeClr w14:val="tx1"/>
                  </w14:solidFill>
                </w14:textFill>
              </w:rPr>
              <w:t>勘查</w:t>
            </w:r>
            <w:r>
              <w:rPr>
                <w:rFonts w:ascii="Times New Roman" w:hAnsi="Times New Roman" w:cs="Times New Roman"/>
                <w:color w:val="000000" w:themeColor="text1"/>
                <w14:textFill>
                  <w14:solidFill>
                    <w14:schemeClr w14:val="tx1"/>
                  </w14:solidFill>
                </w14:textFill>
              </w:rPr>
              <w:t>活动），地下水环境影响评价项目类别是IV类。根据《环境影响评价技术导则 土壤环境（试行）》（HJ964-2018），本项目属于附录A中其他行业，土壤环境影响评价项目类别是IV类。</w:t>
            </w:r>
            <w:r>
              <w:rPr>
                <w:rFonts w:hint="eastAsia" w:hAnsi="宋体"/>
                <w:color w:val="000000" w:themeColor="text1"/>
                <w14:textFill>
                  <w14:solidFill>
                    <w14:schemeClr w14:val="tx1"/>
                  </w14:solidFill>
                </w14:textFill>
              </w:rPr>
              <w:t>所以，本次不开展土壤、地下水环境影响评价。</w:t>
            </w:r>
          </w:p>
          <w:p>
            <w:pPr>
              <w:pStyle w:val="17"/>
              <w:spacing w:line="360" w:lineRule="auto"/>
              <w:ind w:firstLine="482" w:firstLineChars="200"/>
              <w:jc w:val="both"/>
              <w:outlineLvl w:val="0"/>
              <w:rPr>
                <w:b/>
                <w:color w:val="000000" w:themeColor="text1"/>
                <w14:textFill>
                  <w14:solidFill>
                    <w14:schemeClr w14:val="tx1"/>
                  </w14:solidFill>
                </w14:textFill>
              </w:rPr>
            </w:pPr>
            <w:r>
              <w:rPr>
                <w:rFonts w:hint="eastAsia"/>
                <w:b/>
                <w:color w:val="000000" w:themeColor="text1"/>
                <w14:textFill>
                  <w14:solidFill>
                    <w14:schemeClr w14:val="tx1"/>
                  </w14:solidFill>
                </w14:textFill>
              </w:rPr>
              <w:t>本次评价防止钻探过程对地下水污染提出以下要求：</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fldChar w:fldCharType="begin"/>
            </w:r>
            <w:r>
              <w:rPr>
                <w:rFonts w:hint="eastAsia"/>
                <w:color w:val="000000" w:themeColor="text1"/>
                <w:sz w:val="24"/>
                <w14:textFill>
                  <w14:solidFill>
                    <w14:schemeClr w14:val="tx1"/>
                  </w14:solidFill>
                </w14:textFill>
              </w:rPr>
              <w:instrText xml:space="preserve"> = 1 \* GB3 \* MERGEFORMAT </w:instrText>
            </w:r>
            <w:r>
              <w:rPr>
                <w:rFonts w:hint="eastAsia"/>
                <w:color w:val="000000" w:themeColor="text1"/>
                <w:sz w:val="24"/>
                <w14:textFill>
                  <w14:solidFill>
                    <w14:schemeClr w14:val="tx1"/>
                  </w14:solidFill>
                </w14:textFill>
              </w:rPr>
              <w:fldChar w:fldCharType="separate"/>
            </w:r>
            <w:r>
              <w:rPr>
                <w:rFonts w:hint="eastAsia"/>
                <w:color w:val="000000" w:themeColor="text1"/>
                <w:sz w:val="24"/>
                <w14:textFill>
                  <w14:solidFill>
                    <w14:schemeClr w14:val="tx1"/>
                  </w14:solidFill>
                </w14:textFill>
              </w:rPr>
              <w:t>①</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在钻具、钻孔及具有防渗层的泥浆池中运行。泥浆池下衬1mmHDPE膜防渗，渗透系数＜10</w:t>
            </w:r>
            <w:r>
              <w:rPr>
                <w:rFonts w:hint="eastAsia"/>
                <w:color w:val="000000" w:themeColor="text1"/>
                <w:sz w:val="24"/>
                <w:vertAlign w:val="superscript"/>
                <w14:textFill>
                  <w14:solidFill>
                    <w14:schemeClr w14:val="tx1"/>
                  </w14:solidFill>
                </w14:textFill>
              </w:rPr>
              <w:t>-7</w:t>
            </w:r>
            <w:r>
              <w:rPr>
                <w:rFonts w:hint="eastAsia"/>
                <w:color w:val="000000" w:themeColor="text1"/>
                <w:sz w:val="24"/>
                <w14:textFill>
                  <w14:solidFill>
                    <w14:schemeClr w14:val="tx1"/>
                  </w14:solidFill>
                </w14:textFill>
              </w:rPr>
              <w:t>cm/s，防止污染物下渗进入地下水系统造成污染。</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fldChar w:fldCharType="begin"/>
            </w:r>
            <w:r>
              <w:rPr>
                <w:color w:val="000000" w:themeColor="text1"/>
                <w:sz w:val="24"/>
                <w14:textFill>
                  <w14:solidFill>
                    <w14:schemeClr w14:val="tx1"/>
                  </w14:solidFill>
                </w14:textFill>
              </w:rPr>
              <w:instrText xml:space="preserve"> = 2 \* GB3 \* MERGEFORMAT </w:instrText>
            </w:r>
            <w:r>
              <w:rPr>
                <w:color w:val="000000" w:themeColor="text1"/>
                <w:sz w:val="24"/>
                <w14:textFill>
                  <w14:solidFill>
                    <w14:schemeClr w14:val="tx1"/>
                  </w14:solidFill>
                </w14:textFill>
              </w:rPr>
              <w:fldChar w:fldCharType="separate"/>
            </w:r>
            <w:r>
              <w:rPr>
                <w:color w:val="000000" w:themeColor="text1"/>
                <w:sz w:val="24"/>
                <w14:textFill>
                  <w14:solidFill>
                    <w14:schemeClr w14:val="tx1"/>
                  </w14:solidFill>
                </w14:textFill>
              </w:rPr>
              <w:t>②</w:t>
            </w:r>
            <w:r>
              <w:rPr>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施工工程</w:t>
            </w:r>
            <w:r>
              <w:rPr>
                <w:color w:val="000000" w:themeColor="text1"/>
                <w:sz w:val="24"/>
                <w14:textFill>
                  <w14:solidFill>
                    <w14:schemeClr w14:val="tx1"/>
                  </w14:solidFill>
                </w14:textFill>
              </w:rPr>
              <w:t>在固井、下套管时必须严格按照操作规范进行作业，可有效避免钻井液在含水层中的漏失</w:t>
            </w:r>
            <w:r>
              <w:rPr>
                <w:rFonts w:hint="eastAsia"/>
                <w:color w:val="000000" w:themeColor="text1"/>
                <w:sz w:val="24"/>
                <w14:textFill>
                  <w14:solidFill>
                    <w14:schemeClr w14:val="tx1"/>
                  </w14:solidFill>
                </w14:textFill>
              </w:rPr>
              <w:t>，防止</w:t>
            </w:r>
            <w:r>
              <w:rPr>
                <w:color w:val="000000" w:themeColor="text1"/>
                <w:sz w:val="24"/>
                <w14:textFill>
                  <w14:solidFill>
                    <w14:schemeClr w14:val="tx1"/>
                  </w14:solidFill>
                </w14:textFill>
              </w:rPr>
              <w:t>因固井质量问题或套管破裂、报废等原因使泥浆窜入含水层而污染地下水</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③终孔后，全孔封孔。</w:t>
            </w:r>
          </w:p>
          <w:p>
            <w:pPr>
              <w:pStyle w:val="19"/>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6、</w:t>
            </w:r>
            <w:r>
              <w:rPr>
                <w:rFonts w:hint="eastAsia"/>
                <w:b/>
                <w:color w:val="000000" w:themeColor="text1"/>
                <w:sz w:val="24"/>
                <w14:textFill>
                  <w14:solidFill>
                    <w14:schemeClr w14:val="tx1"/>
                  </w14:solidFill>
                </w14:textFill>
              </w:rPr>
              <w:t>辐射环境影响分析</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w:t>
            </w:r>
            <w:r>
              <w:rPr>
                <w:rFonts w:hint="eastAsia"/>
                <w:color w:val="000000" w:themeColor="text1"/>
                <w:sz w:val="24"/>
                <w14:textFill>
                  <w14:solidFill>
                    <w14:schemeClr w14:val="tx1"/>
                  </w14:solidFill>
                </w14:textFill>
              </w:rPr>
              <w:t>铀矿</w:t>
            </w:r>
            <w:r>
              <w:rPr>
                <w:color w:val="000000" w:themeColor="text1"/>
                <w:sz w:val="24"/>
                <w14:textFill>
                  <w14:solidFill>
                    <w14:schemeClr w14:val="tx1"/>
                  </w14:solidFill>
                </w14:textFill>
              </w:rPr>
              <w:t>勘查工作中，地质钻探施工采用湿法钻探工艺，其施工过程中无放射性粉尘产生，不会对附近公众产生浸没外照射、吸入粉尘内照射、地表沉积外照射；钻探施工过程中产生的少量设备冲洗废水主要用于钻井液配置，无液态放射性流出物产生，放射性核素不会向</w:t>
            </w:r>
            <w:r>
              <w:rPr>
                <w:rFonts w:hint="eastAsia"/>
                <w:color w:val="000000" w:themeColor="text1"/>
                <w:sz w:val="24"/>
                <w:lang w:eastAsia="zh-CN"/>
                <w14:textFill>
                  <w14:solidFill>
                    <w14:schemeClr w14:val="tx1"/>
                  </w14:solidFill>
                </w14:textFill>
              </w:rPr>
              <w:t>勘查区</w:t>
            </w:r>
            <w:r>
              <w:rPr>
                <w:color w:val="000000" w:themeColor="text1"/>
                <w:sz w:val="24"/>
                <w14:textFill>
                  <w14:solidFill>
                    <w14:schemeClr w14:val="tx1"/>
                  </w14:solidFill>
                </w14:textFill>
              </w:rPr>
              <w:t>周边植物、动物发生转移，不会通过食入途径而对附近公众产生内照射；该项目对公众照射途径主要为吸入氡及其子体内照射，本项目钻孔孔径（仅为122mm左右）较小、钻孔深度较浅，钻孔中含矿层长度远小于钻孔深度（仅为几米~十几米），钻孔岩石表面氡气析出量较少，采用湿法钻探后，由于氡气溶于水、且氡气在水中扩散系数较小（8.2×10</w:t>
            </w:r>
            <w:r>
              <w:rPr>
                <w:color w:val="000000" w:themeColor="text1"/>
                <w:sz w:val="24"/>
                <w:vertAlign w:val="superscript"/>
                <w14:textFill>
                  <w14:solidFill>
                    <w14:schemeClr w14:val="tx1"/>
                  </w14:solidFill>
                </w14:textFill>
              </w:rPr>
              <w:t>-10</w:t>
            </w:r>
            <w:r>
              <w:rPr>
                <w:color w:val="000000" w:themeColor="text1"/>
                <w:sz w:val="24"/>
                <w14:textFill>
                  <w14:solidFill>
                    <w14:schemeClr w14:val="tx1"/>
                  </w14:solidFill>
                </w14:textFill>
              </w:rPr>
              <w:t>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s），钻孔含矿段岩石表面产生的氡气扩散至地表的量极少。由于本项目钻探区域位于农村地区，居民区位于钻探区域50m外，在钻孔附近空气稀释和氡气自发衰变（半衰期3.825d）作用下，钻探区域50m外环境空气中氡浓度已降至环境本底水平，对公众基本上不产生辐射影响。</w:t>
            </w:r>
          </w:p>
          <w:p>
            <w:pPr>
              <w:pStyle w:val="19"/>
              <w:spacing w:line="360" w:lineRule="auto"/>
              <w:ind w:firstLine="0" w:firstLineChars="0"/>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7、生态环境影响分析</w:t>
            </w:r>
          </w:p>
          <w:p>
            <w:pPr>
              <w:pStyle w:val="17"/>
              <w:adjustRightInd/>
              <w:spacing w:line="360" w:lineRule="auto"/>
              <w:jc w:val="both"/>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7</w:t>
            </w:r>
            <w:r>
              <w:rPr>
                <w:rFonts w:ascii="Times New Roman" w:hAnsi="Times New Roman" w:cs="Times New Roman"/>
                <w:b/>
                <w:bCs/>
                <w:color w:val="000000" w:themeColor="text1"/>
                <w14:textFill>
                  <w14:solidFill>
                    <w14:schemeClr w14:val="tx1"/>
                  </w14:solidFill>
                </w14:textFill>
              </w:rPr>
              <w:t>.1</w:t>
            </w:r>
            <w:r>
              <w:rPr>
                <w:rFonts w:hint="eastAsia" w:ascii="Times New Roman" w:hAnsi="Times New Roman" w:cs="Times New Roman"/>
                <w:b/>
                <w:bCs/>
                <w:color w:val="000000" w:themeColor="text1"/>
                <w:lang w:val="en-US" w:eastAsia="zh-CN"/>
                <w14:textFill>
                  <w14:solidFill>
                    <w14:schemeClr w14:val="tx1"/>
                  </w14:solidFill>
                </w14:textFill>
              </w:rPr>
              <w:t>评价等级判定</w:t>
            </w:r>
          </w:p>
          <w:p>
            <w:pPr>
              <w:spacing w:line="360" w:lineRule="auto"/>
              <w:ind w:firstLine="480" w:firstLineChars="200"/>
              <w:contextualSpacing/>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项目总占地面积约</w:t>
            </w:r>
            <w:r>
              <w:rPr>
                <w:rFonts w:hint="eastAsia"/>
                <w:bCs/>
                <w:color w:val="000000" w:themeColor="text1"/>
                <w:sz w:val="24"/>
                <w14:textFill>
                  <w14:solidFill>
                    <w14:schemeClr w14:val="tx1"/>
                  </w14:solidFill>
                </w14:textFill>
              </w:rPr>
              <w:t>0</w:t>
            </w:r>
            <w:r>
              <w:rPr>
                <w:bCs/>
                <w:color w:val="000000" w:themeColor="text1"/>
                <w:sz w:val="24"/>
                <w14:textFill>
                  <w14:solidFill>
                    <w14:schemeClr w14:val="tx1"/>
                  </w14:solidFill>
                </w14:textFill>
              </w:rPr>
              <w:t>.0</w:t>
            </w:r>
            <w:r>
              <w:rPr>
                <w:rFonts w:hint="eastAsia"/>
                <w:bCs/>
                <w:color w:val="000000" w:themeColor="text1"/>
                <w:sz w:val="24"/>
                <w14:textFill>
                  <w14:solidFill>
                    <w14:schemeClr w14:val="tx1"/>
                  </w14:solidFill>
                </w14:textFill>
              </w:rPr>
              <w:t>426k</w:t>
            </w:r>
            <w:r>
              <w:rPr>
                <w:bCs/>
                <w:color w:val="000000" w:themeColor="text1"/>
                <w:sz w:val="24"/>
                <w14:textFill>
                  <w14:solidFill>
                    <w14:schemeClr w14:val="tx1"/>
                  </w14:solidFill>
                </w14:textFill>
              </w:rPr>
              <w:t>m</w:t>
            </w:r>
            <w:r>
              <w:rPr>
                <w:bCs/>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，均为施工临时占地，占地小于2km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影响区域不涉及自然保护区、自然遗产地、风景名胜区、森林公园、地质公园、重要湿地和珍稀濒危野生动植物天然集中分布区等生态敏感区，生态敏感性属一般区域。依据HJ19-2011《环境影响评价技术导则—生态影响》分级规定，生态评价工作等级判定为三级。</w:t>
            </w:r>
          </w:p>
          <w:p>
            <w:pPr>
              <w:pStyle w:val="17"/>
              <w:adjustRightInd/>
              <w:spacing w:line="360" w:lineRule="auto"/>
              <w:jc w:val="both"/>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7</w:t>
            </w:r>
            <w:r>
              <w:rPr>
                <w:rFonts w:ascii="Times New Roman" w:hAnsi="Times New Roman" w:cs="Times New Roman"/>
                <w:b/>
                <w:bCs/>
                <w:color w:val="000000" w:themeColor="text1"/>
                <w14:textFill>
                  <w14:solidFill>
                    <w14:schemeClr w14:val="tx1"/>
                  </w14:solidFill>
                </w14:textFill>
              </w:rPr>
              <w:t>.</w:t>
            </w:r>
            <w:r>
              <w:rPr>
                <w:rFonts w:hint="eastAsia" w:ascii="Times New Roman" w:hAnsi="Times New Roman" w:cs="Times New Roman"/>
                <w:b/>
                <w:bCs/>
                <w:color w:val="000000" w:themeColor="text1"/>
                <w:lang w:val="en-US" w:eastAsia="zh-CN"/>
                <w14:textFill>
                  <w14:solidFill>
                    <w14:schemeClr w14:val="tx1"/>
                  </w14:solidFill>
                </w14:textFill>
              </w:rPr>
              <w:t>2生态环境影响分析</w:t>
            </w:r>
          </w:p>
          <w:p>
            <w:pPr>
              <w:pStyle w:val="17"/>
              <w:spacing w:line="360" w:lineRule="auto"/>
              <w:ind w:firstLine="480" w:firstLineChars="200"/>
              <w:jc w:val="both"/>
              <w:rPr>
                <w:bCs/>
                <w:color w:val="000000" w:themeColor="text1"/>
                <w14:textFill>
                  <w14:solidFill>
                    <w14:schemeClr w14:val="tx1"/>
                  </w14:solidFill>
                </w14:textFill>
              </w:rPr>
            </w:pPr>
            <w:r>
              <w:rPr>
                <w:rFonts w:hint="eastAsia"/>
                <w:bCs/>
                <w:color w:val="000000" w:themeColor="text1"/>
                <w14:textFill>
                  <w14:solidFill>
                    <w14:schemeClr w14:val="tx1"/>
                  </w14:solidFill>
                </w14:textFill>
              </w:rPr>
              <w:t>本项目对生态环境的影响主要包括工程临时占地对土地利用、植被、动物、景观、农业等的影响。</w:t>
            </w:r>
          </w:p>
          <w:p>
            <w:pPr>
              <w:keepNext w:val="0"/>
              <w:keepLines w:val="0"/>
              <w:widowControl/>
              <w:suppressLineNumbers w:val="0"/>
              <w:spacing w:line="360" w:lineRule="auto"/>
              <w:jc w:val="left"/>
              <w:rPr>
                <w:rFonts w:hint="default" w:cs="Times New Roman"/>
                <w:color w:val="000000" w:themeColor="text1"/>
                <w:kern w:val="0"/>
                <w:sz w:val="24"/>
                <w:szCs w:val="24"/>
                <w:lang w:val="en-US" w:eastAsia="zh-CN" w:bidi="ar-SA"/>
                <w14:textFill>
                  <w14:solidFill>
                    <w14:schemeClr w14:val="tx1"/>
                  </w14:solidFill>
                </w14:textFill>
              </w:rPr>
            </w:pPr>
            <w:r>
              <w:rPr>
                <w:rFonts w:hint="eastAsia" w:cs="Times New Roman"/>
                <w:color w:val="000000" w:themeColor="text1"/>
                <w:kern w:val="0"/>
                <w:sz w:val="24"/>
                <w:szCs w:val="24"/>
                <w:lang w:val="en-US" w:eastAsia="zh-CN" w:bidi="ar-SA"/>
                <w14:textFill>
                  <w14:solidFill>
                    <w14:schemeClr w14:val="tx1"/>
                  </w14:solidFill>
                </w14:textFill>
              </w:rPr>
              <w:t>7.2.1土地利用影响分析</w:t>
            </w:r>
          </w:p>
          <w:p>
            <w:pPr>
              <w:widowControl/>
              <w:spacing w:line="360" w:lineRule="auto"/>
              <w:ind w:firstLine="480" w:firstLineChars="200"/>
              <w:jc w:val="left"/>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本项目平整钻孔场地占用土地和开挖将会对原地貌造成扰动，并破坏占地范围内的地表植被</w:t>
            </w:r>
            <w:r>
              <w:rPr>
                <w:rFonts w:hint="eastAsia"/>
                <w:color w:val="000000" w:themeColor="text1"/>
                <w:kern w:val="0"/>
                <w:sz w:val="24"/>
                <w:lang w:eastAsia="zh-CN"/>
                <w14:textFill>
                  <w14:solidFill>
                    <w14:schemeClr w14:val="tx1"/>
                  </w14:solidFill>
                </w14:textFill>
              </w:rPr>
              <w:t>；</w:t>
            </w:r>
            <w:r>
              <w:rPr>
                <w:color w:val="000000" w:themeColor="text1"/>
                <w:kern w:val="0"/>
                <w:sz w:val="24"/>
                <w14:textFill>
                  <w14:solidFill>
                    <w14:schemeClr w14:val="tx1"/>
                  </w14:solidFill>
                </w14:textFill>
              </w:rPr>
              <w:t>202</w:t>
            </w:r>
            <w:r>
              <w:rPr>
                <w:rFonts w:hint="eastAsia"/>
                <w:color w:val="000000" w:themeColor="text1"/>
                <w:kern w:val="0"/>
                <w:sz w:val="24"/>
                <w14:textFill>
                  <w14:solidFill>
                    <w14:schemeClr w14:val="tx1"/>
                  </w14:solidFill>
                </w14:textFill>
              </w:rPr>
              <w:t>2</w:t>
            </w:r>
            <w:r>
              <w:rPr>
                <w:color w:val="000000" w:themeColor="text1"/>
                <w:kern w:val="0"/>
                <w:sz w:val="24"/>
                <w14:textFill>
                  <w14:solidFill>
                    <w14:schemeClr w14:val="tx1"/>
                  </w14:solidFill>
                </w14:textFill>
              </w:rPr>
              <w:t>年拟共设钻孔</w:t>
            </w:r>
            <w:r>
              <w:rPr>
                <w:rFonts w:hint="eastAsia"/>
                <w:color w:val="000000" w:themeColor="text1"/>
                <w:kern w:val="0"/>
                <w:sz w:val="24"/>
                <w14:textFill>
                  <w14:solidFill>
                    <w14:schemeClr w14:val="tx1"/>
                  </w14:solidFill>
                </w14:textFill>
              </w:rPr>
              <w:t>46</w:t>
            </w:r>
            <w:r>
              <w:rPr>
                <w:color w:val="000000" w:themeColor="text1"/>
                <w:kern w:val="0"/>
                <w:sz w:val="24"/>
                <w14:textFill>
                  <w14:solidFill>
                    <w14:schemeClr w14:val="tx1"/>
                  </w14:solidFill>
                </w14:textFill>
              </w:rPr>
              <w:t>个，202</w:t>
            </w:r>
            <w:r>
              <w:rPr>
                <w:rFonts w:hint="eastAsia"/>
                <w:color w:val="000000" w:themeColor="text1"/>
                <w:kern w:val="0"/>
                <w:sz w:val="24"/>
                <w14:textFill>
                  <w14:solidFill>
                    <w14:schemeClr w14:val="tx1"/>
                  </w14:solidFill>
                </w14:textFill>
              </w:rPr>
              <w:t>3-2026</w:t>
            </w:r>
            <w:r>
              <w:rPr>
                <w:color w:val="000000" w:themeColor="text1"/>
                <w:kern w:val="0"/>
                <w:sz w:val="24"/>
                <w14:textFill>
                  <w14:solidFill>
                    <w14:schemeClr w14:val="tx1"/>
                  </w14:solidFill>
                </w14:textFill>
              </w:rPr>
              <w:t>年预计设钻孔</w:t>
            </w:r>
            <w:r>
              <w:rPr>
                <w:rFonts w:hint="eastAsia"/>
                <w:color w:val="000000" w:themeColor="text1"/>
                <w:kern w:val="0"/>
                <w:sz w:val="24"/>
                <w14:textFill>
                  <w14:solidFill>
                    <w14:schemeClr w14:val="tx1"/>
                  </w14:solidFill>
                </w14:textFill>
              </w:rPr>
              <w:t>为</w:t>
            </w:r>
            <w:r>
              <w:rPr>
                <w:rFonts w:hint="eastAsia"/>
                <w:color w:val="000000" w:themeColor="text1"/>
                <w:kern w:val="0"/>
                <w:sz w:val="24"/>
                <w:lang w:val="en-US" w:eastAsia="zh-CN"/>
                <w14:textFill>
                  <w14:solidFill>
                    <w14:schemeClr w14:val="tx1"/>
                  </w14:solidFill>
                </w14:textFill>
              </w:rPr>
              <w:t>238</w:t>
            </w:r>
            <w:r>
              <w:rPr>
                <w:color w:val="000000" w:themeColor="text1"/>
                <w:kern w:val="0"/>
                <w:sz w:val="24"/>
                <w14:textFill>
                  <w14:solidFill>
                    <w14:schemeClr w14:val="tx1"/>
                  </w14:solidFill>
                </w14:textFill>
              </w:rPr>
              <w:t>个，平均每个钻孔场地占地</w:t>
            </w:r>
            <w:r>
              <w:rPr>
                <w:rFonts w:hint="eastAsia"/>
                <w:color w:val="000000" w:themeColor="text1"/>
                <w:kern w:val="0"/>
                <w:sz w:val="24"/>
                <w14:textFill>
                  <w14:solidFill>
                    <w14:schemeClr w14:val="tx1"/>
                  </w14:solidFill>
                </w14:textFill>
              </w:rPr>
              <w:t>15</w:t>
            </w:r>
            <w:r>
              <w:rPr>
                <w:color w:val="000000" w:themeColor="text1"/>
                <w:kern w:val="0"/>
                <w:sz w:val="24"/>
                <w14:textFill>
                  <w14:solidFill>
                    <w14:schemeClr w14:val="tx1"/>
                  </w14:solidFill>
                </w14:textFill>
              </w:rPr>
              <w:t>0m</w:t>
            </w:r>
            <w:r>
              <w:rPr>
                <w:color w:val="000000" w:themeColor="text1"/>
                <w:kern w:val="0"/>
                <w:sz w:val="24"/>
                <w:vertAlign w:val="superscript"/>
                <w14:textFill>
                  <w14:solidFill>
                    <w14:schemeClr w14:val="tx1"/>
                  </w14:solidFill>
                </w14:textFill>
              </w:rPr>
              <w:t>2</w:t>
            </w:r>
            <w:r>
              <w:rPr>
                <w:color w:val="000000" w:themeColor="text1"/>
                <w:kern w:val="0"/>
                <w:sz w:val="24"/>
                <w14:textFill>
                  <w14:solidFill>
                    <w14:schemeClr w14:val="tx1"/>
                  </w14:solidFill>
                </w14:textFill>
              </w:rPr>
              <w:t>，</w:t>
            </w:r>
            <w:r>
              <w:rPr>
                <w:rFonts w:hint="eastAsia" w:cs="Times New Roman"/>
                <w:color w:val="000000" w:themeColor="text1"/>
                <w:kern w:val="0"/>
                <w:sz w:val="24"/>
                <w:szCs w:val="24"/>
                <w:lang w:val="en-US" w:eastAsia="zh-CN" w:bidi="ar-SA"/>
                <w14:textFill>
                  <w14:solidFill>
                    <w14:schemeClr w14:val="tx1"/>
                  </w14:solidFill>
                </w14:textFill>
              </w:rPr>
              <w:t>2022年钻孔占地面积6900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eastAsia" w:cs="Times New Roman"/>
                <w:color w:val="000000" w:themeColor="text1"/>
                <w:kern w:val="0"/>
                <w:sz w:val="24"/>
                <w:szCs w:val="24"/>
                <w:lang w:val="en-US" w:eastAsia="zh-CN" w:bidi="ar-SA"/>
                <w14:textFill>
                  <w14:solidFill>
                    <w14:schemeClr w14:val="tx1"/>
                  </w14:solidFill>
                </w14:textFill>
              </w:rPr>
              <w:t>，2023-2026年钻孔占地面积35700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eastAsia" w:cs="Times New Roman"/>
                <w:color w:val="000000" w:themeColor="text1"/>
                <w:kern w:val="0"/>
                <w:sz w:val="24"/>
                <w:szCs w:val="24"/>
                <w:vertAlign w:val="baseline"/>
                <w:lang w:val="en-US" w:eastAsia="zh-CN" w:bidi="ar-SA"/>
                <w14:textFill>
                  <w14:solidFill>
                    <w14:schemeClr w14:val="tx1"/>
                  </w14:solidFill>
                </w14:textFill>
              </w:rPr>
              <w:t>。</w:t>
            </w:r>
          </w:p>
          <w:p>
            <w:pPr>
              <w:widowControl/>
              <w:spacing w:line="360" w:lineRule="auto"/>
              <w:ind w:firstLine="480" w:firstLineChars="200"/>
              <w:jc w:val="left"/>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根据计划安排，</w:t>
            </w:r>
            <w:r>
              <w:rPr>
                <w:color w:val="000000" w:themeColor="text1"/>
                <w:kern w:val="0"/>
                <w:sz w:val="24"/>
                <w14:textFill>
                  <w14:solidFill>
                    <w14:schemeClr w14:val="tx1"/>
                  </w14:solidFill>
                </w14:textFill>
              </w:rPr>
              <w:t>202</w:t>
            </w:r>
            <w:r>
              <w:rPr>
                <w:rFonts w:hint="eastAsia"/>
                <w:color w:val="000000" w:themeColor="text1"/>
                <w:kern w:val="0"/>
                <w:sz w:val="24"/>
                <w14:textFill>
                  <w14:solidFill>
                    <w14:schemeClr w14:val="tx1"/>
                  </w14:solidFill>
                </w14:textFill>
              </w:rPr>
              <w:t>2年的钻孔坐标已初步确定，</w:t>
            </w:r>
            <w:r>
              <w:rPr>
                <w:color w:val="000000" w:themeColor="text1"/>
                <w:kern w:val="0"/>
                <w:sz w:val="24"/>
                <w14:textFill>
                  <w14:solidFill>
                    <w14:schemeClr w14:val="tx1"/>
                  </w14:solidFill>
                </w14:textFill>
              </w:rPr>
              <w:t>202</w:t>
            </w:r>
            <w:r>
              <w:rPr>
                <w:rFonts w:hint="eastAsia"/>
                <w:color w:val="000000" w:themeColor="text1"/>
                <w:kern w:val="0"/>
                <w:sz w:val="24"/>
                <w14:textFill>
                  <w14:solidFill>
                    <w14:schemeClr w14:val="tx1"/>
                  </w14:solidFill>
                </w14:textFill>
              </w:rPr>
              <w:t>3-2026年的尚未确定；</w:t>
            </w:r>
            <w:r>
              <w:rPr>
                <w:color w:val="000000" w:themeColor="text1"/>
                <w:kern w:val="0"/>
                <w:sz w:val="24"/>
                <w14:textFill>
                  <w14:solidFill>
                    <w14:schemeClr w14:val="tx1"/>
                  </w14:solidFill>
                </w14:textFill>
              </w:rPr>
              <w:t>20</w:t>
            </w:r>
            <w:r>
              <w:rPr>
                <w:rFonts w:hint="eastAsia"/>
                <w:color w:val="000000" w:themeColor="text1"/>
                <w:kern w:val="0"/>
                <w:sz w:val="24"/>
                <w14:textFill>
                  <w14:solidFill>
                    <w14:schemeClr w14:val="tx1"/>
                  </w14:solidFill>
                </w14:textFill>
              </w:rPr>
              <w:t>22年拟布设钻孔在勘查中也会根据实际情况进行调整。所以，本次评价根据整个工作内植被分布情况进行定性分析。</w:t>
            </w:r>
          </w:p>
          <w:p>
            <w:pPr>
              <w:pStyle w:val="3"/>
              <w:spacing w:before="0" w:after="0" w:line="360" w:lineRule="auto"/>
              <w:ind w:firstLine="480" w:firstLineChars="200"/>
              <w:rPr>
                <w:rFonts w:ascii="Times New Roman" w:hAnsi="Times New Roman" w:eastAsia="宋体" w:cs="Times New Roman"/>
                <w:b w:val="0"/>
                <w:bCs w:val="0"/>
                <w:color w:val="000000" w:themeColor="text1"/>
                <w:kern w:val="0"/>
                <w:sz w:val="24"/>
                <w:szCs w:val="24"/>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项目</w:t>
            </w:r>
            <w:r>
              <w:rPr>
                <w:rFonts w:hint="eastAsia" w:ascii="Times New Roman" w:hAnsi="Times New Roman" w:eastAsia="宋体" w:cs="Times New Roman"/>
                <w:b w:val="0"/>
                <w:bCs w:val="0"/>
                <w:color w:val="000000" w:themeColor="text1"/>
                <w:kern w:val="0"/>
                <w:sz w:val="24"/>
                <w:szCs w:val="24"/>
                <w:lang w:eastAsia="zh-CN"/>
                <w14:textFill>
                  <w14:solidFill>
                    <w14:schemeClr w14:val="tx1"/>
                  </w14:solidFill>
                </w14:textFill>
              </w:rPr>
              <w:t>勘查区</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包括</w:t>
            </w:r>
            <w:r>
              <w:rPr>
                <w:rFonts w:hint="eastAsia" w:ascii="Times New Roman" w:hAnsi="Times New Roman" w:eastAsia="宋体" w:cs="Times New Roman"/>
                <w:b w:val="0"/>
                <w:bCs w:val="0"/>
                <w:color w:val="000000" w:themeColor="text1"/>
                <w:kern w:val="0"/>
                <w:sz w:val="24"/>
                <w:szCs w:val="24"/>
                <w:lang w:eastAsia="zh-CN"/>
                <w14:textFill>
                  <w14:solidFill>
                    <w14:schemeClr w14:val="tx1"/>
                  </w14:solidFill>
                </w14:textFill>
              </w:rPr>
              <w:t>青海省海西蒙古族藏族自治州</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（包括：德令哈市、格尔木市、茫崖市、乌兰县、都兰县、</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instrText xml:space="preserve"> HYPERLINK "https://baike.baidu.com/item/%E5%A4%A7%E6%9F%B4%E6%97%A6%E8%A1%8C%E6%94%BF%E5%8C%BA/7878519" \t "https://baike.baidu.com/item/_blank" </w:instrTex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大柴旦行政区</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）、新疆维吾尔自治区若羌县和</w:t>
            </w:r>
            <w:r>
              <w:rPr>
                <w:rFonts w:hint="eastAsia" w:ascii="Times New Roman" w:hAnsi="Times New Roman" w:eastAsia="宋体" w:cs="Times New Roman"/>
                <w:b w:val="0"/>
                <w:bCs w:val="0"/>
                <w:color w:val="000000" w:themeColor="text1"/>
                <w:kern w:val="0"/>
                <w:sz w:val="24"/>
                <w:szCs w:val="24"/>
                <w:lang w:eastAsia="zh-CN"/>
                <w14:textFill>
                  <w14:solidFill>
                    <w14:schemeClr w14:val="tx1"/>
                  </w14:solidFill>
                </w14:textFill>
              </w:rPr>
              <w:t>甘肃省酒泉市阿克塞哈萨克族自治县</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。其中涉青海区域属</w:t>
            </w:r>
            <w:r>
              <w:rPr>
                <w:rFonts w:hint="eastAsia"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柴达木盆地荒漠防风固沙生态功能区和阿尔金山南麓荒漠草原生态功能区</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，土地利用类型为裸地（戈壁荒漠），还有少量草地；涉及甘肃区域属</w:t>
            </w:r>
            <w:r>
              <w:rPr>
                <w:rFonts w:hint="eastAsia"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柴达木盆地荒漠生态区（柴达木盆地北部山地高寒荒漠草原生态亚区、阿尔金山荒漠生态亚区）</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，土地利用类型为裸地（戈壁荒漠），还有少量草地；涉及新疆维吾尔自治区区域属</w:t>
            </w:r>
            <w:r>
              <w:rPr>
                <w:rFonts w:hint="eastAsia"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东昆仑山及山间盆地湿地与生物多样性保护生态功能区</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，土地利用类型为裸地（戈壁荒漠），还有少量草地。</w:t>
            </w:r>
          </w:p>
          <w:p>
            <w:pPr>
              <w:pStyle w:val="17"/>
              <w:adjustRightInd/>
              <w:spacing w:line="360" w:lineRule="auto"/>
              <w:ind w:firstLine="480" w:firstLineChars="200"/>
              <w:jc w:val="both"/>
              <w:rPr>
                <w:rFonts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钻探施工会改变上述土地利用功能，破坏占用土地上的植被，但施工结束后，伴随场地平整和植被恢复措施的落实，临时占地可基本恢复原土地利用类型，对</w:t>
            </w:r>
            <w:r>
              <w:rPr>
                <w:rFonts w:hint="eastAsia" w:ascii="Times New Roman" w:hAnsi="Times New Roman" w:cs="Times New Roman"/>
                <w:color w:val="000000" w:themeColor="text1"/>
                <w:lang w:val="en-US" w:eastAsia="zh-CN"/>
                <w14:textFill>
                  <w14:solidFill>
                    <w14:schemeClr w14:val="tx1"/>
                  </w14:solidFill>
                </w14:textFill>
              </w:rPr>
              <w:t>勘查区</w:t>
            </w:r>
            <w:r>
              <w:rPr>
                <w:rFonts w:hint="eastAsia" w:ascii="Times New Roman" w:hAnsi="Times New Roman" w:cs="Times New Roman"/>
                <w:color w:val="000000" w:themeColor="text1"/>
                <w14:textFill>
                  <w14:solidFill>
                    <w14:schemeClr w14:val="tx1"/>
                  </w14:solidFill>
                </w14:textFill>
              </w:rPr>
              <w:t>土地利用类型影响较小。</w:t>
            </w:r>
          </w:p>
          <w:p>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6075045" cy="3165475"/>
                  <wp:effectExtent l="9525" t="9525" r="11430" b="12700"/>
                  <wp:docPr id="16" name="图片 16" descr="16459618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645961859(1)"/>
                          <pic:cNvPicPr>
                            <a:picLocks noChangeAspect="1"/>
                          </pic:cNvPicPr>
                        </pic:nvPicPr>
                        <pic:blipFill>
                          <a:blip r:embed="rId27"/>
                          <a:stretch>
                            <a:fillRect/>
                          </a:stretch>
                        </pic:blipFill>
                        <pic:spPr>
                          <a:xfrm>
                            <a:off x="0" y="0"/>
                            <a:ext cx="6075045" cy="3165475"/>
                          </a:xfrm>
                          <a:prstGeom prst="rect">
                            <a:avLst/>
                          </a:prstGeom>
                          <a:ln>
                            <a:solidFill>
                              <a:schemeClr val="tx1"/>
                            </a:solidFill>
                          </a:ln>
                        </pic:spPr>
                      </pic:pic>
                    </a:graphicData>
                  </a:graphic>
                </wp:inline>
              </w:drawing>
            </w:r>
          </w:p>
          <w:p>
            <w:pPr>
              <w:pStyle w:val="3"/>
              <w:spacing w:before="0" w:after="0" w:line="360" w:lineRule="auto"/>
              <w:jc w:val="center"/>
              <w:rPr>
                <w:rFonts w:ascii="Times New Roman" w:hAnsi="Times New Roman" w:eastAsia="宋体" w:cs="Times New Roman"/>
                <w:b w:val="0"/>
                <w:bCs w:val="0"/>
                <w:color w:val="000000" w:themeColor="text1"/>
                <w:kern w:val="0"/>
                <w:sz w:val="24"/>
                <w:szCs w:val="24"/>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图</w:t>
            </w:r>
            <w:r>
              <w:rPr>
                <w:rFonts w:hint="eastAsia"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8-</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 xml:space="preserve">1  </w:t>
            </w:r>
            <w:r>
              <w:rPr>
                <w:rFonts w:hint="eastAsia"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本项目</w:t>
            </w:r>
            <w:r>
              <w:rPr>
                <w:rFonts w:hint="eastAsia" w:ascii="Times New Roman" w:hAnsi="Times New Roman" w:eastAsia="宋体" w:cs="Times New Roman"/>
                <w:b w:val="0"/>
                <w:bCs w:val="0"/>
                <w:color w:val="000000" w:themeColor="text1"/>
                <w:kern w:val="0"/>
                <w:sz w:val="24"/>
                <w:szCs w:val="24"/>
                <w14:textFill>
                  <w14:solidFill>
                    <w14:schemeClr w14:val="tx1"/>
                  </w14:solidFill>
                </w14:textFill>
              </w:rPr>
              <w:t>土地利用类型示意图</w:t>
            </w:r>
          </w:p>
          <w:p>
            <w:pPr>
              <w:pStyle w:val="17"/>
              <w:spacing w:line="360" w:lineRule="auto"/>
              <w:jc w:val="both"/>
              <w:rPr>
                <w:rFonts w:hint="default"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14:textFill>
                  <w14:solidFill>
                    <w14:schemeClr w14:val="tx1"/>
                  </w14:solidFill>
                </w14:textFill>
              </w:rPr>
              <w:t>7</w:t>
            </w:r>
            <w:r>
              <w:rPr>
                <w:rFonts w:hint="default" w:ascii="Times New Roman" w:hAnsi="Times New Roman" w:eastAsia="宋体" w:cs="Times New Roman"/>
                <w:color w:val="000000" w:themeColor="text1"/>
                <w14:textFill>
                  <w14:solidFill>
                    <w14:schemeClr w14:val="tx1"/>
                  </w14:solidFill>
                </w14:textFill>
              </w:rPr>
              <w:t>.2</w:t>
            </w:r>
            <w:r>
              <w:rPr>
                <w:rFonts w:hint="eastAsia" w:ascii="Times New Roman" w:hAnsi="Times New Roman" w:eastAsia="宋体" w:cs="Times New Roman"/>
                <w:color w:val="000000" w:themeColor="text1"/>
                <w:lang w:val="en-US" w:eastAsia="zh-CN"/>
                <w14:textFill>
                  <w14:solidFill>
                    <w14:schemeClr w14:val="tx1"/>
                  </w14:solidFill>
                </w14:textFill>
              </w:rPr>
              <w:t>.2</w:t>
            </w:r>
            <w:r>
              <w:rPr>
                <w:rFonts w:hint="default" w:ascii="Times New Roman" w:hAnsi="Times New Roman" w:eastAsia="宋体" w:cs="Times New Roman"/>
                <w:color w:val="000000" w:themeColor="text1"/>
                <w14:textFill>
                  <w14:solidFill>
                    <w14:schemeClr w14:val="tx1"/>
                  </w14:solidFill>
                </w14:textFill>
              </w:rPr>
              <w:t>植被影响分析</w:t>
            </w:r>
          </w:p>
          <w:p>
            <w:pPr>
              <w:spacing w:line="360" w:lineRule="auto"/>
              <w:ind w:firstLine="48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对植被的影响主要是临时占地范围内原有植物的剥离、清理及占压，在钻探施工过程中，钻前工程会清理井场施工范围内植物的地上部分与根系，施工作业带的植被由于挖掘土石的堆放、人员的践踏、施工车辆和机具的碾压而受到不同程度的破坏。所以，钻探工程对植被的影响在评价区域内呈点状分布。</w:t>
            </w:r>
          </w:p>
          <w:p>
            <w:pPr>
              <w:spacing w:line="360" w:lineRule="auto"/>
              <w:ind w:firstLine="48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因本项目占地均为临时占地，施工结束采取植被恢复措施后，经过一个完整的植被生长期，占地范围内的植被均可得到恢复，对评价区域植被影响较小。</w:t>
            </w:r>
          </w:p>
          <w:p>
            <w:pPr>
              <w:pStyle w:val="17"/>
              <w:spacing w:line="360" w:lineRule="auto"/>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7.2.3动物影响分析</w:t>
            </w:r>
          </w:p>
          <w:p>
            <w:pPr>
              <w:spacing w:line="360" w:lineRule="auto"/>
              <w:ind w:firstLine="480"/>
              <w:rPr>
                <w:rFonts w:hint="default" w:ascii="Times New Roman" w:hAnsi="Times New Roman" w:cs="Times New Roman"/>
                <w:color w:val="000000" w:themeColor="text1"/>
                <w:sz w:val="24"/>
                <w:lang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施工期对动物的影响主要是运输、施工噪声、人为活动对该区动物栖息活动会产生一定的干扰，本项目钻探施工临时占地范围小，施工时间短，对野生动物的影响不大。</w:t>
            </w:r>
          </w:p>
          <w:p>
            <w:pPr>
              <w:pStyle w:val="17"/>
              <w:spacing w:line="360" w:lineRule="auto"/>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7.2.4农业影响分析</w:t>
            </w:r>
          </w:p>
          <w:p>
            <w:pPr>
              <w:pStyle w:val="17"/>
              <w:spacing w:line="360" w:lineRule="auto"/>
              <w:ind w:firstLine="480" w:firstLineChars="200"/>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本次评价要求钻探工程避让勘查区内基本农田，对一般耕地等尽量采取避让措施。若根据实际情况需占用耕地，应尽量将施工期安排在非耕作期，施工结束后及时进行复垦。因本项目属于</w:t>
            </w:r>
            <w:r>
              <w:rPr>
                <w:rFonts w:hint="eastAsia" w:ascii="Times New Roman" w:hAnsi="Times New Roman" w:cs="Times New Roman"/>
                <w:color w:val="000000" w:themeColor="text1"/>
                <w:lang w:eastAsia="zh-CN"/>
                <w14:textFill>
                  <w14:solidFill>
                    <w14:schemeClr w14:val="tx1"/>
                  </w14:solidFill>
                </w14:textFill>
              </w:rPr>
              <w:t>勘查</w:t>
            </w:r>
            <w:r>
              <w:rPr>
                <w:rFonts w:hint="default" w:ascii="Times New Roman" w:hAnsi="Times New Roman" w:cs="Times New Roman"/>
                <w:color w:val="000000" w:themeColor="text1"/>
                <w14:textFill>
                  <w14:solidFill>
                    <w14:schemeClr w14:val="tx1"/>
                  </w14:solidFill>
                </w14:textFill>
              </w:rPr>
              <w:t>工程，且单个钻探工程施工期均比较短，若避开耕作期，施工结束后及时采取复垦措施，基本不会对评价区域农业产生影响。</w:t>
            </w:r>
          </w:p>
          <w:p>
            <w:pPr>
              <w:pStyle w:val="17"/>
              <w:spacing w:line="360" w:lineRule="auto"/>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7.2.5景观影响分析</w:t>
            </w:r>
          </w:p>
          <w:p>
            <w:pPr>
              <w:pStyle w:val="17"/>
              <w:spacing w:line="360" w:lineRule="auto"/>
              <w:ind w:firstLine="480" w:firstLineChars="200"/>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施工期会暂时新增评价区域工业景观类型，改变局部原有地形地貌及自然景观，对自然景观产生短期影响。因勘查区一般地处山区或远离城乡居住区的郊区，产生的视觉景观影响较小。伴随施工结束后的植被恢复，将恢复原有景观类型，对景观的影响将逐步减缓并消失。</w:t>
            </w:r>
          </w:p>
          <w:p>
            <w:pPr>
              <w:pStyle w:val="17"/>
              <w:spacing w:line="360" w:lineRule="auto"/>
              <w:jc w:val="both"/>
              <w:rPr>
                <w:rFonts w:hint="default"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14:textFill>
                  <w14:solidFill>
                    <w14:schemeClr w14:val="tx1"/>
                  </w14:solidFill>
                </w14:textFill>
              </w:rPr>
              <w:t>7</w:t>
            </w:r>
            <w:r>
              <w:rPr>
                <w:rFonts w:hint="default" w:ascii="Times New Roman" w:hAnsi="Times New Roman" w:eastAsia="宋体" w:cs="Times New Roman"/>
                <w:color w:val="000000" w:themeColor="text1"/>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2.6</w:t>
            </w:r>
            <w:r>
              <w:rPr>
                <w:rFonts w:hint="default" w:ascii="Times New Roman" w:hAnsi="Times New Roman" w:eastAsia="宋体" w:cs="Times New Roman"/>
                <w:color w:val="000000" w:themeColor="text1"/>
                <w14:textFill>
                  <w14:solidFill>
                    <w14:schemeClr w14:val="tx1"/>
                  </w14:solidFill>
                </w14:textFill>
              </w:rPr>
              <w:t>环境敏感区影响分析</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勘查区内分布</w:t>
            </w:r>
            <w:r>
              <w:rPr>
                <w:rFonts w:hint="eastAsia"/>
                <w:bCs/>
                <w:color w:val="000000" w:themeColor="text1"/>
                <w:sz w:val="24"/>
                <w14:textFill>
                  <w14:solidFill>
                    <w14:schemeClr w14:val="tx1"/>
                  </w14:solidFill>
                </w14:textFill>
              </w:rPr>
              <w:t>有5个省级自然保护区（青海格尔木胡杨林自然保护区、青海省诺木洪自然保护区、克鲁克湖-托素湖自然保护区、大苏干湖自然保护区和小苏干湖自然保护区）、1个国家级自然保护区（青海柴达木梭梭林自然保护区）、1个省级风景名胜区（柴达木魔鬼城风景名胜区）、1个省级森林公园（青海德令哈柏树山省级森林公园）、1个省级地质公园（青海德令哈柏树山省级地质公园）、4个水源保护地（阿拉尔水源保护地、冷湖水源保护地、大柴旦水源保护地和巴音河水源保护地）。</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color w:val="000000" w:themeColor="text1"/>
                <w:sz w:val="24"/>
                <w:lang w:val="en-GB"/>
                <w14:textFill>
                  <w14:solidFill>
                    <w14:schemeClr w14:val="tx1"/>
                  </w14:solidFill>
                </w14:textFill>
              </w:rPr>
              <w:t>（</w:t>
            </w:r>
            <w:r>
              <w:rPr>
                <w:rFonts w:hint="eastAsia"/>
                <w:color w:val="000000" w:themeColor="text1"/>
                <w:sz w:val="24"/>
                <w14:textFill>
                  <w14:solidFill>
                    <w14:schemeClr w14:val="tx1"/>
                  </w14:solidFill>
                </w14:textFill>
              </w:rPr>
              <w:t>1</w:t>
            </w:r>
            <w:r>
              <w:rPr>
                <w:rFonts w:hint="eastAsia"/>
                <w:color w:val="000000" w:themeColor="text1"/>
                <w:sz w:val="24"/>
                <w:lang w:val="en-GB"/>
                <w14:textFill>
                  <w14:solidFill>
                    <w14:schemeClr w14:val="tx1"/>
                  </w14:solidFill>
                </w14:textFill>
              </w:rPr>
              <w:t>）自然保护区</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①</w:t>
            </w:r>
            <w:r>
              <w:rPr>
                <w:rFonts w:hint="eastAsia"/>
                <w:bCs/>
                <w:color w:val="000000" w:themeColor="text1"/>
                <w:sz w:val="24"/>
                <w14:textFill>
                  <w14:solidFill>
                    <w14:schemeClr w14:val="tx1"/>
                  </w14:solidFill>
                </w14:textFill>
              </w:rPr>
              <w:t>青海格尔木胡杨林自然保护区</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格尔木胡杨林位于格尔木市郭勒木德乡托拉海牧业社境内，在格尔木市以西50km，托拉海河滩阶地及散生于该河西岸的沙丘及丘间地，</w:t>
            </w:r>
            <w:r>
              <w:rPr>
                <w:snapToGrid w:val="0"/>
                <w:color w:val="000000" w:themeColor="text1"/>
                <w:kern w:val="0"/>
                <w:sz w:val="24"/>
                <w14:textFill>
                  <w14:solidFill>
                    <w14:schemeClr w14:val="tx1"/>
                  </w14:solidFill>
                </w14:textFill>
              </w:rPr>
              <w:t>该区介于北纬36°32′—36°40′，东经90°20′—90°26′之间，东西长6</w:t>
            </w:r>
            <w:r>
              <w:rPr>
                <w:rFonts w:hint="eastAsia"/>
                <w:snapToGrid w:val="0"/>
                <w:color w:val="000000" w:themeColor="text1"/>
                <w:kern w:val="0"/>
                <w:sz w:val="24"/>
                <w14:textFill>
                  <w14:solidFill>
                    <w14:schemeClr w14:val="tx1"/>
                  </w14:solidFill>
                </w14:textFill>
              </w:rPr>
              <w:t>km</w:t>
            </w:r>
            <w:r>
              <w:rPr>
                <w:snapToGrid w:val="0"/>
                <w:color w:val="000000" w:themeColor="text1"/>
                <w:kern w:val="0"/>
                <w:sz w:val="24"/>
                <w14:textFill>
                  <w14:solidFill>
                    <w14:schemeClr w14:val="tx1"/>
                  </w14:solidFill>
                </w14:textFill>
              </w:rPr>
              <w:t>，南北宽7</w:t>
            </w:r>
            <w:r>
              <w:rPr>
                <w:rFonts w:hint="eastAsia"/>
                <w:snapToGrid w:val="0"/>
                <w:color w:val="000000" w:themeColor="text1"/>
                <w:kern w:val="0"/>
                <w:sz w:val="24"/>
                <w14:textFill>
                  <w14:solidFill>
                    <w14:schemeClr w14:val="tx1"/>
                  </w14:solidFill>
                </w14:textFill>
              </w:rPr>
              <w:t>km</w:t>
            </w:r>
            <w:r>
              <w:rPr>
                <w:snapToGrid w:val="0"/>
                <w:color w:val="000000" w:themeColor="text1"/>
                <w:kern w:val="0"/>
                <w:sz w:val="24"/>
                <w14:textFill>
                  <w14:solidFill>
                    <w14:schemeClr w14:val="tx1"/>
                  </w14:solidFill>
                </w14:textFill>
              </w:rPr>
              <w:t>，海拔2730—2813</w:t>
            </w:r>
            <w:r>
              <w:rPr>
                <w:rFonts w:hint="eastAsia"/>
                <w:snapToGrid w:val="0"/>
                <w:color w:val="000000" w:themeColor="text1"/>
                <w:kern w:val="0"/>
                <w:sz w:val="24"/>
                <w14:textFill>
                  <w14:solidFill>
                    <w14:schemeClr w14:val="tx1"/>
                  </w14:solidFill>
                </w14:textFill>
              </w:rPr>
              <w:t>m</w:t>
            </w:r>
            <w:r>
              <w:rPr>
                <w:snapToGrid w:val="0"/>
                <w:color w:val="000000" w:themeColor="text1"/>
                <w:kern w:val="0"/>
                <w:sz w:val="24"/>
                <w14:textFill>
                  <w14:solidFill>
                    <w14:schemeClr w14:val="tx1"/>
                  </w14:solidFill>
                </w14:textFill>
              </w:rPr>
              <w:t>，保护区总面积4200公顷</w:t>
            </w:r>
            <w:r>
              <w:rPr>
                <w:rFonts w:hint="eastAsia"/>
                <w:snapToGrid w:val="0"/>
                <w:color w:val="000000" w:themeColor="text1"/>
                <w:kern w:val="0"/>
                <w:sz w:val="24"/>
                <w14:textFill>
                  <w14:solidFill>
                    <w14:schemeClr w14:val="tx1"/>
                  </w14:solidFill>
                </w14:textFill>
              </w:rPr>
              <w:t>。</w:t>
            </w:r>
          </w:p>
          <w:p>
            <w:pPr>
              <w:spacing w:line="360" w:lineRule="auto"/>
              <w:ind w:firstLine="480" w:firstLineChars="200"/>
              <w:rPr>
                <w:bCs/>
                <w:color w:val="000000" w:themeColor="text1"/>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格尔木胡杨林自然保护区于2000年5月经省人民政府批准为省级自然保护区，保护区动物群为温带荒漠、半荒漠动物群，主要种类有高原兔、鹅喉羚（黄羊）、赤狐、狼，鸟类有环颈雉、赤麻鸭、绿头鸭、戴胜、小沙百灵、灰沙燕、渡鸦，数量也较少。保护区内主要保护树种为胡杨，保护区内分布最广泛、面积最大的为柽柳群落，在柽柳群落中有柽柳沙包分布。保护区西面大部分地区为流动沙丘地和半固定沙丘地，面积1635公顷。</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根据初步确定的2022年拟设钻孔的位置，该自然保护区最近的钻孔为ZKGE2-1，距离为81.6km，距离较远。因此，2022年布设的钻探施工不会对该自然保护区造成影响。</w:t>
            </w:r>
          </w:p>
          <w:p>
            <w:pPr>
              <w:spacing w:line="360" w:lineRule="auto"/>
              <w:ind w:firstLine="480" w:firstLineChars="200"/>
              <w:rPr>
                <w:bCs/>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w:t>
            </w:r>
            <w:r>
              <w:rPr>
                <w:rFonts w:hint="eastAsia"/>
                <w:bCs/>
                <w:color w:val="000000" w:themeColor="text1"/>
                <w:sz w:val="24"/>
                <w14:textFill>
                  <w14:solidFill>
                    <w14:schemeClr w14:val="tx1"/>
                  </w14:solidFill>
                </w14:textFill>
              </w:rPr>
              <w:t>青海省诺木洪自然保护区</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青海省诺木洪自然保护区位于海西州都兰县境内，是以保护荒漠生态系统为主，兼有保护地质遗迹、野生动植物和湿地生态系统功能的集自然生态系统类、野生生物类和自然地质遗迹类为一体的综合性自然保护区。自然保护区总面积为1180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，其中核心区面积174km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，属无人区，缓冲区面积368km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，实验区面积638km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该保护区建立于2005年，是柴达木盆地目前保存相对完整的荒漠生态系统，区域内分布有大面积的以芦苇为代表的沼泽湿地，以及以红柳、白刺为主的灌丛，栖息有藏野驴、黑颈鹤、大天鹅、鹅喉羚等在内的国家一、二级保护动物。</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根据初步确定的2022年拟设钻孔的位置，该自然保护区最近的钻孔为ZKHB1-1，距离为36.7km，距离较远。因此，2022年布设的钻探施工不会对该自然保护区造成影响。</w:t>
            </w:r>
          </w:p>
          <w:p>
            <w:pPr>
              <w:spacing w:line="360" w:lineRule="auto"/>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③克鲁克湖-托素湖自然保护区</w:t>
            </w:r>
          </w:p>
          <w:p>
            <w:pPr>
              <w:spacing w:line="360" w:lineRule="auto"/>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青海克鲁克湖－托素湖省级自然保护区位于德令哈市西南30km处，约海拔2800m，面积11.5万公顷，其中湖水面积57</w:t>
            </w:r>
            <w:r>
              <w:rPr>
                <w:rFonts w:hint="eastAsia"/>
                <w:bCs/>
                <w:color w:val="000000" w:themeColor="text1"/>
                <w:sz w:val="24"/>
                <w14:textFill>
                  <w14:solidFill>
                    <w14:schemeClr w14:val="tx1"/>
                  </w14:solidFill>
                </w14:textFill>
              </w:rPr>
              <w:t>.</w:t>
            </w:r>
            <w:r>
              <w:rPr>
                <w:bCs/>
                <w:color w:val="000000" w:themeColor="text1"/>
                <w:sz w:val="24"/>
                <w14:textFill>
                  <w14:solidFill>
                    <w14:schemeClr w14:val="tx1"/>
                  </w14:solidFill>
                </w14:textFill>
              </w:rPr>
              <w:t>4km</w:t>
            </w:r>
            <w:r>
              <w:rPr>
                <w:bCs/>
                <w:color w:val="000000" w:themeColor="text1"/>
                <w:sz w:val="24"/>
                <w:vertAlign w:val="superscript"/>
                <w14:textFill>
                  <w14:solidFill>
                    <w14:schemeClr w14:val="tx1"/>
                  </w14:solidFill>
                </w14:textFill>
              </w:rPr>
              <w:t>2</w:t>
            </w:r>
            <w:r>
              <w:rPr>
                <w:bCs/>
                <w:color w:val="000000" w:themeColor="text1"/>
                <w:sz w:val="24"/>
                <w14:textFill>
                  <w14:solidFill>
                    <w14:schemeClr w14:val="tx1"/>
                  </w14:solidFill>
                </w14:textFill>
              </w:rPr>
              <w:t>。克鲁克湖与托素湖一咸一淡水域相通，人称“塔琏湖”。保护区建立于2000年5月，以保护水禽及湿地生态系统为主,区内有黑颈鹤、斑头雁、鱼鸥、野鸭等珍禽。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根据初步确定的2022年拟设钻孔的位置，该自然保护区最近的钻孔为ZKHB1-2，距离为53.2km，距离较远。因此，2022年布设的钻探施工不会对该自然保护区造成影响。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④大苏干湖自然保护区</w:t>
            </w:r>
          </w:p>
          <w:p>
            <w:pPr>
              <w:spacing w:line="360" w:lineRule="auto"/>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大苏干湖自然保护区位于甘肃省</w:t>
            </w:r>
            <w:r>
              <w:rPr>
                <w:bCs/>
                <w:color w:val="000000" w:themeColor="text1"/>
                <w:sz w:val="24"/>
                <w14:textFill>
                  <w14:solidFill>
                    <w14:schemeClr w14:val="tx1"/>
                  </w14:solidFill>
                </w14:textFill>
              </w:rPr>
              <w:fldChar w:fldCharType="begin"/>
            </w:r>
            <w:r>
              <w:rPr>
                <w:bCs/>
                <w:color w:val="000000" w:themeColor="text1"/>
                <w:sz w:val="24"/>
                <w14:textFill>
                  <w14:solidFill>
                    <w14:schemeClr w14:val="tx1"/>
                  </w14:solidFill>
                </w14:textFill>
              </w:rPr>
              <w:instrText xml:space="preserve"> HYPERLINK "https://baike.baidu.com/item/%E9%98%BF%E5%85%8B%E5%A1%9E%E5%93%88%E8%90%A8%E5%85%8B%E6%97%8F%E8%87%AA%E6%B2%BB%E5%8E%BF" \t "https://baike.baidu.com/item/%E5%A4%A7%E8%8B%8F%E5%B9%B2%E6%B9%96%E8%87%AA%E7%84%B6%E4%BF%9D%E6%8A%A4%E5%8C%BA/_blank" </w:instrText>
            </w:r>
            <w:r>
              <w:rPr>
                <w:bCs/>
                <w:color w:val="000000" w:themeColor="text1"/>
                <w:sz w:val="24"/>
                <w14:textFill>
                  <w14:solidFill>
                    <w14:schemeClr w14:val="tx1"/>
                  </w14:solidFill>
                </w14:textFill>
              </w:rPr>
              <w:fldChar w:fldCharType="separate"/>
            </w:r>
            <w:r>
              <w:rPr>
                <w:bCs/>
                <w:color w:val="000000" w:themeColor="text1"/>
                <w:sz w:val="24"/>
                <w14:textFill>
                  <w14:solidFill>
                    <w14:schemeClr w14:val="tx1"/>
                  </w14:solidFill>
                </w14:textFill>
              </w:rPr>
              <w:t>阿克塞哈萨克族自治县</w:t>
            </w:r>
            <w:r>
              <w:rPr>
                <w:bCs/>
                <w:color w:val="000000" w:themeColor="text1"/>
                <w:sz w:val="24"/>
                <w14:textFill>
                  <w14:solidFill>
                    <w14:schemeClr w14:val="tx1"/>
                  </w14:solidFill>
                </w14:textFill>
              </w:rPr>
              <w:fldChar w:fldCharType="end"/>
            </w:r>
            <w:r>
              <w:rPr>
                <w:bCs/>
                <w:color w:val="000000" w:themeColor="text1"/>
                <w:sz w:val="24"/>
                <w14:textFill>
                  <w14:solidFill>
                    <w14:schemeClr w14:val="tx1"/>
                  </w14:solidFill>
                </w14:textFill>
              </w:rPr>
              <w:t>南部，距县城约80km，东经93°46′-94°01′，北纬38°51′-38°55′，</w:t>
            </w:r>
            <w:r>
              <w:rPr>
                <w:rFonts w:hint="eastAsia"/>
                <w:bCs/>
                <w:color w:val="000000" w:themeColor="text1"/>
                <w:sz w:val="24"/>
                <w14:textFill>
                  <w14:solidFill>
                    <w14:schemeClr w14:val="tx1"/>
                  </w14:solidFill>
                </w14:textFill>
              </w:rPr>
              <w:t>面积35km。大苏干湖处于</w:t>
            </w:r>
            <w:r>
              <w:rPr>
                <w:rFonts w:hint="eastAsia"/>
                <w:bCs/>
                <w:color w:val="000000" w:themeColor="text1"/>
                <w:sz w:val="24"/>
                <w14:textFill>
                  <w14:solidFill>
                    <w14:schemeClr w14:val="tx1"/>
                  </w14:solidFill>
                </w14:textFill>
              </w:rPr>
              <w:fldChar w:fldCharType="begin"/>
            </w:r>
            <w:r>
              <w:rPr>
                <w:rFonts w:hint="eastAsia"/>
                <w:bCs/>
                <w:color w:val="000000" w:themeColor="text1"/>
                <w:sz w:val="24"/>
                <w14:textFill>
                  <w14:solidFill>
                    <w14:schemeClr w14:val="tx1"/>
                  </w14:solidFill>
                </w14:textFill>
              </w:rPr>
              <w:instrText xml:space="preserve"> HYPERLINK "https://baike.baidu.com/item/%E9%98%BF%E5%B0%94%E9%87%91%E5%B1%B1" \t "https://baike.baidu.com/item/%E5%A4%A7%E8%8B%8F%E5%B9%B2%E6%B9%96%E8%87%AA%E7%84%B6%E4%BF%9D%E6%8A%A4%E5%8C%BA/_blank" </w:instrText>
            </w:r>
            <w:r>
              <w:rPr>
                <w:rFonts w:hint="eastAsia"/>
                <w:bCs/>
                <w:color w:val="000000" w:themeColor="text1"/>
                <w:sz w:val="24"/>
                <w14:textFill>
                  <w14:solidFill>
                    <w14:schemeClr w14:val="tx1"/>
                  </w14:solidFill>
                </w14:textFill>
              </w:rPr>
              <w:fldChar w:fldCharType="separate"/>
            </w:r>
            <w:r>
              <w:rPr>
                <w:rFonts w:hint="eastAsia"/>
                <w:bCs/>
                <w:color w:val="000000" w:themeColor="text1"/>
                <w:sz w:val="24"/>
                <w14:textFill>
                  <w14:solidFill>
                    <w14:schemeClr w14:val="tx1"/>
                  </w14:solidFill>
                </w14:textFill>
              </w:rPr>
              <w:t>阿尔金山</w:t>
            </w:r>
            <w:r>
              <w:rPr>
                <w:rFonts w:hint="eastAsia"/>
                <w:bCs/>
                <w:color w:val="000000" w:themeColor="text1"/>
                <w:sz w:val="24"/>
                <w14:textFill>
                  <w14:solidFill>
                    <w14:schemeClr w14:val="tx1"/>
                  </w14:solidFill>
                </w14:textFill>
              </w:rPr>
              <w:fldChar w:fldCharType="end"/>
            </w:r>
            <w:r>
              <w:rPr>
                <w:rFonts w:hint="eastAsia"/>
                <w:bCs/>
                <w:color w:val="000000" w:themeColor="text1"/>
                <w:sz w:val="24"/>
                <w14:textFill>
                  <w14:solidFill>
                    <w14:schemeClr w14:val="tx1"/>
                  </w14:solidFill>
                </w14:textFill>
              </w:rPr>
              <w:t>、党河南山与赛什腾山之间的花海子-苏干湖盆地的色勒屯（海子）草原西北端，为盆地最低处，海拔2795-2808米，水域面积100.89km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，属咸水湖，平均水深2.84m，蓄水1.72亿m</w:t>
            </w:r>
            <w:r>
              <w:rPr>
                <w:rFonts w:hint="eastAsia"/>
                <w:bCs/>
                <w:color w:val="000000" w:themeColor="text1"/>
                <w:sz w:val="24"/>
                <w:vertAlign w:val="superscript"/>
                <w14:textFill>
                  <w14:solidFill>
                    <w14:schemeClr w14:val="tx1"/>
                  </w14:solidFill>
                </w14:textFill>
              </w:rPr>
              <w:t>3</w:t>
            </w:r>
            <w:r>
              <w:rPr>
                <w:rFonts w:hint="eastAsia"/>
                <w:bCs/>
                <w:color w:val="000000" w:themeColor="text1"/>
                <w:sz w:val="24"/>
                <w14:textFill>
                  <w14:solidFill>
                    <w14:schemeClr w14:val="tx1"/>
                  </w14:solidFill>
                </w14:textFill>
              </w:rPr>
              <w:t>。主要保护对象为鸟类及其生境，包括遗鸥、猎隼、白尾鹞等。</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根据初步确定的2022年拟设钻孔的位置，该自然保护区最近的钻孔为ZKSX0-3，距离为25.6km，距离较远。因此，2022年布设的钻探施工不会对该自然保护区造成影响。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⑤小苏干湖自然保护区</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苏干湖自然保护区位于</w:t>
            </w:r>
            <w:r>
              <w:rPr>
                <w:rFonts w:hint="eastAsia"/>
                <w:bCs/>
                <w:color w:val="000000" w:themeColor="text1"/>
                <w:sz w:val="24"/>
                <w14:textFill>
                  <w14:solidFill>
                    <w14:schemeClr w14:val="tx1"/>
                  </w14:solidFill>
                </w14:textFill>
              </w:rPr>
              <w:fldChar w:fldCharType="begin"/>
            </w:r>
            <w:r>
              <w:rPr>
                <w:rFonts w:hint="eastAsia"/>
                <w:bCs/>
                <w:color w:val="000000" w:themeColor="text1"/>
                <w:sz w:val="24"/>
                <w14:textFill>
                  <w14:solidFill>
                    <w14:schemeClr w14:val="tx1"/>
                  </w14:solidFill>
                </w14:textFill>
              </w:rPr>
              <w:instrText xml:space="preserve"> HYPERLINK "https://baike.baidu.com/item/%E7%94%98%E8%82%83" \t "https://baike.baidu.com/item/%E5%B0%8F%E8%8B%8F%E5%B9%B2%E6%B9%96%E8%87%AA%E7%84%B6%E4%BF%9D%E6%8A%A4%E5%8C%BA/_blank" </w:instrText>
            </w:r>
            <w:r>
              <w:rPr>
                <w:rFonts w:hint="eastAsia"/>
                <w:bCs/>
                <w:color w:val="000000" w:themeColor="text1"/>
                <w:sz w:val="24"/>
                <w14:textFill>
                  <w14:solidFill>
                    <w14:schemeClr w14:val="tx1"/>
                  </w14:solidFill>
                </w14:textFill>
              </w:rPr>
              <w:fldChar w:fldCharType="separate"/>
            </w:r>
            <w:r>
              <w:rPr>
                <w:rFonts w:hint="eastAsia"/>
                <w:bCs/>
                <w:color w:val="000000" w:themeColor="text1"/>
                <w:sz w:val="24"/>
                <w14:textFill>
                  <w14:solidFill>
                    <w14:schemeClr w14:val="tx1"/>
                  </w14:solidFill>
                </w14:textFill>
              </w:rPr>
              <w:t>甘肃</w:t>
            </w:r>
            <w:r>
              <w:rPr>
                <w:rFonts w:hint="eastAsia"/>
                <w:bCs/>
                <w:color w:val="000000" w:themeColor="text1"/>
                <w:sz w:val="24"/>
                <w14:textFill>
                  <w14:solidFill>
                    <w14:schemeClr w14:val="tx1"/>
                  </w14:solidFill>
                </w14:textFill>
              </w:rPr>
              <w:fldChar w:fldCharType="end"/>
            </w:r>
            <w:r>
              <w:rPr>
                <w:rFonts w:hint="eastAsia"/>
                <w:bCs/>
                <w:color w:val="000000" w:themeColor="text1"/>
                <w:sz w:val="24"/>
                <w14:textFill>
                  <w14:solidFill>
                    <w14:schemeClr w14:val="tx1"/>
                  </w14:solidFill>
                </w14:textFill>
              </w:rPr>
              <w:t>省</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"https://baike.baidu.com/item/%E9%98%BF%E5%85%8B%E5%A1%9E%E5%93%88%E8%90%A8%E5%85%8B%E6%97%8F%E8%87%AA%E6%B2%BB%E5%8E%BF" \t "https://baike.baidu.com/item/%E5%B0%8F%E8%8B%8F%E5%B9%B2%E6%B9%96%E8%87%AA%E7%84%B6%E4%BF%9D%E6%8A%A4%E5%8C%BA/_blank" </w:instrText>
            </w:r>
            <w:r>
              <w:rPr>
                <w:color w:val="000000" w:themeColor="text1"/>
                <w14:textFill>
                  <w14:solidFill>
                    <w14:schemeClr w14:val="tx1"/>
                  </w14:solidFill>
                </w14:textFill>
              </w:rPr>
              <w:fldChar w:fldCharType="separate"/>
            </w:r>
            <w:r>
              <w:rPr>
                <w:rFonts w:hint="eastAsia"/>
                <w:bCs/>
                <w:color w:val="000000" w:themeColor="text1"/>
                <w:sz w:val="24"/>
                <w14:textFill>
                  <w14:solidFill>
                    <w14:schemeClr w14:val="tx1"/>
                  </w14:solidFill>
                </w14:textFill>
              </w:rPr>
              <w:t>阿克塞哈萨克族自治县</w:t>
            </w:r>
            <w:r>
              <w:rPr>
                <w:rFonts w:hint="eastAsia"/>
                <w:bCs/>
                <w:color w:val="000000" w:themeColor="text1"/>
                <w:sz w:val="24"/>
                <w14:textFill>
                  <w14:solidFill>
                    <w14:schemeClr w14:val="tx1"/>
                  </w14:solidFill>
                </w14:textFill>
              </w:rPr>
              <w:fldChar w:fldCharType="end"/>
            </w:r>
            <w:r>
              <w:rPr>
                <w:rFonts w:hint="eastAsia"/>
                <w:bCs/>
                <w:color w:val="000000" w:themeColor="text1"/>
                <w:sz w:val="24"/>
                <w14:textFill>
                  <w14:solidFill>
                    <w14:schemeClr w14:val="tx1"/>
                  </w14:solidFill>
                </w14:textFill>
              </w:rPr>
              <w:t>境南面，距县城55km，东经94</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11</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-94</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15</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，北纬39</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05</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-39</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09</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，面积8.5km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fldChar w:fldCharType="begin"/>
            </w:r>
            <w:r>
              <w:rPr>
                <w:rFonts w:hint="eastAsia"/>
                <w:bCs/>
                <w:color w:val="000000" w:themeColor="text1"/>
                <w:sz w:val="24"/>
                <w14:textFill>
                  <w14:solidFill>
                    <w14:schemeClr w14:val="tx1"/>
                  </w14:solidFill>
                </w14:textFill>
              </w:rPr>
              <w:instrText xml:space="preserve"> HYPERLINK "https://baike.baidu.com/item/%E5%B0%8F%E8%8B%8F%E5%B9%B2%E6%B9%96/6313052" \t "https://baike.baidu.com/item/%E5%B0%8F%E8%8B%8F%E5%B9%B2%E6%B9%96%E8%87%AA%E7%84%B6%E4%BF%9D%E6%8A%A4%E5%8C%BA/_blank" </w:instrText>
            </w:r>
            <w:r>
              <w:rPr>
                <w:rFonts w:hint="eastAsia"/>
                <w:bCs/>
                <w:color w:val="000000" w:themeColor="text1"/>
                <w:sz w:val="24"/>
                <w14:textFill>
                  <w14:solidFill>
                    <w14:schemeClr w14:val="tx1"/>
                  </w14:solidFill>
                </w14:textFill>
              </w:rPr>
              <w:fldChar w:fldCharType="separate"/>
            </w:r>
            <w:r>
              <w:rPr>
                <w:rFonts w:hint="eastAsia"/>
                <w:bCs/>
                <w:color w:val="000000" w:themeColor="text1"/>
                <w:sz w:val="24"/>
                <w14:textFill>
                  <w14:solidFill>
                    <w14:schemeClr w14:val="tx1"/>
                  </w14:solidFill>
                </w14:textFill>
              </w:rPr>
              <w:t>小苏干湖</w:t>
            </w:r>
            <w:r>
              <w:rPr>
                <w:rFonts w:hint="eastAsia"/>
                <w:bCs/>
                <w:color w:val="000000" w:themeColor="text1"/>
                <w:sz w:val="24"/>
                <w14:textFill>
                  <w14:solidFill>
                    <w14:schemeClr w14:val="tx1"/>
                  </w14:solidFill>
                </w14:textFill>
              </w:rPr>
              <w:fldChar w:fldCharType="end"/>
            </w:r>
            <w:r>
              <w:rPr>
                <w:rFonts w:hint="eastAsia"/>
                <w:bCs/>
                <w:color w:val="000000" w:themeColor="text1"/>
                <w:sz w:val="24"/>
                <w14:textFill>
                  <w14:solidFill>
                    <w14:schemeClr w14:val="tx1"/>
                  </w14:solidFill>
                </w14:textFill>
              </w:rPr>
              <w:t>与大苏干湖相距约20km，是一个具有出口的</w:t>
            </w:r>
            <w:r>
              <w:rPr>
                <w:rFonts w:hint="eastAsia"/>
                <w:bCs/>
                <w:color w:val="000000" w:themeColor="text1"/>
                <w:sz w:val="24"/>
                <w14:textFill>
                  <w14:solidFill>
                    <w14:schemeClr w14:val="tx1"/>
                  </w14:solidFill>
                </w14:textFill>
              </w:rPr>
              <w:fldChar w:fldCharType="begin"/>
            </w:r>
            <w:r>
              <w:rPr>
                <w:rFonts w:hint="eastAsia"/>
                <w:bCs/>
                <w:color w:val="000000" w:themeColor="text1"/>
                <w:sz w:val="24"/>
                <w14:textFill>
                  <w14:solidFill>
                    <w14:schemeClr w14:val="tx1"/>
                  </w14:solidFill>
                </w14:textFill>
              </w:rPr>
              <w:instrText xml:space="preserve"> HYPERLINK "https://baike.baidu.com/item/%E6%B7%A1%E6%B0%B4%E6%B9%96/619544" \t "https://baike.baidu.com/item/%E5%B0%8F%E8%8B%8F%E5%B9%B2%E6%B9%96%E8%87%AA%E7%84%B6%E4%BF%9D%E6%8A%A4%E5%8C%BA/_blank" </w:instrText>
            </w:r>
            <w:r>
              <w:rPr>
                <w:rFonts w:hint="eastAsia"/>
                <w:bCs/>
                <w:color w:val="000000" w:themeColor="text1"/>
                <w:sz w:val="24"/>
                <w14:textFill>
                  <w14:solidFill>
                    <w14:schemeClr w14:val="tx1"/>
                  </w14:solidFill>
                </w14:textFill>
              </w:rPr>
              <w:fldChar w:fldCharType="separate"/>
            </w:r>
            <w:r>
              <w:rPr>
                <w:rFonts w:hint="eastAsia"/>
                <w:bCs/>
                <w:color w:val="000000" w:themeColor="text1"/>
                <w:sz w:val="24"/>
                <w14:textFill>
                  <w14:solidFill>
                    <w14:schemeClr w14:val="tx1"/>
                  </w14:solidFill>
                </w14:textFill>
              </w:rPr>
              <w:t>淡水湖</w:t>
            </w:r>
            <w:r>
              <w:rPr>
                <w:rFonts w:hint="eastAsia"/>
                <w:bCs/>
                <w:color w:val="000000" w:themeColor="text1"/>
                <w:sz w:val="24"/>
                <w14:textFill>
                  <w14:solidFill>
                    <w14:schemeClr w14:val="tx1"/>
                  </w14:solidFill>
                </w14:textFill>
              </w:rPr>
              <w:fldChar w:fldCharType="end"/>
            </w:r>
            <w:r>
              <w:rPr>
                <w:rFonts w:hint="eastAsia"/>
                <w:bCs/>
                <w:color w:val="000000" w:themeColor="text1"/>
                <w:sz w:val="24"/>
                <w14:textFill>
                  <w14:solidFill>
                    <w14:schemeClr w14:val="tx1"/>
                  </w14:solidFill>
                </w14:textFill>
              </w:rPr>
              <w:t>。海拔2807-2808m，水域面积11.85km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，平均水深0.1-0.6m，最深2m，蓄水0.24亿m</w:t>
            </w:r>
            <w:r>
              <w:rPr>
                <w:rFonts w:hint="eastAsia"/>
                <w:bCs/>
                <w:color w:val="000000" w:themeColor="text1"/>
                <w:sz w:val="24"/>
                <w:vertAlign w:val="superscript"/>
                <w14:textFill>
                  <w14:solidFill>
                    <w14:schemeClr w14:val="tx1"/>
                  </w14:solidFill>
                </w14:textFill>
              </w:rPr>
              <w:t>3</w:t>
            </w:r>
            <w:r>
              <w:rPr>
                <w:rFonts w:hint="eastAsia"/>
                <w:bCs/>
                <w:color w:val="000000" w:themeColor="text1"/>
                <w:sz w:val="24"/>
                <w14:textFill>
                  <w14:solidFill>
                    <w14:schemeClr w14:val="tx1"/>
                  </w14:solidFill>
                </w14:textFill>
              </w:rPr>
              <w:t>。小苏干湖水通过齐力克河流向</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"https://baike.baidu.com/item/%E5%A4%A7%E8%8B%8F%E5%B9%B2%E6%B9%96/17403795" \t "https://baike.baidu.com/item/%E5%B0%8F%E8%8B%8F%E5%B9%B2%E6%B9%96%E8%87%AA%E7%84%B6%E4%BF%9D%E6%8A%A4%E5%8C%BA/_blank" </w:instrText>
            </w:r>
            <w:r>
              <w:rPr>
                <w:color w:val="000000" w:themeColor="text1"/>
                <w14:textFill>
                  <w14:solidFill>
                    <w14:schemeClr w14:val="tx1"/>
                  </w14:solidFill>
                </w14:textFill>
              </w:rPr>
              <w:fldChar w:fldCharType="separate"/>
            </w:r>
            <w:r>
              <w:rPr>
                <w:rFonts w:hint="eastAsia"/>
                <w:bCs/>
                <w:color w:val="000000" w:themeColor="text1"/>
                <w:sz w:val="24"/>
                <w14:textFill>
                  <w14:solidFill>
                    <w14:schemeClr w14:val="tx1"/>
                  </w14:solidFill>
                </w14:textFill>
              </w:rPr>
              <w:t>大苏干湖</w:t>
            </w:r>
            <w:r>
              <w:rPr>
                <w:rFonts w:hint="eastAsia"/>
                <w:bCs/>
                <w:color w:val="000000" w:themeColor="text1"/>
                <w:sz w:val="24"/>
                <w14:textFill>
                  <w14:solidFill>
                    <w14:schemeClr w14:val="tx1"/>
                  </w14:solidFill>
                </w14:textFill>
              </w:rPr>
              <w:fldChar w:fldCharType="end"/>
            </w:r>
            <w:r>
              <w:rPr>
                <w:rFonts w:hint="eastAsia"/>
                <w:bCs/>
                <w:color w:val="000000" w:themeColor="text1"/>
                <w:sz w:val="24"/>
                <w14:textFill>
                  <w14:solidFill>
                    <w14:schemeClr w14:val="tx1"/>
                  </w14:solidFill>
                </w14:textFill>
              </w:rPr>
              <w:t>。主要保护对象为鸟类及其生境。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根据初步确定的2022年拟设钻孔的位置，该自然保护区最近的钻孔为ZKSX0-3，距离为11.6km，距离较远。因此，2022年布设的钻探施工不会对该自然保护区造成影响。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⑥青海柴达木梭梭林自然保护区</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青海柴达木梭梭林省级自然保护区位于德令哈市西南部，海拔在2958—3344m，其分布范围东起旺尕秀煤矿，西至大柴旦全集河，北与青藏铁路相连，南与东西走向的额木尼克山为界。东西长114km，南北宽54km，保护区总面积3105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，保护区由额木尼克、米扎格和巴图等地区组成，其中额木尼克是原始梭梭林保存较完整的地区之一。</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青海柴达木梭梭林自然保护区于2000年5月经省人民政府批准为省级自然保护区，保护区内主要保护树种为梭梭，梭梭荒漠面积约1458km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，占保护区总面积的47%；分布国家一级保护动物蒙古野驴；二级保护动物岩羊、鹅喉羚、灰鹤等，一般经济动物有高原野兔、狼等。</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根据初步确定的2022年拟设钻孔的位置，该自然保护区最近的钻孔为ZKHB1-</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，距离为17.9km，距离较远。因此，2022年布设的钻探施工不会对该自然保护区造成影响。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（2）风景名胜区</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①柴达木魔鬼城风景名胜区</w:t>
            </w:r>
          </w:p>
          <w:p>
            <w:pPr>
              <w:spacing w:line="360" w:lineRule="auto"/>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柴达木魔鬼城省级风景名胜区位于海西蒙古族藏族自治州茫崖行政委员会境内，风景名胜区地处柴达木盆地西北边缘，地理位置为东经94°05′～93°35′、北纬38°15′～37°56′，总面积45000hm</w:t>
            </w:r>
            <w:r>
              <w:rPr>
                <w:bCs/>
                <w:color w:val="000000" w:themeColor="text1"/>
                <w:sz w:val="24"/>
                <w:vertAlign w:val="superscript"/>
                <w14:textFill>
                  <w14:solidFill>
                    <w14:schemeClr w14:val="tx1"/>
                  </w14:solidFill>
                </w14:textFill>
              </w:rPr>
              <w:t>2</w:t>
            </w:r>
            <w:r>
              <w:rPr>
                <w:bCs/>
                <w:color w:val="000000" w:themeColor="text1"/>
                <w:sz w:val="24"/>
                <w14:textFill>
                  <w14:solidFill>
                    <w14:schemeClr w14:val="tx1"/>
                  </w14:solidFill>
                </w14:textFill>
              </w:rPr>
              <w:t>，于2013年7月17日经青海省人民政府批复设立省级风景名胜区。</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根据初步确定的2022年拟设钻孔的位置，该风景名胜区最近的钻孔为ZKLC1-1，距离为61.2km，距离较远。因此，2022年布设的钻探施工不会对该风景名胜区造成影响。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（3）森林公园</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①青海德令哈柏树山省级森林公园</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青海德令哈柏树山省级森林公园于2019年7月批准为省级森林公园，公园总面积1.82万公顷，规划面积1.28万公顷。</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w:t>
            </w:r>
            <w:r>
              <w:rPr>
                <w:rFonts w:hint="eastAsia"/>
                <w:bCs/>
                <w:color w:val="000000" w:themeColor="text1"/>
                <w:sz w:val="24"/>
                <w14:textFill>
                  <w14:solidFill>
                    <w14:schemeClr w14:val="tx1"/>
                  </w14:solidFill>
                </w14:textFill>
              </w:rPr>
              <w:t>森林公园</w:t>
            </w:r>
            <w:r>
              <w:rPr>
                <w:rFonts w:hint="eastAsia"/>
                <w:color w:val="000000" w:themeColor="text1"/>
                <w:sz w:val="24"/>
                <w14:textFill>
                  <w14:solidFill>
                    <w14:schemeClr w14:val="tx1"/>
                  </w14:solidFill>
                </w14:textFill>
              </w:rPr>
              <w:t>最近的钻孔为ZKLC2-2，距离为97.4km，距离较远。因此，2022年布设的钻探施工不会对该风景名胜区造成影响。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（4）地质公园</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①青海德令哈柏树山省级地质公园</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青海德令哈柏树山省级地质公园于2019年7月批准为省级地质公园。</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w:t>
            </w:r>
            <w:r>
              <w:rPr>
                <w:rFonts w:hint="eastAsia"/>
                <w:bCs/>
                <w:color w:val="000000" w:themeColor="text1"/>
                <w:sz w:val="24"/>
                <w14:textFill>
                  <w14:solidFill>
                    <w14:schemeClr w14:val="tx1"/>
                  </w14:solidFill>
                </w14:textFill>
              </w:rPr>
              <w:t>地质公园</w:t>
            </w:r>
            <w:r>
              <w:rPr>
                <w:rFonts w:hint="eastAsia"/>
                <w:color w:val="000000" w:themeColor="text1"/>
                <w:sz w:val="24"/>
                <w14:textFill>
                  <w14:solidFill>
                    <w14:schemeClr w14:val="tx1"/>
                  </w14:solidFill>
                </w14:textFill>
              </w:rPr>
              <w:t>最近的钻孔为ZKLC2-2，距离为78.5km，距离较远。因此，2022年布设的钻探施工不会对该</w:t>
            </w:r>
            <w:r>
              <w:rPr>
                <w:rFonts w:hint="eastAsia"/>
                <w:bCs/>
                <w:color w:val="000000" w:themeColor="text1"/>
                <w:sz w:val="24"/>
                <w14:textFill>
                  <w14:solidFill>
                    <w14:schemeClr w14:val="tx1"/>
                  </w14:solidFill>
                </w14:textFill>
              </w:rPr>
              <w:t>地质公园</w:t>
            </w:r>
            <w:r>
              <w:rPr>
                <w:rFonts w:hint="eastAsia"/>
                <w:color w:val="000000" w:themeColor="text1"/>
                <w:sz w:val="24"/>
                <w14:textFill>
                  <w14:solidFill>
                    <w14:schemeClr w14:val="tx1"/>
                  </w14:solidFill>
                </w14:textFill>
              </w:rPr>
              <w:t>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（6）水源保护地</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①阿拉尔水源保护地</w:t>
            </w:r>
          </w:p>
          <w:p>
            <w:pPr>
              <w:spacing w:line="360" w:lineRule="auto"/>
              <w:ind w:firstLine="480" w:firstLineChars="200"/>
              <w:rPr>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冷湖水源保护地位于茫崖行委，取用地下水，保护区面积2.25km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，保护对象浅层地下水。</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w:t>
            </w:r>
            <w:r>
              <w:rPr>
                <w:rFonts w:hint="eastAsia"/>
                <w:bCs/>
                <w:color w:val="000000" w:themeColor="text1"/>
                <w:sz w:val="24"/>
                <w14:textFill>
                  <w14:solidFill>
                    <w14:schemeClr w14:val="tx1"/>
                  </w14:solidFill>
                </w14:textFill>
              </w:rPr>
              <w:t>水源保护地</w:t>
            </w:r>
            <w:r>
              <w:rPr>
                <w:rFonts w:hint="eastAsia"/>
                <w:color w:val="000000" w:themeColor="text1"/>
                <w:sz w:val="24"/>
                <w14:textFill>
                  <w14:solidFill>
                    <w14:schemeClr w14:val="tx1"/>
                  </w14:solidFill>
                </w14:textFill>
              </w:rPr>
              <w:t>最近的钻孔为ZKY32-3，距离为12.8km，距离较远。因此，2022年布设的钻探施工不会对该</w:t>
            </w:r>
            <w:r>
              <w:rPr>
                <w:rFonts w:hint="eastAsia"/>
                <w:bCs/>
                <w:color w:val="000000" w:themeColor="text1"/>
                <w:sz w:val="24"/>
                <w14:textFill>
                  <w14:solidFill>
                    <w14:schemeClr w14:val="tx1"/>
                  </w14:solidFill>
                </w14:textFill>
              </w:rPr>
              <w:t>水源保护地</w:t>
            </w:r>
            <w:r>
              <w:rPr>
                <w:rFonts w:hint="eastAsia"/>
                <w:color w:val="000000" w:themeColor="text1"/>
                <w:sz w:val="24"/>
                <w14:textFill>
                  <w14:solidFill>
                    <w14:schemeClr w14:val="tx1"/>
                  </w14:solidFill>
                </w14:textFill>
              </w:rPr>
              <w:t>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②冷湖水源保护地</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冷湖水源保护地位于冷湖镇，取用地下水，保护区面积7.09km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，保护对象浅层地下水。</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w:t>
            </w:r>
            <w:r>
              <w:rPr>
                <w:rFonts w:hint="eastAsia"/>
                <w:bCs/>
                <w:color w:val="000000" w:themeColor="text1"/>
                <w:sz w:val="24"/>
                <w14:textFill>
                  <w14:solidFill>
                    <w14:schemeClr w14:val="tx1"/>
                  </w14:solidFill>
                </w14:textFill>
              </w:rPr>
              <w:t>水源保护地</w:t>
            </w:r>
            <w:r>
              <w:rPr>
                <w:rFonts w:hint="eastAsia"/>
                <w:color w:val="000000" w:themeColor="text1"/>
                <w:sz w:val="24"/>
                <w14:textFill>
                  <w14:solidFill>
                    <w14:schemeClr w14:val="tx1"/>
                  </w14:solidFill>
                </w14:textFill>
              </w:rPr>
              <w:t>最近的钻孔为ZKLH2-5，距离为3.4km，距离较远。因此，2022年布设的钻探施工不会对该</w:t>
            </w:r>
            <w:r>
              <w:rPr>
                <w:rFonts w:hint="eastAsia"/>
                <w:bCs/>
                <w:color w:val="000000" w:themeColor="text1"/>
                <w:sz w:val="24"/>
                <w14:textFill>
                  <w14:solidFill>
                    <w14:schemeClr w14:val="tx1"/>
                  </w14:solidFill>
                </w14:textFill>
              </w:rPr>
              <w:t>水源保护地</w:t>
            </w:r>
            <w:r>
              <w:rPr>
                <w:rFonts w:hint="eastAsia"/>
                <w:color w:val="000000" w:themeColor="text1"/>
                <w:sz w:val="24"/>
                <w14:textFill>
                  <w14:solidFill>
                    <w14:schemeClr w14:val="tx1"/>
                  </w14:solidFill>
                </w14:textFill>
              </w:rPr>
              <w:t>造成影响。</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③大柴旦水源保护地</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大柴旦镇水源位于大柴旦镇，取用地下水，保护区面积0.52km</w:t>
            </w:r>
            <w:r>
              <w:rPr>
                <w:rFonts w:hint="eastAsia"/>
                <w:bCs/>
                <w:color w:val="000000" w:themeColor="text1"/>
                <w:sz w:val="24"/>
                <w:vertAlign w:val="superscript"/>
                <w14:textFill>
                  <w14:solidFill>
                    <w14:schemeClr w14:val="tx1"/>
                  </w14:solidFill>
                </w14:textFill>
              </w:rPr>
              <w:t>2</w:t>
            </w:r>
            <w:r>
              <w:rPr>
                <w:rFonts w:hint="eastAsia"/>
                <w:bCs/>
                <w:color w:val="000000" w:themeColor="text1"/>
                <w:sz w:val="24"/>
                <w14:textFill>
                  <w14:solidFill>
                    <w14:schemeClr w14:val="tx1"/>
                  </w14:solidFill>
                </w14:textFill>
              </w:rPr>
              <w:t>，保护对象浅层地下水。</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根据初步确定的2022年拟设钻孔的位置，该</w:t>
            </w:r>
            <w:r>
              <w:rPr>
                <w:rFonts w:hint="eastAsia"/>
                <w:bCs/>
                <w:color w:val="000000" w:themeColor="text1"/>
                <w:sz w:val="24"/>
                <w14:textFill>
                  <w14:solidFill>
                    <w14:schemeClr w14:val="tx1"/>
                  </w14:solidFill>
                </w14:textFill>
              </w:rPr>
              <w:t>水源保护地</w:t>
            </w:r>
            <w:r>
              <w:rPr>
                <w:rFonts w:hint="eastAsia"/>
                <w:color w:val="000000" w:themeColor="text1"/>
                <w:sz w:val="24"/>
                <w14:textFill>
                  <w14:solidFill>
                    <w14:schemeClr w14:val="tx1"/>
                  </w14:solidFill>
                </w14:textFill>
              </w:rPr>
              <w:t>最近的钻孔为ZKLC2-2，距离为34.1km，距离较远。因此，2022年布设的钻探施工不会对该</w:t>
            </w:r>
            <w:r>
              <w:rPr>
                <w:rFonts w:hint="eastAsia"/>
                <w:bCs/>
                <w:color w:val="000000" w:themeColor="text1"/>
                <w:sz w:val="24"/>
                <w14:textFill>
                  <w14:solidFill>
                    <w14:schemeClr w14:val="tx1"/>
                  </w14:solidFill>
                </w14:textFill>
              </w:rPr>
              <w:t>水源保护地</w:t>
            </w:r>
            <w:r>
              <w:rPr>
                <w:rFonts w:hint="eastAsia"/>
                <w:color w:val="000000" w:themeColor="text1"/>
                <w:sz w:val="24"/>
                <w14:textFill>
                  <w14:solidFill>
                    <w14:schemeClr w14:val="tx1"/>
                  </w14:solidFill>
                </w14:textFill>
              </w:rPr>
              <w:t>造成影响。</w:t>
            </w:r>
          </w:p>
          <w:p>
            <w:pPr>
              <w:pStyle w:val="19"/>
              <w:numPr>
                <w:ilvl w:val="0"/>
                <w:numId w:val="0"/>
              </w:numPr>
              <w:spacing w:line="360" w:lineRule="auto"/>
              <w:ind w:leftChars="0" w:firstLine="460" w:firstLineChars="200"/>
              <w:rPr>
                <w:rFonts w:hint="eastAsia"/>
                <w:b w:val="0"/>
                <w:bCs w:val="0"/>
                <w:color w:val="000000" w:themeColor="text1"/>
                <w:sz w:val="24"/>
                <w:lang w:val="en-US" w:eastAsia="zh-CN"/>
                <w14:textFill>
                  <w14:solidFill>
                    <w14:schemeClr w14:val="tx1"/>
                  </w14:solidFill>
                </w14:textFill>
              </w:rPr>
            </w:pPr>
            <w:r>
              <w:rPr>
                <w:rFonts w:hint="default" w:ascii="Times New Roman" w:hAnsi="Times New Roman" w:eastAsia="宋体" w:cs="Times New Roman"/>
                <w:b w:val="0"/>
                <w:bCs w:val="0"/>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val="0"/>
                <w:bCs w:val="0"/>
                <w:color w:val="000000" w:themeColor="text1"/>
                <w:kern w:val="0"/>
                <w:sz w:val="23"/>
                <w:szCs w:val="23"/>
                <w:lang w:val="en-US" w:eastAsia="zh-CN" w:bidi="ar"/>
                <w14:textFill>
                  <w14:solidFill>
                    <w14:schemeClr w14:val="tx1"/>
                  </w14:solidFill>
                </w14:textFill>
              </w:rPr>
              <w:t>2</w:t>
            </w:r>
            <w:r>
              <w:rPr>
                <w:rFonts w:hint="eastAsia" w:ascii="宋体" w:hAnsi="宋体" w:eastAsia="宋体" w:cs="宋体"/>
                <w:b w:val="0"/>
                <w:bCs w:val="0"/>
                <w:color w:val="000000" w:themeColor="text1"/>
                <w:kern w:val="0"/>
                <w:sz w:val="23"/>
                <w:szCs w:val="23"/>
                <w:lang w:val="en-US" w:eastAsia="zh-CN" w:bidi="ar"/>
                <w14:textFill>
                  <w14:solidFill>
                    <w14:schemeClr w14:val="tx1"/>
                  </w14:solidFill>
                </w14:textFill>
              </w:rPr>
              <w:t>年拟布设钻孔在勘查中会根据实际情况进行调整，同时</w:t>
            </w:r>
            <w:r>
              <w:rPr>
                <w:rFonts w:hint="default" w:ascii="Times New Roman" w:hAnsi="Times New Roman" w:eastAsia="宋体" w:cs="Times New Roman"/>
                <w:b w:val="0"/>
                <w:bCs w:val="0"/>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val="0"/>
                <w:bCs w:val="0"/>
                <w:color w:val="000000" w:themeColor="text1"/>
                <w:kern w:val="0"/>
                <w:sz w:val="23"/>
                <w:szCs w:val="23"/>
                <w:lang w:val="en-US" w:eastAsia="zh-CN" w:bidi="ar"/>
                <w14:textFill>
                  <w14:solidFill>
                    <w14:schemeClr w14:val="tx1"/>
                  </w14:solidFill>
                </w14:textFill>
              </w:rPr>
              <w:t>3-2026年</w:t>
            </w:r>
            <w:r>
              <w:rPr>
                <w:rFonts w:hint="eastAsia" w:ascii="宋体" w:hAnsi="宋体" w:eastAsia="宋体" w:cs="宋体"/>
                <w:b w:val="0"/>
                <w:bCs w:val="0"/>
                <w:color w:val="000000" w:themeColor="text1"/>
                <w:kern w:val="0"/>
                <w:sz w:val="23"/>
                <w:szCs w:val="23"/>
                <w:lang w:val="en-US" w:eastAsia="zh-CN" w:bidi="ar"/>
                <w14:textFill>
                  <w14:solidFill>
                    <w14:schemeClr w14:val="tx1"/>
                  </w14:solidFill>
                </w14:textFill>
              </w:rPr>
              <w:t>钻孔位置尚未确定。因此，评价要求</w:t>
            </w:r>
            <w:r>
              <w:rPr>
                <w:rFonts w:hint="default" w:ascii="Times New Roman" w:hAnsi="Times New Roman" w:eastAsia="宋体" w:cs="Times New Roman"/>
                <w:b w:val="0"/>
                <w:bCs w:val="0"/>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val="0"/>
                <w:bCs w:val="0"/>
                <w:color w:val="000000" w:themeColor="text1"/>
                <w:kern w:val="0"/>
                <w:sz w:val="23"/>
                <w:szCs w:val="23"/>
                <w:lang w:val="en-US" w:eastAsia="zh-CN" w:bidi="ar"/>
                <w14:textFill>
                  <w14:solidFill>
                    <w14:schemeClr w14:val="tx1"/>
                  </w14:solidFill>
                </w14:textFill>
              </w:rPr>
              <w:t>2</w:t>
            </w:r>
            <w:r>
              <w:rPr>
                <w:rFonts w:hint="eastAsia" w:ascii="宋体" w:hAnsi="宋体" w:eastAsia="宋体" w:cs="宋体"/>
                <w:b w:val="0"/>
                <w:bCs w:val="0"/>
                <w:color w:val="000000" w:themeColor="text1"/>
                <w:kern w:val="0"/>
                <w:sz w:val="23"/>
                <w:szCs w:val="23"/>
                <w:lang w:val="en-US" w:eastAsia="zh-CN" w:bidi="ar"/>
                <w14:textFill>
                  <w14:solidFill>
                    <w14:schemeClr w14:val="tx1"/>
                  </w14:solidFill>
                </w14:textFill>
              </w:rPr>
              <w:t>年钻孔调整以及</w:t>
            </w:r>
            <w:r>
              <w:rPr>
                <w:rFonts w:hint="default" w:ascii="Times New Roman" w:hAnsi="Times New Roman" w:eastAsia="宋体" w:cs="Times New Roman"/>
                <w:b w:val="0"/>
                <w:bCs w:val="0"/>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val="0"/>
                <w:bCs w:val="0"/>
                <w:color w:val="000000" w:themeColor="text1"/>
                <w:kern w:val="0"/>
                <w:sz w:val="23"/>
                <w:szCs w:val="23"/>
                <w:lang w:val="en-US" w:eastAsia="zh-CN" w:bidi="ar"/>
                <w14:textFill>
                  <w14:solidFill>
                    <w14:schemeClr w14:val="tx1"/>
                  </w14:solidFill>
                </w14:textFill>
              </w:rPr>
              <w:t>3-2026年</w:t>
            </w:r>
            <w:r>
              <w:rPr>
                <w:rFonts w:hint="eastAsia" w:ascii="宋体" w:hAnsi="宋体" w:eastAsia="宋体" w:cs="宋体"/>
                <w:b w:val="0"/>
                <w:bCs w:val="0"/>
                <w:color w:val="000000" w:themeColor="text1"/>
                <w:kern w:val="0"/>
                <w:sz w:val="23"/>
                <w:szCs w:val="23"/>
                <w:lang w:val="en-US" w:eastAsia="zh-CN" w:bidi="ar"/>
                <w14:textFill>
                  <w14:solidFill>
                    <w14:schemeClr w14:val="tx1"/>
                  </w14:solidFill>
                </w14:textFill>
              </w:rPr>
              <w:t>拟布设的钻孔具体施工时，应对</w:t>
            </w:r>
            <w:r>
              <w:rPr>
                <w:rFonts w:hint="eastAsia" w:ascii="宋体" w:hAnsi="宋体" w:cs="宋体"/>
                <w:b w:val="0"/>
                <w:bCs w:val="0"/>
                <w:color w:val="000000" w:themeColor="text1"/>
                <w:kern w:val="0"/>
                <w:sz w:val="23"/>
                <w:szCs w:val="23"/>
                <w:lang w:val="en-US" w:eastAsia="zh-CN" w:bidi="ar"/>
                <w14:textFill>
                  <w14:solidFill>
                    <w14:schemeClr w14:val="tx1"/>
                  </w14:solidFill>
                </w14:textFill>
              </w:rPr>
              <w:t>勘查区</w:t>
            </w:r>
            <w:r>
              <w:rPr>
                <w:rFonts w:hint="eastAsia" w:ascii="宋体" w:hAnsi="宋体" w:eastAsia="宋体" w:cs="宋体"/>
                <w:b w:val="0"/>
                <w:bCs w:val="0"/>
                <w:color w:val="000000" w:themeColor="text1"/>
                <w:kern w:val="0"/>
                <w:sz w:val="23"/>
                <w:szCs w:val="23"/>
                <w:lang w:val="en-US" w:eastAsia="zh-CN" w:bidi="ar"/>
                <w14:textFill>
                  <w14:solidFill>
                    <w14:schemeClr w14:val="tx1"/>
                  </w14:solidFill>
                </w14:textFill>
              </w:rPr>
              <w:t>内环境敏感区的进行避让。</w:t>
            </w:r>
          </w:p>
          <w:p>
            <w:pPr>
              <w:pStyle w:val="19"/>
              <w:spacing w:line="360" w:lineRule="auto"/>
              <w:ind w:firstLine="0" w:firstLineChars="0"/>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8</w:t>
            </w:r>
            <w:r>
              <w:rPr>
                <w:rFonts w:hint="eastAsia"/>
                <w:b/>
                <w:color w:val="000000" w:themeColor="text1"/>
                <w:sz w:val="24"/>
                <w:lang w:eastAsia="zh-CN"/>
                <w14:textFill>
                  <w14:solidFill>
                    <w14:schemeClr w14:val="tx1"/>
                  </w14:solidFill>
                </w14:textFill>
              </w:rPr>
              <w:t>、</w:t>
            </w:r>
            <w:r>
              <w:rPr>
                <w:b/>
                <w:color w:val="000000" w:themeColor="text1"/>
                <w:sz w:val="24"/>
                <w14:textFill>
                  <w14:solidFill>
                    <w14:schemeClr w14:val="tx1"/>
                  </w14:solidFill>
                </w14:textFill>
              </w:rPr>
              <w:t>环境风险</w:t>
            </w:r>
            <w:r>
              <w:rPr>
                <w:rFonts w:hint="eastAsia"/>
                <w:b/>
                <w:color w:val="000000" w:themeColor="text1"/>
                <w:sz w:val="24"/>
                <w14:textFill>
                  <w14:solidFill>
                    <w14:schemeClr w14:val="tx1"/>
                  </w14:solidFill>
                </w14:textFill>
              </w:rPr>
              <w:t>评价</w:t>
            </w:r>
          </w:p>
          <w:p>
            <w:pPr>
              <w:pStyle w:val="17"/>
              <w:adjustRightInd/>
              <w:spacing w:line="360" w:lineRule="auto"/>
              <w:jc w:val="both"/>
              <w:rPr>
                <w:rFonts w:ascii="Times New Roman" w:hAnsi="Times New Roman" w:cs="Times New Roman"/>
                <w:b/>
                <w:bCs/>
                <w:color w:val="000000" w:themeColor="text1"/>
                <w14:textFill>
                  <w14:solidFill>
                    <w14:schemeClr w14:val="tx1"/>
                  </w14:solidFill>
                </w14:textFill>
              </w:rPr>
            </w:pPr>
            <w:bookmarkStart w:id="20" w:name="_Toc15047099"/>
            <w:r>
              <w:rPr>
                <w:rFonts w:hint="eastAsia" w:ascii="Times New Roman" w:hAnsi="Times New Roman" w:cs="Times New Roman"/>
                <w:b/>
                <w:bCs/>
                <w:color w:val="000000" w:themeColor="text1"/>
                <w14:textFill>
                  <w14:solidFill>
                    <w14:schemeClr w14:val="tx1"/>
                  </w14:solidFill>
                </w14:textFill>
              </w:rPr>
              <w:t>8.1风险调查</w:t>
            </w:r>
            <w:bookmarkEnd w:id="20"/>
          </w:p>
          <w:p>
            <w:pPr>
              <w:adjustRightInd w:val="0"/>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根据《建设项目环境风险评价技术导则》（HJ169-2018）附录B可知，铀矿地质</w:t>
            </w:r>
            <w:r>
              <w:rPr>
                <w:rFonts w:hint="eastAsia"/>
                <w:snapToGrid w:val="0"/>
                <w:color w:val="000000" w:themeColor="text1"/>
                <w:kern w:val="0"/>
                <w:sz w:val="24"/>
                <w:lang w:eastAsia="zh-CN"/>
                <w14:textFill>
                  <w14:solidFill>
                    <w14:schemeClr w14:val="tx1"/>
                  </w14:solidFill>
                </w14:textFill>
              </w:rPr>
              <w:t>勘查</w:t>
            </w:r>
            <w:r>
              <w:rPr>
                <w:rFonts w:hint="eastAsia"/>
                <w:snapToGrid w:val="0"/>
                <w:color w:val="000000" w:themeColor="text1"/>
                <w:kern w:val="0"/>
                <w:sz w:val="24"/>
                <w14:textFill>
                  <w14:solidFill>
                    <w14:schemeClr w14:val="tx1"/>
                  </w14:solidFill>
                </w14:textFill>
              </w:rPr>
              <w:t>项目涉及的危险物质为柴油发电机使用的</w:t>
            </w:r>
            <w:r>
              <w:rPr>
                <w:rFonts w:hint="eastAsia"/>
                <w:color w:val="000000" w:themeColor="text1"/>
                <w:sz w:val="24"/>
                <w14:textFill>
                  <w14:solidFill>
                    <w14:schemeClr w14:val="tx1"/>
                  </w14:solidFill>
                </w14:textFill>
              </w:rPr>
              <w:t>油类物质（柴油），主要风险源为井场储存柴油油料区</w:t>
            </w:r>
            <w:r>
              <w:rPr>
                <w:rFonts w:hint="eastAsia"/>
                <w:snapToGrid w:val="0"/>
                <w:color w:val="000000" w:themeColor="text1"/>
                <w:kern w:val="0"/>
                <w:sz w:val="24"/>
                <w14:textFill>
                  <w14:solidFill>
                    <w14:schemeClr w14:val="tx1"/>
                  </w14:solidFill>
                </w14:textFill>
              </w:rPr>
              <w:t>。</w:t>
            </w:r>
          </w:p>
          <w:p>
            <w:pPr>
              <w:pStyle w:val="17"/>
              <w:adjustRightInd/>
              <w:spacing w:line="360" w:lineRule="auto"/>
              <w:jc w:val="both"/>
              <w:rPr>
                <w:rFonts w:ascii="Times New Roman" w:hAnsi="Times New Roman" w:cs="Times New Roman"/>
                <w:b/>
                <w:bCs/>
                <w:color w:val="000000" w:themeColor="text1"/>
                <w14:textFill>
                  <w14:solidFill>
                    <w14:schemeClr w14:val="tx1"/>
                  </w14:solidFill>
                </w14:textFill>
              </w:rPr>
            </w:pPr>
            <w:bookmarkStart w:id="21" w:name="_Toc16675491"/>
            <w:r>
              <w:rPr>
                <w:rFonts w:hint="eastAsia" w:ascii="Times New Roman" w:hAnsi="Times New Roman" w:cs="Times New Roman"/>
                <w:b/>
                <w:bCs/>
                <w:color w:val="000000" w:themeColor="text1"/>
                <w14:textFill>
                  <w14:solidFill>
                    <w14:schemeClr w14:val="tx1"/>
                  </w14:solidFill>
                </w14:textFill>
              </w:rPr>
              <w:t>8.2环境敏感目标</w:t>
            </w:r>
            <w:bookmarkEnd w:id="21"/>
            <w:r>
              <w:rPr>
                <w:rFonts w:hint="eastAsia" w:ascii="Times New Roman" w:hAnsi="Times New Roman" w:cs="Times New Roman"/>
                <w:b/>
                <w:bCs/>
                <w:color w:val="000000" w:themeColor="text1"/>
                <w14:textFill>
                  <w14:solidFill>
                    <w14:schemeClr w14:val="tx1"/>
                  </w14:solidFill>
                </w14:textFill>
              </w:rPr>
              <w:t>调查</w:t>
            </w:r>
          </w:p>
          <w:p>
            <w:pPr>
              <w:adjustRightInd w:val="0"/>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项目柴油储区可能的影响途径为大气、地表水、地下水等，本项目环境风险评价范围敏感分布情况见详见表5-7。</w:t>
            </w:r>
          </w:p>
          <w:p>
            <w:pPr>
              <w:pStyle w:val="17"/>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8.3评价等级判定</w:t>
            </w:r>
          </w:p>
          <w:p>
            <w:pPr>
              <w:pStyle w:val="19"/>
              <w:numPr>
                <w:ilvl w:val="0"/>
                <w:numId w:val="0"/>
              </w:numPr>
              <w:spacing w:line="360" w:lineRule="auto"/>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8.3.1</w:t>
            </w:r>
            <w:r>
              <w:rPr>
                <w:rFonts w:hint="eastAsia"/>
                <w:color w:val="000000" w:themeColor="text1"/>
                <w:sz w:val="24"/>
                <w14:textFill>
                  <w14:solidFill>
                    <w14:schemeClr w14:val="tx1"/>
                  </w14:solidFill>
                </w14:textFill>
              </w:rPr>
              <w:t>风险潜势初判</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根据《建设项目环境风险评价技术导则》（HJ</w:t>
            </w:r>
            <w:r>
              <w:rPr>
                <w:color w:val="000000" w:themeColor="text1"/>
                <w:sz w:val="24"/>
                <w14:textFill>
                  <w14:solidFill>
                    <w14:schemeClr w14:val="tx1"/>
                  </w14:solidFill>
                </w14:textFill>
              </w:rPr>
              <w:t>169</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2018</w:t>
            </w:r>
            <w:r>
              <w:rPr>
                <w:rFonts w:hint="eastAsia"/>
                <w:color w:val="000000" w:themeColor="text1"/>
                <w:sz w:val="24"/>
                <w14:textFill>
                  <w14:solidFill>
                    <w14:schemeClr w14:val="tx1"/>
                  </w14:solidFill>
                </w14:textFill>
              </w:rPr>
              <w:t>）附录C，本项目危险物质数量与临界量比值（Q）：</w:t>
            </w:r>
          </w:p>
          <w:p>
            <w:pPr>
              <w:spacing w:line="360" w:lineRule="auto"/>
              <w:jc w:val="center"/>
              <w:rPr>
                <w:color w:val="000000" w:themeColor="text1"/>
                <w:sz w:val="24"/>
                <w14:textFill>
                  <w14:solidFill>
                    <w14:schemeClr w14:val="tx1"/>
                  </w14:solidFill>
                </w14:textFill>
              </w:rPr>
            </w:pPr>
            <w:r>
              <w:rPr>
                <w:color w:val="000000" w:themeColor="text1"/>
                <w14:textFill>
                  <w14:solidFill>
                    <w14:schemeClr w14:val="tx1"/>
                  </w14:solidFill>
                </w14:textFill>
              </w:rPr>
              <w:drawing>
                <wp:inline distT="0" distB="0" distL="0" distR="0">
                  <wp:extent cx="1470660" cy="377190"/>
                  <wp:effectExtent l="0" t="0" r="7620" b="381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8" cstate="screen">
                            <a:extLst>
                              <a:ext uri="{28A0092B-C50C-407E-A947-70E740481C1C}">
                                <a14:useLocalDpi xmlns:a14="http://schemas.microsoft.com/office/drawing/2010/main" val="0"/>
                              </a:ext>
                            </a:extLst>
                          </a:blip>
                          <a:stretch>
                            <a:fillRect/>
                          </a:stretch>
                        </pic:blipFill>
                        <pic:spPr>
                          <a:xfrm>
                            <a:off x="0" y="0"/>
                            <a:ext cx="1558430" cy="400139"/>
                          </a:xfrm>
                          <a:prstGeom prst="rect">
                            <a:avLst/>
                          </a:prstGeom>
                        </pic:spPr>
                      </pic:pic>
                    </a:graphicData>
                  </a:graphic>
                </wp:inline>
              </w:drawing>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式中：q</w:t>
            </w:r>
            <w:r>
              <w:rPr>
                <w:color w:val="000000" w:themeColor="text1"/>
                <w:sz w:val="24"/>
                <w:vertAlign w:val="subscript"/>
                <w14:textFill>
                  <w14:solidFill>
                    <w14:schemeClr w14:val="tx1"/>
                  </w14:solidFill>
                </w14:textFill>
              </w:rPr>
              <w:t>1</w:t>
            </w: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，…，q</w:t>
            </w:r>
            <w:r>
              <w:rPr>
                <w:rFonts w:hint="eastAsia"/>
                <w:color w:val="000000" w:themeColor="text1"/>
                <w:sz w:val="24"/>
                <w:vertAlign w:val="subscript"/>
                <w14:textFill>
                  <w14:solidFill>
                    <w14:schemeClr w14:val="tx1"/>
                  </w14:solidFill>
                </w14:textFill>
              </w:rPr>
              <w:t>n</w:t>
            </w:r>
            <w:r>
              <w:rPr>
                <w:rFonts w:hint="eastAsia"/>
                <w:color w:val="000000" w:themeColor="text1"/>
                <w:sz w:val="24"/>
                <w14:textFill>
                  <w14:solidFill>
                    <w14:schemeClr w14:val="tx1"/>
                  </w14:solidFill>
                </w14:textFill>
              </w:rPr>
              <w:t>——每种危险物质的最大存在重量，t；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1</w:t>
            </w: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，…，Q</w:t>
            </w:r>
            <w:r>
              <w:rPr>
                <w:rFonts w:hint="eastAsia"/>
                <w:color w:val="000000" w:themeColor="text1"/>
                <w:sz w:val="24"/>
                <w:vertAlign w:val="subscript"/>
                <w14:textFill>
                  <w14:solidFill>
                    <w14:schemeClr w14:val="tx1"/>
                  </w14:solidFill>
                </w14:textFill>
              </w:rPr>
              <w:t>3</w:t>
            </w:r>
            <w:r>
              <w:rPr>
                <w:rFonts w:hint="eastAsia"/>
                <w:color w:val="000000" w:themeColor="text1"/>
                <w:sz w:val="24"/>
                <w14:textFill>
                  <w14:solidFill>
                    <w14:schemeClr w14:val="tx1"/>
                  </w14:solidFill>
                </w14:textFill>
              </w:rPr>
              <w:t>——每种危险物质的临界量，t；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当Q＜1时，该项目环境风险潜势为Ⅰ。</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当Q≥1时，将Q值划分为：（1）1≤Q＜10；（2）10≤Q＜100；（3）Q≥100。</w:t>
            </w:r>
          </w:p>
          <w:p>
            <w:pPr>
              <w:spacing w:line="360" w:lineRule="auto"/>
              <w:ind w:firstLine="480" w:firstLineChars="200"/>
              <w:rPr>
                <w:color w:val="000000" w:themeColor="text1"/>
                <w:sz w:val="24"/>
                <w14:textFill>
                  <w14:solidFill>
                    <w14:schemeClr w14:val="tx1"/>
                  </w14:solidFill>
                </w14:textFill>
              </w:rPr>
            </w:pPr>
            <w:r>
              <w:rPr>
                <w:rFonts w:hint="eastAsia" w:ascii="宋体" w:cs="宋体"/>
                <w:color w:val="000000" w:themeColor="text1"/>
                <w:kern w:val="0"/>
                <w:sz w:val="24"/>
                <w14:textFill>
                  <w14:solidFill>
                    <w14:schemeClr w14:val="tx1"/>
                  </w14:solidFill>
                </w14:textFill>
              </w:rPr>
              <w:t>本项目为铀矿钻探项目，钻探时</w:t>
            </w:r>
            <w:r>
              <w:rPr>
                <w:rFonts w:hint="eastAsia" w:ascii="宋体" w:hAnsi="宋体" w:cs="宋体"/>
                <w:color w:val="000000" w:themeColor="text1"/>
                <w:kern w:val="0"/>
                <w:sz w:val="24"/>
                <w:lang w:bidi="ar"/>
                <w14:textFill>
                  <w14:solidFill>
                    <w14:schemeClr w14:val="tx1"/>
                  </w14:solidFill>
                </w14:textFill>
              </w:rPr>
              <w:t>以柴油作为燃料。经调查，钻探一般为单井进行，一口井钻完再进行下一口，不同时钻探多口井，井场设油料区临时储存柴油，</w:t>
            </w:r>
            <w:r>
              <w:rPr>
                <w:rFonts w:hint="eastAsia"/>
                <w:color w:val="000000" w:themeColor="text1"/>
                <w:sz w:val="24"/>
                <w14:textFill>
                  <w14:solidFill>
                    <w14:schemeClr w14:val="tx1"/>
                  </w14:solidFill>
                </w14:textFill>
              </w:rPr>
              <w:t>油料区柴油储存量为3-5桶（160kg/桶），按最大储存量5桶计算，则最大存在量0.8t。</w:t>
            </w:r>
          </w:p>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8</w:t>
            </w:r>
            <w:r>
              <w:rPr>
                <w:rFonts w:hint="eastAsia"/>
                <w:color w:val="000000" w:themeColor="text1"/>
                <w:sz w:val="24"/>
                <w14:textFill>
                  <w14:solidFill>
                    <w14:schemeClr w14:val="tx1"/>
                  </w14:solidFill>
                </w14:textFill>
              </w:rPr>
              <w:t xml:space="preserve">  </w:t>
            </w:r>
            <w:r>
              <w:rPr>
                <w:color w:val="000000" w:themeColor="text1"/>
                <w:sz w:val="24"/>
                <w14:textFill>
                  <w14:solidFill>
                    <w14:schemeClr w14:val="tx1"/>
                  </w14:solidFill>
                </w14:textFill>
              </w:rPr>
              <w:t xml:space="preserve"> </w:t>
            </w:r>
            <w:r>
              <w:rPr>
                <w:rFonts w:hint="eastAsia"/>
                <w:color w:val="000000" w:themeColor="text1"/>
                <w:sz w:val="24"/>
                <w14:textFill>
                  <w14:solidFill>
                    <w14:schemeClr w14:val="tx1"/>
                  </w14:solidFill>
                </w14:textFill>
              </w:rPr>
              <w:t>建设项目</w:t>
            </w:r>
            <w:r>
              <w:rPr>
                <w:color w:val="000000" w:themeColor="text1"/>
                <w:sz w:val="24"/>
                <w14:textFill>
                  <w14:solidFill>
                    <w14:schemeClr w14:val="tx1"/>
                  </w14:solidFill>
                </w14:textFill>
              </w:rPr>
              <w:t>Q</w:t>
            </w:r>
            <w:r>
              <w:rPr>
                <w:rFonts w:hint="eastAsia"/>
                <w:color w:val="000000" w:themeColor="text1"/>
                <w:sz w:val="24"/>
                <w14:textFill>
                  <w14:solidFill>
                    <w14:schemeClr w14:val="tx1"/>
                  </w14:solidFill>
                </w14:textFill>
              </w:rPr>
              <w:t>值确定</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993"/>
              <w:gridCol w:w="1319"/>
              <w:gridCol w:w="2228"/>
              <w:gridCol w:w="1746"/>
              <w:gridCol w:w="228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1"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危险物质名称</w:t>
                  </w:r>
                </w:p>
              </w:tc>
              <w:tc>
                <w:tcPr>
                  <w:tcW w:w="689"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CAS号</w:t>
                  </w:r>
                </w:p>
              </w:tc>
              <w:tc>
                <w:tcPr>
                  <w:tcW w:w="1164"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最大存在总量q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912"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临界量Q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1193"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该种危险物质Q值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1"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柴油</w:t>
                  </w:r>
                </w:p>
              </w:tc>
              <w:tc>
                <w:tcPr>
                  <w:tcW w:w="689"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w:t>
                  </w:r>
                </w:p>
              </w:tc>
              <w:tc>
                <w:tcPr>
                  <w:tcW w:w="1164"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0.8</w:t>
                  </w:r>
                </w:p>
              </w:tc>
              <w:tc>
                <w:tcPr>
                  <w:tcW w:w="912"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2500</w:t>
                  </w:r>
                </w:p>
              </w:tc>
              <w:tc>
                <w:tcPr>
                  <w:tcW w:w="1193"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0.00032</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根据上表，危险物质数量及临界量比值为0.00032，Q＜1，因此本项目</w:t>
            </w:r>
            <w:r>
              <w:rPr>
                <w:color w:val="000000" w:themeColor="text1"/>
                <w:sz w:val="24"/>
                <w14:textFill>
                  <w14:solidFill>
                    <w14:schemeClr w14:val="tx1"/>
                  </w14:solidFill>
                </w14:textFill>
              </w:rPr>
              <w:t>环境风险潜势为Ⅰ</w:t>
            </w:r>
            <w:r>
              <w:rPr>
                <w:rFonts w:hint="eastAsia"/>
                <w:color w:val="000000" w:themeColor="text1"/>
                <w:sz w:val="24"/>
                <w14:textFill>
                  <w14:solidFill>
                    <w14:schemeClr w14:val="tx1"/>
                  </w14:solidFill>
                </w14:textFill>
              </w:rPr>
              <w:t>。</w:t>
            </w:r>
          </w:p>
          <w:p>
            <w:pPr>
              <w:pStyle w:val="19"/>
              <w:numPr>
                <w:ilvl w:val="0"/>
                <w:numId w:val="0"/>
              </w:numPr>
              <w:spacing w:line="360" w:lineRule="auto"/>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8.3.2</w:t>
            </w:r>
            <w:r>
              <w:rPr>
                <w:rFonts w:hint="eastAsia"/>
                <w:color w:val="000000" w:themeColor="text1"/>
                <w:sz w:val="24"/>
                <w14:textFill>
                  <w14:solidFill>
                    <w14:schemeClr w14:val="tx1"/>
                  </w14:solidFill>
                </w14:textFill>
              </w:rPr>
              <w:t>评价等级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根据《建设项目环境风险评价技术导则》（HJ</w:t>
            </w:r>
            <w:r>
              <w:rPr>
                <w:color w:val="000000" w:themeColor="text1"/>
                <w:sz w:val="24"/>
                <w14:textFill>
                  <w14:solidFill>
                    <w14:schemeClr w14:val="tx1"/>
                  </w14:solidFill>
                </w14:textFill>
              </w:rPr>
              <w:t>169</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2018</w:t>
            </w:r>
            <w:r>
              <w:rPr>
                <w:rFonts w:hint="eastAsia"/>
                <w:color w:val="000000" w:themeColor="text1"/>
                <w:sz w:val="24"/>
                <w14:textFill>
                  <w14:solidFill>
                    <w14:schemeClr w14:val="tx1"/>
                  </w14:solidFill>
                </w14:textFill>
              </w:rPr>
              <w:t>）第4</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节，评价工作等级划分见表8</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9</w:t>
            </w:r>
            <w:r>
              <w:rPr>
                <w:rFonts w:hint="eastAsia"/>
                <w:color w:val="000000" w:themeColor="text1"/>
                <w:sz w:val="24"/>
                <w14:textFill>
                  <w14:solidFill>
                    <w14:schemeClr w14:val="tx1"/>
                  </w14:solidFill>
                </w14:textFill>
              </w:rPr>
              <w:t>。</w:t>
            </w:r>
          </w:p>
          <w:p>
            <w:pPr>
              <w:jc w:val="center"/>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表</w:t>
            </w:r>
            <w:r>
              <w:rPr>
                <w:bCs/>
                <w:color w:val="000000" w:themeColor="text1"/>
                <w:sz w:val="24"/>
                <w14:textFill>
                  <w14:solidFill>
                    <w14:schemeClr w14:val="tx1"/>
                  </w14:solidFill>
                </w14:textFill>
              </w:rPr>
              <w:t>8-</w:t>
            </w:r>
            <w:r>
              <w:rPr>
                <w:rFonts w:hint="eastAsia"/>
                <w:bCs/>
                <w:color w:val="000000" w:themeColor="text1"/>
                <w:sz w:val="24"/>
                <w:lang w:val="en-US" w:eastAsia="zh-CN"/>
                <w14:textFill>
                  <w14:solidFill>
                    <w14:schemeClr w14:val="tx1"/>
                  </w14:solidFill>
                </w14:textFill>
              </w:rPr>
              <w:t>9</w:t>
            </w:r>
            <w:r>
              <w:rPr>
                <w:bCs/>
                <w:color w:val="000000" w:themeColor="text1"/>
                <w:sz w:val="24"/>
                <w14:textFill>
                  <w14:solidFill>
                    <w14:schemeClr w14:val="tx1"/>
                  </w14:solidFill>
                </w14:textFill>
              </w:rPr>
              <w:t xml:space="preserve">  </w:t>
            </w:r>
            <w:r>
              <w:rPr>
                <w:rFonts w:hint="eastAsia"/>
                <w:bCs/>
                <w:color w:val="000000" w:themeColor="text1"/>
                <w:sz w:val="24"/>
                <w14:textFill>
                  <w14:solidFill>
                    <w14:schemeClr w14:val="tx1"/>
                  </w14:solidFill>
                </w14:textFill>
              </w:rPr>
              <w:t>评价工作等级划分</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2419"/>
              <w:gridCol w:w="1954"/>
              <w:gridCol w:w="1954"/>
              <w:gridCol w:w="1621"/>
              <w:gridCol w:w="162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64"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环境风险潜势</w:t>
                  </w:r>
                </w:p>
              </w:tc>
              <w:tc>
                <w:tcPr>
                  <w:tcW w:w="1021"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Ⅳ、Ⅳ</w:t>
                  </w:r>
                  <w:r>
                    <w:rPr>
                      <w:rFonts w:eastAsia="宋体" w:cs="Times New Roman"/>
                      <w:color w:val="000000" w:themeColor="text1"/>
                      <w:vertAlign w:val="superscript"/>
                      <w14:textFill>
                        <w14:solidFill>
                          <w14:schemeClr w14:val="tx1"/>
                        </w14:solidFill>
                      </w14:textFill>
                    </w:rPr>
                    <w:t>+</w:t>
                  </w:r>
                </w:p>
              </w:tc>
              <w:tc>
                <w:tcPr>
                  <w:tcW w:w="1021"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Ⅲ</w:t>
                  </w:r>
                </w:p>
              </w:tc>
              <w:tc>
                <w:tcPr>
                  <w:tcW w:w="847"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Ⅱ</w:t>
                  </w:r>
                </w:p>
              </w:tc>
              <w:tc>
                <w:tcPr>
                  <w:tcW w:w="847"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64"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评价工作等级</w:t>
                  </w:r>
                </w:p>
              </w:tc>
              <w:tc>
                <w:tcPr>
                  <w:tcW w:w="1021"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一</w:t>
                  </w:r>
                </w:p>
              </w:tc>
              <w:tc>
                <w:tcPr>
                  <w:tcW w:w="1021"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二</w:t>
                  </w:r>
                </w:p>
              </w:tc>
              <w:tc>
                <w:tcPr>
                  <w:tcW w:w="847"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三</w:t>
                  </w:r>
                </w:p>
              </w:tc>
              <w:tc>
                <w:tcPr>
                  <w:tcW w:w="847" w:type="pct"/>
                  <w:tcBorders>
                    <w:tl2br w:val="nil"/>
                    <w:tr2bl w:val="nil"/>
                  </w:tcBorders>
                  <w:vAlign w:val="center"/>
                </w:tcPr>
                <w:p>
                  <w:pPr>
                    <w:pStyle w:val="24"/>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简单分析</w:t>
                  </w:r>
                  <w:r>
                    <w:rPr>
                      <w:rFonts w:hint="eastAsia" w:eastAsia="宋体" w:cs="Times New Roman"/>
                      <w:color w:val="000000" w:themeColor="text1"/>
                      <w:vertAlign w:val="superscript"/>
                      <w14:textFill>
                        <w14:solidFill>
                          <w14:schemeClr w14:val="tx1"/>
                        </w14:solidFill>
                      </w14:textFill>
                    </w:rPr>
                    <w: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000" w:type="pct"/>
                  <w:gridSpan w:val="5"/>
                  <w:tcBorders>
                    <w:tl2br w:val="nil"/>
                    <w:tr2bl w:val="nil"/>
                  </w:tcBorders>
                  <w:vAlign w:val="center"/>
                </w:tcPr>
                <w:p>
                  <w:pPr>
                    <w:pStyle w:val="24"/>
                    <w:jc w:val="both"/>
                    <w:rPr>
                      <w:rFonts w:eastAsia="宋体" w:cs="Times New Roman"/>
                      <w:color w:val="000000" w:themeColor="text1"/>
                      <w14:textFill>
                        <w14:solidFill>
                          <w14:schemeClr w14:val="tx1"/>
                        </w14:solidFill>
                      </w14:textFill>
                    </w:rPr>
                  </w:pPr>
                  <w:r>
                    <w:rPr>
                      <w:rFonts w:hint="eastAsia" w:eastAsia="宋体" w:cs="Times New Roman"/>
                      <w:color w:val="000000" w:themeColor="text1"/>
                      <w:vertAlign w:val="superscript"/>
                      <w14:textFill>
                        <w14:solidFill>
                          <w14:schemeClr w14:val="tx1"/>
                        </w14:solidFill>
                      </w14:textFill>
                    </w:rPr>
                    <w:t>a</w:t>
                  </w:r>
                  <w:r>
                    <w:rPr>
                      <w:rFonts w:hint="eastAsia" w:eastAsia="宋体" w:cs="Times New Roman"/>
                      <w:color w:val="000000" w:themeColor="text1"/>
                      <w14:textFill>
                        <w14:solidFill>
                          <w14:schemeClr w14:val="tx1"/>
                        </w14:solidFill>
                      </w14:textFill>
                    </w:rPr>
                    <w:t>是相对于详细评价工作内容而言，在描述危险物质、环境影响途径、环境危害后果、风险防范措施等方面给出定性的说明。</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本项目环境风险潜势为</w:t>
            </w:r>
            <w:r>
              <w:rPr>
                <w:color w:val="000000" w:themeColor="text1"/>
                <w:sz w:val="24"/>
                <w14:textFill>
                  <w14:solidFill>
                    <w14:schemeClr w14:val="tx1"/>
                  </w14:solidFill>
                </w14:textFill>
              </w:rPr>
              <w:t>Ⅰ</w:t>
            </w:r>
            <w:r>
              <w:rPr>
                <w:rFonts w:hint="eastAsia"/>
                <w:color w:val="000000" w:themeColor="text1"/>
                <w:sz w:val="24"/>
                <w14:textFill>
                  <w14:solidFill>
                    <w14:schemeClr w14:val="tx1"/>
                  </w14:solidFill>
                </w14:textFill>
              </w:rPr>
              <w:t>，因此评价工作等级为简单分析。</w:t>
            </w:r>
          </w:p>
          <w:p>
            <w:pPr>
              <w:pStyle w:val="19"/>
              <w:numPr>
                <w:ilvl w:val="0"/>
                <w:numId w:val="0"/>
              </w:numPr>
              <w:spacing w:line="360" w:lineRule="auto"/>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8.3.3</w:t>
            </w:r>
            <w:r>
              <w:rPr>
                <w:rFonts w:hint="eastAsia"/>
                <w:color w:val="000000" w:themeColor="text1"/>
                <w:sz w:val="24"/>
                <w14:textFill>
                  <w14:solidFill>
                    <w14:schemeClr w14:val="tx1"/>
                  </w14:solidFill>
                </w14:textFill>
              </w:rPr>
              <w:t>环境风险识别</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通过对本项目工艺流程及原</w:t>
            </w:r>
            <w:r>
              <w:rPr>
                <w:rFonts w:hint="eastAsia"/>
                <w:color w:val="000000" w:themeColor="text1"/>
                <w:sz w:val="24"/>
                <w14:textFill>
                  <w14:solidFill>
                    <w14:schemeClr w14:val="tx1"/>
                  </w14:solidFill>
                </w14:textFill>
              </w:rPr>
              <w:t>辅材</w:t>
            </w:r>
            <w:r>
              <w:rPr>
                <w:color w:val="000000" w:themeColor="text1"/>
                <w:sz w:val="24"/>
                <w14:textFill>
                  <w14:solidFill>
                    <w14:schemeClr w14:val="tx1"/>
                  </w14:solidFill>
                </w14:textFill>
              </w:rPr>
              <w:t>料、产品分析，依据危险性物质的类别和物质量，分析本项目涉及的主要危险性物质是</w:t>
            </w:r>
            <w:r>
              <w:rPr>
                <w:rFonts w:hint="eastAsia"/>
                <w:color w:val="000000" w:themeColor="text1"/>
                <w:sz w:val="24"/>
                <w14:textFill>
                  <w14:solidFill>
                    <w14:schemeClr w14:val="tx1"/>
                  </w14:solidFill>
                </w14:textFill>
              </w:rPr>
              <w:t>柴油</w:t>
            </w:r>
            <w:r>
              <w:rPr>
                <w:color w:val="000000" w:themeColor="text1"/>
                <w:sz w:val="24"/>
                <w14:textFill>
                  <w14:solidFill>
                    <w14:schemeClr w14:val="tx1"/>
                  </w14:solidFill>
                </w14:textFill>
              </w:rPr>
              <w:t>，柴油是有色透明液体</w:t>
            </w:r>
            <w:r>
              <w:rPr>
                <w:rFonts w:hint="eastAsia"/>
                <w:color w:val="000000" w:themeColor="text1"/>
                <w:sz w:val="24"/>
                <w14:textFill>
                  <w14:solidFill>
                    <w14:schemeClr w14:val="tx1"/>
                  </w14:solidFill>
                </w14:textFill>
              </w:rPr>
              <w:t>，为</w:t>
            </w:r>
            <w:r>
              <w:rPr>
                <w:color w:val="000000" w:themeColor="text1"/>
                <w:sz w:val="24"/>
                <w14:textFill>
                  <w14:solidFill>
                    <w14:schemeClr w14:val="tx1"/>
                  </w14:solidFill>
                </w14:textFill>
              </w:rPr>
              <w:t>轻质石油产品</w:t>
            </w:r>
            <w:r>
              <w:rPr>
                <w:rFonts w:hint="eastAsia"/>
                <w:color w:val="000000" w:themeColor="text1"/>
                <w:sz w:val="24"/>
                <w14:textFill>
                  <w14:solidFill>
                    <w14:schemeClr w14:val="tx1"/>
                  </w14:solidFill>
                </w14:textFill>
              </w:rPr>
              <w:t>，是易燃液体，</w:t>
            </w:r>
            <w:r>
              <w:rPr>
                <w:color w:val="000000" w:themeColor="text1"/>
                <w:sz w:val="24"/>
                <w14:textFill>
                  <w14:solidFill>
                    <w14:schemeClr w14:val="tx1"/>
                  </w14:solidFill>
                </w14:textFill>
              </w:rPr>
              <w:t>有火灾和爆炸的危险。</w:t>
            </w:r>
            <w:r>
              <w:rPr>
                <w:rFonts w:hint="eastAsia"/>
                <w:color w:val="000000" w:themeColor="text1"/>
                <w:sz w:val="24"/>
                <w14:textFill>
                  <w14:solidFill>
                    <w14:schemeClr w14:val="tx1"/>
                  </w14:solidFill>
                </w14:textFill>
              </w:rPr>
              <w:t>柴油理化性质及危险特性见表</w:t>
            </w:r>
            <w:r>
              <w:rPr>
                <w:color w:val="000000" w:themeColor="text1"/>
                <w:sz w:val="24"/>
                <w14:textFill>
                  <w14:solidFill>
                    <w14:schemeClr w14:val="tx1"/>
                  </w14:solidFill>
                </w14:textFill>
              </w:rPr>
              <w:t>8-</w:t>
            </w: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0</w:t>
            </w:r>
            <w:r>
              <w:rPr>
                <w:rFonts w:hint="eastAsia"/>
                <w:color w:val="000000" w:themeColor="text1"/>
                <w:sz w:val="24"/>
                <w14:textFill>
                  <w14:solidFill>
                    <w14:schemeClr w14:val="tx1"/>
                  </w14:solidFill>
                </w14:textFill>
              </w:rPr>
              <w:t>。</w:t>
            </w:r>
          </w:p>
          <w:p>
            <w:pPr>
              <w:jc w:val="center"/>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表</w:t>
            </w:r>
            <w:r>
              <w:rPr>
                <w:bCs/>
                <w:color w:val="000000" w:themeColor="text1"/>
                <w:sz w:val="24"/>
                <w14:textFill>
                  <w14:solidFill>
                    <w14:schemeClr w14:val="tx1"/>
                  </w14:solidFill>
                </w14:textFill>
              </w:rPr>
              <w:t>8-</w:t>
            </w:r>
            <w:r>
              <w:rPr>
                <w:rFonts w:hint="eastAsia"/>
                <w:bCs/>
                <w:color w:val="000000" w:themeColor="text1"/>
                <w:sz w:val="24"/>
                <w14:textFill>
                  <w14:solidFill>
                    <w14:schemeClr w14:val="tx1"/>
                  </w14:solidFill>
                </w14:textFill>
              </w:rPr>
              <w:t>1</w:t>
            </w:r>
            <w:r>
              <w:rPr>
                <w:rFonts w:hint="eastAsia"/>
                <w:bCs/>
                <w:color w:val="000000" w:themeColor="text1"/>
                <w:sz w:val="24"/>
                <w:lang w:val="en-US" w:eastAsia="zh-CN"/>
                <w14:textFill>
                  <w14:solidFill>
                    <w14:schemeClr w14:val="tx1"/>
                  </w14:solidFill>
                </w14:textFill>
              </w:rPr>
              <w:t>0</w:t>
            </w:r>
            <w:r>
              <w:rPr>
                <w:rFonts w:hint="eastAsia"/>
                <w:bCs/>
                <w:color w:val="000000" w:themeColor="text1"/>
                <w:sz w:val="24"/>
                <w14:textFill>
                  <w14:solidFill>
                    <w14:schemeClr w14:val="tx1"/>
                  </w14:solidFill>
                </w14:textFill>
              </w:rPr>
              <w:t xml:space="preserve">  柴油的理化性质及危险特性表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28" w:type="dxa"/>
                <w:left w:w="57" w:type="dxa"/>
                <w:bottom w:w="28" w:type="dxa"/>
                <w:right w:w="28" w:type="dxa"/>
              </w:tblCellMar>
            </w:tblPr>
            <w:tblGrid>
              <w:gridCol w:w="717"/>
              <w:gridCol w:w="1294"/>
              <w:gridCol w:w="1242"/>
              <w:gridCol w:w="1767"/>
              <w:gridCol w:w="1845"/>
              <w:gridCol w:w="1591"/>
              <w:gridCol w:w="111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标识</w:t>
                  </w:r>
                </w:p>
              </w:tc>
              <w:tc>
                <w:tcPr>
                  <w:tcW w:w="676" w:type="pct"/>
                  <w:tcBorders>
                    <w:tl2br w:val="nil"/>
                    <w:tr2bl w:val="nil"/>
                  </w:tcBorders>
                  <w:vAlign w:val="center"/>
                </w:tcPr>
                <w:p>
                  <w:pPr>
                    <w:pStyle w:val="25"/>
                    <w:rPr>
                      <w:rFonts w:ascii="Times New Roman" w:hAnsi="Times New Roman" w:eastAsia="宋体" w:cs="Times New Roman"/>
                      <w:bCs/>
                      <w:color w:val="000000" w:themeColor="text1"/>
                      <w:spacing w:val="-20"/>
                      <w:sz w:val="21"/>
                      <w:szCs w:val="21"/>
                      <w14:textFill>
                        <w14:solidFill>
                          <w14:schemeClr w14:val="tx1"/>
                        </w14:solidFill>
                      </w14:textFill>
                    </w:rPr>
                  </w:pPr>
                  <w:r>
                    <w:rPr>
                      <w:rFonts w:ascii="Times New Roman" w:hAnsi="Times New Roman" w:eastAsia="宋体" w:cs="Times New Roman"/>
                      <w:bCs/>
                      <w:color w:val="000000" w:themeColor="text1"/>
                      <w:spacing w:val="-20"/>
                      <w:sz w:val="21"/>
                      <w:szCs w:val="21"/>
                      <w14:textFill>
                        <w14:solidFill>
                          <w14:schemeClr w14:val="tx1"/>
                        </w14:solidFill>
                      </w14:textFill>
                    </w:rPr>
                    <w:t>中文名:</w:t>
                  </w:r>
                </w:p>
              </w:tc>
              <w:tc>
                <w:tcPr>
                  <w:tcW w:w="1572" w:type="pct"/>
                  <w:gridSpan w:val="2"/>
                  <w:tcBorders>
                    <w:tl2br w:val="nil"/>
                    <w:tr2bl w:val="nil"/>
                  </w:tcBorders>
                  <w:vAlign w:val="center"/>
                </w:tcPr>
                <w:p>
                  <w:pPr>
                    <w:pStyle w:val="25"/>
                    <w:rPr>
                      <w:rFonts w:ascii="Times New Roman" w:hAnsi="Times New Roman" w:eastAsia="宋体" w:cs="Times New Roman"/>
                      <w:bCs/>
                      <w:color w:val="000000" w:themeColor="text1"/>
                      <w:spacing w:val="-20"/>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柴油</w:t>
                  </w:r>
                </w:p>
              </w:tc>
              <w:tc>
                <w:tcPr>
                  <w:tcW w:w="964" w:type="pct"/>
                  <w:tcBorders>
                    <w:tl2br w:val="nil"/>
                    <w:tr2bl w:val="nil"/>
                  </w:tcBorders>
                  <w:vAlign w:val="center"/>
                </w:tcPr>
                <w:p>
                  <w:pPr>
                    <w:pStyle w:val="25"/>
                    <w:rPr>
                      <w:rFonts w:ascii="Times New Roman" w:hAnsi="Times New Roman" w:eastAsia="宋体" w:cs="Times New Roman"/>
                      <w:bCs/>
                      <w:color w:val="000000" w:themeColor="text1"/>
                      <w:spacing w:val="-10"/>
                      <w:sz w:val="21"/>
                      <w:szCs w:val="21"/>
                      <w14:textFill>
                        <w14:solidFill>
                          <w14:schemeClr w14:val="tx1"/>
                        </w14:solidFill>
                      </w14:textFill>
                    </w:rPr>
                  </w:pPr>
                  <w:r>
                    <w:rPr>
                      <w:rFonts w:ascii="Times New Roman" w:hAnsi="Times New Roman" w:eastAsia="宋体" w:cs="Times New Roman"/>
                      <w:bCs/>
                      <w:color w:val="000000" w:themeColor="text1"/>
                      <w:spacing w:val="-10"/>
                      <w:sz w:val="21"/>
                      <w:szCs w:val="21"/>
                      <w14:textFill>
                        <w14:solidFill>
                          <w14:schemeClr w14:val="tx1"/>
                        </w14:solidFill>
                      </w14:textFill>
                    </w:rPr>
                    <w:t>英文名</w:t>
                  </w:r>
                </w:p>
              </w:tc>
              <w:tc>
                <w:tcPr>
                  <w:tcW w:w="1413" w:type="pct"/>
                  <w:gridSpan w:val="2"/>
                  <w:tcBorders>
                    <w:tl2br w:val="nil"/>
                    <w:tr2bl w:val="nil"/>
                  </w:tcBorders>
                  <w:vAlign w:val="center"/>
                </w:tcPr>
                <w:p>
                  <w:pPr>
                    <w:pStyle w:val="25"/>
                    <w:rPr>
                      <w:rFonts w:ascii="Times New Roman" w:hAnsi="Times New Roman" w:eastAsia="宋体" w:cs="Times New Roman"/>
                      <w:bCs/>
                      <w:color w:val="000000" w:themeColor="text1"/>
                      <w:spacing w:val="-10"/>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Diesel oil；Diesel fuel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CAS号</w:t>
                  </w:r>
                </w:p>
              </w:tc>
              <w:tc>
                <w:tcPr>
                  <w:tcW w:w="3949" w:type="pct"/>
                  <w:gridSpan w:val="5"/>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理化性质</w:t>
                  </w: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外观与性状</w:t>
                  </w:r>
                </w:p>
              </w:tc>
              <w:tc>
                <w:tcPr>
                  <w:tcW w:w="3949" w:type="pct"/>
                  <w:gridSpan w:val="5"/>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稍有粘性的棕色液体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熔点(℃)</w:t>
                  </w:r>
                </w:p>
              </w:tc>
              <w:tc>
                <w:tcPr>
                  <w:tcW w:w="1572" w:type="pct"/>
                  <w:gridSpan w:val="2"/>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-18</w:t>
                  </w:r>
                </w:p>
              </w:tc>
              <w:tc>
                <w:tcPr>
                  <w:tcW w:w="964"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沸点(℃)</w:t>
                  </w:r>
                </w:p>
              </w:tc>
              <w:tc>
                <w:tcPr>
                  <w:tcW w:w="1413" w:type="pct"/>
                  <w:gridSpan w:val="2"/>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282-338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相对密度(水=1)</w:t>
                  </w:r>
                </w:p>
              </w:tc>
              <w:tc>
                <w:tcPr>
                  <w:tcW w:w="1572" w:type="pct"/>
                  <w:gridSpan w:val="2"/>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0.84-0.9</w:t>
                  </w:r>
                </w:p>
              </w:tc>
              <w:tc>
                <w:tcPr>
                  <w:tcW w:w="964"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相对蒸气密度</w:t>
                  </w:r>
                </w:p>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(空气=1)</w:t>
                  </w:r>
                </w:p>
              </w:tc>
              <w:tc>
                <w:tcPr>
                  <w:tcW w:w="1413" w:type="pct"/>
                  <w:gridSpan w:val="2"/>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主要用途</w:t>
                  </w:r>
                </w:p>
              </w:tc>
              <w:tc>
                <w:tcPr>
                  <w:tcW w:w="3949" w:type="pct"/>
                  <w:gridSpan w:val="5"/>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用作柴油机的燃料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溶解性</w:t>
                  </w:r>
                </w:p>
              </w:tc>
              <w:tc>
                <w:tcPr>
                  <w:tcW w:w="3949" w:type="pct"/>
                  <w:gridSpan w:val="5"/>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不溶于水，能与多种有机溶剂混溶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燃烧爆炸危险性</w:t>
                  </w:r>
                </w:p>
              </w:tc>
              <w:tc>
                <w:tcPr>
                  <w:tcW w:w="676"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引燃温度(℃)</w:t>
                  </w:r>
                </w:p>
              </w:tc>
              <w:tc>
                <w:tcPr>
                  <w:tcW w:w="649"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335</w:t>
                  </w:r>
                </w:p>
              </w:tc>
              <w:tc>
                <w:tcPr>
                  <w:tcW w:w="923"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爆炸上限(V％)</w:t>
                  </w:r>
                </w:p>
              </w:tc>
              <w:tc>
                <w:tcPr>
                  <w:tcW w:w="964"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5</w:t>
                  </w:r>
                </w:p>
              </w:tc>
              <w:tc>
                <w:tcPr>
                  <w:tcW w:w="831"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闪点(℃)</w:t>
                  </w:r>
                </w:p>
              </w:tc>
              <w:tc>
                <w:tcPr>
                  <w:tcW w:w="582"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49"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923"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爆炸下限(V％)</w:t>
                  </w:r>
                </w:p>
              </w:tc>
              <w:tc>
                <w:tcPr>
                  <w:tcW w:w="964"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0.7</w:t>
                  </w:r>
                </w:p>
              </w:tc>
              <w:tc>
                <w:tcPr>
                  <w:tcW w:w="831"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582"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危险特性</w:t>
                  </w:r>
                </w:p>
              </w:tc>
              <w:tc>
                <w:tcPr>
                  <w:tcW w:w="3949" w:type="pct"/>
                  <w:gridSpan w:val="5"/>
                  <w:tcBorders>
                    <w:tl2br w:val="nil"/>
                    <w:tr2bl w:val="nil"/>
                  </w:tcBorders>
                  <w:vAlign w:val="center"/>
                </w:tcPr>
                <w:p>
                  <w:pPr>
                    <w:pStyle w:val="25"/>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遇明火、高热或与氧化剂接触，有引起燃烧爆炸的危险。若遇高热，容器内压增大，有开裂和爆炸的危险。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禁忌物</w:t>
                  </w:r>
                </w:p>
              </w:tc>
              <w:tc>
                <w:tcPr>
                  <w:tcW w:w="3949" w:type="pct"/>
                  <w:gridSpan w:val="5"/>
                  <w:tcBorders>
                    <w:tl2br w:val="nil"/>
                    <w:tr2bl w:val="nil"/>
                  </w:tcBorders>
                  <w:vAlign w:val="center"/>
                </w:tcPr>
                <w:p>
                  <w:pPr>
                    <w:pStyle w:val="25"/>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强氧化剂、卤素。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灭火方法</w:t>
                  </w:r>
                </w:p>
              </w:tc>
              <w:tc>
                <w:tcPr>
                  <w:tcW w:w="3949" w:type="pct"/>
                  <w:gridSpan w:val="5"/>
                  <w:tcBorders>
                    <w:tl2br w:val="nil"/>
                    <w:tr2bl w:val="nil"/>
                  </w:tcBorders>
                  <w:vAlign w:val="center"/>
                </w:tcPr>
                <w:p>
                  <w:pPr>
                    <w:pStyle w:val="25"/>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喷水冷却容器，可能的话将容器从火场移至空旷处。</w:t>
                  </w:r>
                </w:p>
                <w:p>
                  <w:pPr>
                    <w:rPr>
                      <w:bCs/>
                      <w:color w:val="000000" w:themeColor="text1"/>
                      <w:szCs w:val="21"/>
                      <w14:textFill>
                        <w14:solidFill>
                          <w14:schemeClr w14:val="tx1"/>
                        </w14:solidFill>
                      </w14:textFill>
                    </w:rPr>
                  </w:pPr>
                  <w:r>
                    <w:rPr>
                      <w:bCs/>
                      <w:color w:val="000000" w:themeColor="text1"/>
                      <w:kern w:val="0"/>
                      <w:szCs w:val="21"/>
                      <w14:textFill>
                        <w14:solidFill>
                          <w14:schemeClr w14:val="tx1"/>
                        </w14:solidFill>
                      </w14:textFill>
                    </w:rPr>
                    <w:t>灭火剂：泡沫、干粉、二氧化碳。用水灭火无效。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毒性及健康危害</w:t>
                  </w:r>
                </w:p>
              </w:tc>
              <w:tc>
                <w:tcPr>
                  <w:tcW w:w="676"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环境标准</w:t>
                  </w:r>
                </w:p>
              </w:tc>
              <w:tc>
                <w:tcPr>
                  <w:tcW w:w="1572" w:type="pct"/>
                  <w:gridSpan w:val="2"/>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中国MAC（mg/m</w:t>
                  </w:r>
                  <w:r>
                    <w:rPr>
                      <w:rFonts w:ascii="Times New Roman" w:hAnsi="Times New Roman" w:eastAsia="宋体" w:cs="Times New Roman"/>
                      <w:bCs/>
                      <w:color w:val="000000" w:themeColor="text1"/>
                      <w:sz w:val="21"/>
                      <w:szCs w:val="21"/>
                      <w:vertAlign w:val="superscript"/>
                      <w14:textFill>
                        <w14:solidFill>
                          <w14:schemeClr w14:val="tx1"/>
                        </w14:solidFill>
                      </w14:textFill>
                    </w:rPr>
                    <w:t>3</w:t>
                  </w:r>
                  <w:r>
                    <w:rPr>
                      <w:rFonts w:ascii="Times New Roman" w:hAnsi="Times New Roman" w:eastAsia="宋体" w:cs="Times New Roman"/>
                      <w:bCs/>
                      <w:color w:val="000000" w:themeColor="text1"/>
                      <w:sz w:val="21"/>
                      <w:szCs w:val="21"/>
                      <w14:textFill>
                        <w14:solidFill>
                          <w14:schemeClr w14:val="tx1"/>
                        </w14:solidFill>
                      </w14:textFill>
                    </w:rPr>
                    <w:t>）</w:t>
                  </w:r>
                </w:p>
              </w:tc>
              <w:tc>
                <w:tcPr>
                  <w:tcW w:w="2377" w:type="pct"/>
                  <w:gridSpan w:val="3"/>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前苏联MAC（mg/m</w:t>
                  </w:r>
                  <w:r>
                    <w:rPr>
                      <w:rFonts w:ascii="Times New Roman" w:hAnsi="Times New Roman" w:eastAsia="宋体" w:cs="Times New Roman"/>
                      <w:bCs/>
                      <w:color w:val="000000" w:themeColor="text1"/>
                      <w:sz w:val="21"/>
                      <w:szCs w:val="21"/>
                      <w:vertAlign w:val="superscript"/>
                      <w14:textFill>
                        <w14:solidFill>
                          <w14:schemeClr w14:val="tx1"/>
                        </w14:solidFill>
                      </w14:textFill>
                    </w:rPr>
                    <w:t>3</w:t>
                  </w:r>
                  <w:r>
                    <w:rPr>
                      <w:rFonts w:ascii="Times New Roman" w:hAnsi="Times New Roman" w:eastAsia="宋体" w:cs="Times New Roman"/>
                      <w:bCs/>
                      <w:color w:val="000000" w:themeColor="text1"/>
                      <w:sz w:val="21"/>
                      <w:szCs w:val="21"/>
                      <w14:textFill>
                        <w14:solidFill>
                          <w14:schemeClr w14:val="tx1"/>
                        </w14:solidFill>
                      </w14:textFill>
                    </w:rPr>
                    <w:t>）</w:t>
                  </w:r>
                </w:p>
              </w:tc>
              <w:tc>
                <w:tcPr>
                  <w:tcW w:w="2377" w:type="pct"/>
                  <w:gridSpan w:val="3"/>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TLVTN</w:t>
                  </w:r>
                </w:p>
              </w:tc>
              <w:tc>
                <w:tcPr>
                  <w:tcW w:w="2377" w:type="pct"/>
                  <w:gridSpan w:val="3"/>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TLVWN</w:t>
                  </w:r>
                </w:p>
              </w:tc>
              <w:tc>
                <w:tcPr>
                  <w:tcW w:w="2377" w:type="pct"/>
                  <w:gridSpan w:val="3"/>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侵入途径</w:t>
                  </w:r>
                </w:p>
              </w:tc>
              <w:tc>
                <w:tcPr>
                  <w:tcW w:w="3949" w:type="pct"/>
                  <w:gridSpan w:val="5"/>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吸入、食入、经皮吸收。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毒理学资料</w:t>
                  </w:r>
                </w:p>
              </w:tc>
              <w:tc>
                <w:tcPr>
                  <w:tcW w:w="3949" w:type="pct"/>
                  <w:gridSpan w:val="5"/>
                  <w:tcBorders>
                    <w:tl2br w:val="nil"/>
                    <w:tr2bl w:val="nil"/>
                  </w:tcBorders>
                  <w:vAlign w:val="center"/>
                </w:tcPr>
                <w:p>
                  <w:pPr>
                    <w:pStyle w:val="25"/>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LD50：7500mg/kg（大鼠经口）</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LC50：无资料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健康危害</w:t>
                  </w:r>
                </w:p>
              </w:tc>
              <w:tc>
                <w:tcPr>
                  <w:tcW w:w="3949" w:type="pct"/>
                  <w:gridSpan w:val="5"/>
                  <w:tcBorders>
                    <w:tl2br w:val="nil"/>
                    <w:tr2bl w:val="nil"/>
                  </w:tcBorders>
                  <w:vAlign w:val="center"/>
                </w:tcPr>
                <w:p>
                  <w:pPr>
                    <w:pStyle w:val="25"/>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皮肤接触可为主要吸收途径，可致急性肾脏损害。柴油可引起接触性皮炎、油性痤疮。吸入其雾滴或液体呛入可引起吸入性肺炎。能经胎盘进入胎儿血中。柴油废气可引起眼、鼻刺激症状，头晕及头痛。</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包装与储运</w:t>
                  </w: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危险货物包装标志</w:t>
                  </w:r>
                </w:p>
              </w:tc>
              <w:tc>
                <w:tcPr>
                  <w:tcW w:w="3949" w:type="pct"/>
                  <w:gridSpan w:val="5"/>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Z01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储运注意事项</w:t>
                  </w:r>
                </w:p>
              </w:tc>
              <w:tc>
                <w:tcPr>
                  <w:tcW w:w="3949" w:type="pct"/>
                  <w:gridSpan w:val="5"/>
                  <w:tcBorders>
                    <w:tl2br w:val="nil"/>
                    <w:tr2bl w:val="nil"/>
                  </w:tcBorders>
                  <w:vAlign w:val="center"/>
                </w:tcPr>
                <w:p>
                  <w:pPr>
                    <w:pStyle w:val="25"/>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储存于阴凉、通风的库房。远离火种、热源。应与氧化剂、卤素分开存放，切忌混储。采用防爆型照明、通风设施。禁止使用易产生火花的机械设备和工具。储区应备有泄漏应急处理设备和合适的收容材料。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防护措施</w:t>
                  </w:r>
                </w:p>
              </w:tc>
              <w:tc>
                <w:tcPr>
                  <w:tcW w:w="4625" w:type="pct"/>
                  <w:gridSpan w:val="6"/>
                  <w:tcBorders>
                    <w:tl2br w:val="nil"/>
                    <w:tr2bl w:val="nil"/>
                  </w:tcBorders>
                  <w:vAlign w:val="center"/>
                </w:tcPr>
                <w:p>
                  <w:pPr>
                    <w:pStyle w:val="25"/>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皮肤接触：立即脱去污染的衣着，用肥皂水和清水彻底冲洗皮肤。就医。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眼睛接触：提起眼睑，用流动清水或生理盐水冲洗。就医。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吸入：迅速脱离现场至空气新鲜处。保持呼吸道通畅。如呼吸困难，给输氧。如呼吸停止，立即进行人工呼吸。就医。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食入：尽快彻底洗胃。就医。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tcBorders>
                    <w:tl2br w:val="nil"/>
                    <w:tr2bl w:val="nil"/>
                  </w:tcBorders>
                  <w:vAlign w:val="center"/>
                </w:tcPr>
                <w:p>
                  <w:pPr>
                    <w:pStyle w:val="25"/>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泄漏处理</w:t>
                  </w:r>
                </w:p>
              </w:tc>
              <w:tc>
                <w:tcPr>
                  <w:tcW w:w="4625" w:type="pct"/>
                  <w:gridSpan w:val="6"/>
                  <w:tcBorders>
                    <w:tl2br w:val="nil"/>
                    <w:tr2bl w:val="nil"/>
                  </w:tcBorders>
                  <w:vAlign w:val="center"/>
                </w:tcPr>
                <w:p>
                  <w:pPr>
                    <w:pStyle w:val="25"/>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迅速撤离泄漏污染区人员至安全区，并进行隔离，严格限制出入。切断火源。建议应急处理人员戴自给正压式呼吸器，穿一般作业工作服。尽可能切断泄漏源。防止流入下水道、排洪沟等限制性空间。小量泄漏：用活性炭或其它惰性材料吸收。大量泄漏：构筑围堤或挖坑收容。用泵转移至槽车或专用收集器内，回收或运至废物处理场所处置</w:t>
                  </w:r>
                  <w:r>
                    <w:rPr>
                      <w:rFonts w:ascii="Times New Roman" w:hAnsi="Times New Roman" w:eastAsia="宋体" w:cs="Times New Roman"/>
                      <w:bCs/>
                      <w:color w:val="000000" w:themeColor="text1"/>
                      <w:spacing w:val="-2"/>
                      <w:sz w:val="21"/>
                      <w:szCs w:val="21"/>
                      <w14:textFill>
                        <w14:solidFill>
                          <w14:schemeClr w14:val="tx1"/>
                        </w14:solidFill>
                      </w14:textFill>
                    </w:rPr>
                    <w:t>。</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项目储存的柴油属于第3类危险化学品，具有以下危险特性：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①易燃性：油品的组成有碳氢化合物及其衍生物，是可燃性有机物质，在有大量助燃物的空气中，只要有足够点火能量，会发生燃烧。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②易爆性：柴油的蒸汽与空气组成气体达到爆炸极限时，遇到引爆源，即发生爆炸。</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③易受热膨胀性：油品受热后，温度升高，体积膨胀，储存油品的密闭油桶如靠近高热或日光暴晒，受热膨胀，储罐内压力增右，容易造成容器胀破。</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④毒性：油品及其蒸汽都具有一定的毒性，属于刺激性、麻醉性的低毒物质。</w:t>
            </w:r>
          </w:p>
          <w:p>
            <w:pPr>
              <w:pStyle w:val="19"/>
              <w:numPr>
                <w:ilvl w:val="0"/>
                <w:numId w:val="0"/>
              </w:numPr>
              <w:spacing w:line="360" w:lineRule="auto"/>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8.3.4</w:t>
            </w:r>
            <w:r>
              <w:rPr>
                <w:rFonts w:hint="eastAsia"/>
                <w:color w:val="000000" w:themeColor="text1"/>
                <w:sz w:val="24"/>
                <w14:textFill>
                  <w14:solidFill>
                    <w14:schemeClr w14:val="tx1"/>
                  </w14:solidFill>
                </w14:textFill>
              </w:rPr>
              <w:t>环境风险识别结果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本项目风险物质为柴油，柴油储存过程中储油桶发生泄漏时存在发生火灾爆炸事故的可能性，因为柴油属于易燃、易爆物质，泄漏到环境中遇明火、高热易燃烧爆炸。本项目环境风险识别结果具体见表</w:t>
            </w:r>
            <w:r>
              <w:rPr>
                <w:color w:val="000000" w:themeColor="text1"/>
                <w:sz w:val="24"/>
                <w14:textFill>
                  <w14:solidFill>
                    <w14:schemeClr w14:val="tx1"/>
                  </w14:solidFill>
                </w14:textFill>
              </w:rPr>
              <w:t>8-</w:t>
            </w: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1</w:t>
            </w:r>
            <w:r>
              <w:rPr>
                <w:rFonts w:hint="eastAsia"/>
                <w:color w:val="000000" w:themeColor="text1"/>
                <w:sz w:val="24"/>
                <w14:textFill>
                  <w14:solidFill>
                    <w14:schemeClr w14:val="tx1"/>
                  </w14:solidFill>
                </w14:textFill>
              </w:rPr>
              <w:t>。</w:t>
            </w:r>
          </w:p>
          <w:p>
            <w:pPr>
              <w:jc w:val="center"/>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表</w:t>
            </w:r>
            <w:r>
              <w:rPr>
                <w:bCs/>
                <w:color w:val="000000" w:themeColor="text1"/>
                <w:sz w:val="24"/>
                <w14:textFill>
                  <w14:solidFill>
                    <w14:schemeClr w14:val="tx1"/>
                  </w14:solidFill>
                </w14:textFill>
              </w:rPr>
              <w:t>8-</w:t>
            </w:r>
            <w:r>
              <w:rPr>
                <w:rFonts w:hint="eastAsia"/>
                <w:bCs/>
                <w:color w:val="000000" w:themeColor="text1"/>
                <w:sz w:val="24"/>
                <w14:textFill>
                  <w14:solidFill>
                    <w14:schemeClr w14:val="tx1"/>
                  </w14:solidFill>
                </w14:textFill>
              </w:rPr>
              <w:t>1</w:t>
            </w:r>
            <w:r>
              <w:rPr>
                <w:rFonts w:hint="eastAsia"/>
                <w:bCs/>
                <w:color w:val="000000" w:themeColor="text1"/>
                <w:sz w:val="24"/>
                <w:lang w:val="en-US" w:eastAsia="zh-CN"/>
                <w14:textFill>
                  <w14:solidFill>
                    <w14:schemeClr w14:val="tx1"/>
                  </w14:solidFill>
                </w14:textFill>
              </w:rPr>
              <w:t>1</w:t>
            </w:r>
            <w:r>
              <w:rPr>
                <w:bCs/>
                <w:color w:val="000000" w:themeColor="text1"/>
                <w:sz w:val="24"/>
                <w14:textFill>
                  <w14:solidFill>
                    <w14:schemeClr w14:val="tx1"/>
                  </w14:solidFill>
                </w14:textFill>
              </w:rPr>
              <w:t xml:space="preserve"> </w:t>
            </w:r>
            <w:r>
              <w:rPr>
                <w:rFonts w:hint="eastAsia"/>
                <w:bCs/>
                <w:color w:val="000000" w:themeColor="text1"/>
                <w:sz w:val="24"/>
                <w14:textFill>
                  <w14:solidFill>
                    <w14:schemeClr w14:val="tx1"/>
                  </w14:solidFill>
                </w14:textFill>
              </w:rPr>
              <w:t xml:space="preserve"> 建设项目环境风险识别表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8"/>
              <w:gridCol w:w="1147"/>
              <w:gridCol w:w="1005"/>
              <w:gridCol w:w="2292"/>
              <w:gridCol w:w="1577"/>
              <w:gridCol w:w="240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危险单元</w:t>
                  </w:r>
                </w:p>
              </w:tc>
              <w:tc>
                <w:tcPr>
                  <w:tcW w:w="59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风险源</w:t>
                  </w:r>
                </w:p>
              </w:tc>
              <w:tc>
                <w:tcPr>
                  <w:tcW w:w="52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主要危险物质</w:t>
                  </w:r>
                </w:p>
              </w:tc>
              <w:tc>
                <w:tcPr>
                  <w:tcW w:w="11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环境风险类型</w:t>
                  </w:r>
                </w:p>
              </w:tc>
              <w:tc>
                <w:tcPr>
                  <w:tcW w:w="82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环境影响途径</w:t>
                  </w:r>
                </w:p>
              </w:tc>
              <w:tc>
                <w:tcPr>
                  <w:tcW w:w="125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可能受影响的环境</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敏感目标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油料区</w:t>
                  </w:r>
                </w:p>
              </w:tc>
              <w:tc>
                <w:tcPr>
                  <w:tcW w:w="59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液体泄露</w:t>
                  </w:r>
                </w:p>
              </w:tc>
              <w:tc>
                <w:tcPr>
                  <w:tcW w:w="52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w:t>
                  </w:r>
                </w:p>
              </w:tc>
              <w:tc>
                <w:tcPr>
                  <w:tcW w:w="11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泄露</w:t>
                  </w:r>
                  <w:r>
                    <w:rPr>
                      <w:rFonts w:hint="eastAsia"/>
                      <w:color w:val="000000" w:themeColor="text1"/>
                      <w:szCs w:val="21"/>
                      <w14:textFill>
                        <w14:solidFill>
                          <w14:schemeClr w14:val="tx1"/>
                        </w14:solidFill>
                      </w14:textFill>
                    </w:rPr>
                    <w:t>、火灾等引发的伴生/次生污染物</w:t>
                  </w:r>
                </w:p>
              </w:tc>
              <w:tc>
                <w:tcPr>
                  <w:tcW w:w="82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大气、地下水、地下水</w:t>
                  </w:r>
                </w:p>
              </w:tc>
              <w:tc>
                <w:tcPr>
                  <w:tcW w:w="125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周边环境大气、地下水</w:t>
                  </w:r>
                </w:p>
              </w:tc>
            </w:tr>
          </w:tbl>
          <w:p>
            <w:pPr>
              <w:pStyle w:val="19"/>
              <w:numPr>
                <w:ilvl w:val="0"/>
                <w:numId w:val="0"/>
              </w:numPr>
              <w:spacing w:line="360" w:lineRule="auto"/>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8.3.5</w:t>
            </w:r>
            <w:r>
              <w:rPr>
                <w:rFonts w:hint="eastAsia"/>
                <w:color w:val="000000" w:themeColor="text1"/>
                <w:sz w:val="24"/>
                <w14:textFill>
                  <w14:solidFill>
                    <w14:schemeClr w14:val="tx1"/>
                  </w14:solidFill>
                </w14:textFill>
              </w:rPr>
              <w:t>环境风险分析</w:t>
            </w:r>
          </w:p>
          <w:p>
            <w:pPr>
              <w:spacing w:line="360" w:lineRule="auto"/>
              <w:ind w:firstLine="480" w:firstLineChars="200"/>
              <w:rPr>
                <w:color w:val="000000" w:themeColor="text1"/>
                <w:sz w:val="24"/>
                <w14:textFill>
                  <w14:solidFill>
                    <w14:schemeClr w14:val="tx1"/>
                  </w14:solidFill>
                </w14:textFill>
              </w:rPr>
            </w:pPr>
            <w:bookmarkStart w:id="22" w:name="_Toc29636"/>
            <w:bookmarkStart w:id="23" w:name="_Toc470462354"/>
            <w:bookmarkStart w:id="24" w:name="_Toc29147"/>
            <w:bookmarkStart w:id="25" w:name="_Toc461051472"/>
            <w:bookmarkStart w:id="26" w:name="_Toc470462669"/>
            <w:bookmarkStart w:id="27" w:name="_Toc20126"/>
            <w:bookmarkStart w:id="28" w:name="_Toc8443"/>
            <w:bookmarkStart w:id="29" w:name="_Toc14538"/>
            <w:r>
              <w:rPr>
                <w:rFonts w:hint="eastAsia"/>
                <w:color w:val="000000" w:themeColor="text1"/>
                <w:sz w:val="24"/>
                <w14:textFill>
                  <w14:solidFill>
                    <w14:schemeClr w14:val="tx1"/>
                  </w14:solidFill>
                </w14:textFill>
              </w:rPr>
              <w:t>项目主要事故源于油料区柴油泄漏，一旦发生泄漏事故，柴油进入环境，将对河流、土壤、地下水、生物造成污染，同时由于柴油泄漏造成油品挥发，油蒸汽逸散，进而发生火灾、爆炸和中毒事故。</w:t>
            </w:r>
          </w:p>
          <w:p>
            <w:pPr>
              <w:autoSpaceDE/>
              <w:autoSpaceDN/>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本项目井场单独设置油料区，油料区柴油储存量为3-5桶（160kg/桶），发生最大可信事故为单桶柴油发生泄漏，按单桶柴油油桶全部破损，泄漏量为0.16t。油料区地面采取水泥硬化防渗处理，因此在发生泄漏情况下，油料不会渗入地下，不会对地下水和土壤产生影响。井场周边无明显地表水体，不会产生大量油料泄漏，因此不会对地表水体产生影响。柴油燃烧或者爆炸产生的污染物主要是CO</w:t>
            </w:r>
            <w:r>
              <w:rPr>
                <w:rFonts w:hint="eastAsia"/>
                <w:color w:val="000000" w:themeColor="text1"/>
                <w:sz w:val="24"/>
                <w:szCs w:val="24"/>
                <w:vertAlign w:val="subscript"/>
                <w:lang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、CO、非甲烷总烃等，项目储油量小，燃烧后经过很快扩散，对环境空气的影响较小。项目井场距敏感点较远，因此对环境敏感点影响较小。</w:t>
            </w:r>
          </w:p>
          <w:p>
            <w:pPr>
              <w:pStyle w:val="19"/>
              <w:numPr>
                <w:ilvl w:val="0"/>
                <w:numId w:val="0"/>
              </w:numPr>
              <w:spacing w:line="360" w:lineRule="auto"/>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8.3.6</w:t>
            </w:r>
            <w:r>
              <w:rPr>
                <w:rFonts w:hint="eastAsia"/>
                <w:color w:val="000000" w:themeColor="text1"/>
                <w:sz w:val="24"/>
                <w14:textFill>
                  <w14:solidFill>
                    <w14:schemeClr w14:val="tx1"/>
                  </w14:solidFill>
                </w14:textFill>
              </w:rPr>
              <w:t>环境风险防范措施</w:t>
            </w:r>
            <w:bookmarkEnd w:id="22"/>
            <w:bookmarkEnd w:id="23"/>
            <w:bookmarkEnd w:id="24"/>
            <w:bookmarkEnd w:id="25"/>
            <w:bookmarkEnd w:id="26"/>
            <w:bookmarkEnd w:id="27"/>
            <w:bookmarkEnd w:id="28"/>
            <w:bookmarkEnd w:id="29"/>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针对可能发生的风险事故，应采取如下风险防范措施：</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①项目应组建安全环保管理机构，配备管理人员，通过技能培训，承担该项目建设中的环保安全工作</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②安全环保机构根据相关的环境管理要求，加强职工的安全教育，提高安全防范风险的意识</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③项目油料储存区应有良好的通风，以利于气体的扩散，防止爆炸</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④</w:t>
            </w:r>
            <w:r>
              <w:rPr>
                <w:rFonts w:hint="eastAsia"/>
                <w:color w:val="000000" w:themeColor="text1"/>
                <w:sz w:val="24"/>
                <w14:textFill>
                  <w14:solidFill>
                    <w14:schemeClr w14:val="tx1"/>
                  </w14:solidFill>
                </w14:textFill>
              </w:rPr>
              <w:t>油料区地面采用铺设HDPE防渗膜进行防渗处理，对受污染的土壤进行收集，交资质单位处理；</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⑤油料区设置灭火装置</w:t>
            </w:r>
            <w:r>
              <w:rPr>
                <w:rFonts w:hint="eastAsia"/>
                <w:color w:val="000000" w:themeColor="text1"/>
                <w:sz w:val="24"/>
                <w14:textFill>
                  <w14:solidFill>
                    <w14:schemeClr w14:val="tx1"/>
                  </w14:solidFill>
                </w14:textFill>
              </w:rPr>
              <w:t>，用于紧急情况下灭火使用；</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⑥油料区设置明显禁火标志牌，不允许非工作人员随便入内。</w:t>
            </w:r>
          </w:p>
          <w:p>
            <w:pPr>
              <w:pStyle w:val="19"/>
              <w:numPr>
                <w:ilvl w:val="0"/>
                <w:numId w:val="0"/>
              </w:numPr>
              <w:spacing w:line="360" w:lineRule="auto"/>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8.3.7</w:t>
            </w:r>
            <w:r>
              <w:rPr>
                <w:rFonts w:hint="eastAsia"/>
                <w:color w:val="000000" w:themeColor="text1"/>
                <w:sz w:val="24"/>
                <w14:textFill>
                  <w14:solidFill>
                    <w14:schemeClr w14:val="tx1"/>
                  </w14:solidFill>
                </w14:textFill>
              </w:rPr>
              <w:t>环境风险分析结论</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根据《建设项目环境风险评价技术导则》（HJ/T169-2018）附录A</w:t>
            </w:r>
            <w:r>
              <w:rPr>
                <w:rFonts w:hint="eastAsia"/>
                <w:color w:val="000000" w:themeColor="text1"/>
                <w:sz w:val="24"/>
                <w14:textFill>
                  <w14:solidFill>
                    <w14:schemeClr w14:val="tx1"/>
                  </w14:solidFill>
                </w14:textFill>
              </w:rPr>
              <w:t>和</w:t>
            </w:r>
            <w:r>
              <w:rPr>
                <w:color w:val="000000" w:themeColor="text1"/>
                <w:sz w:val="24"/>
                <w14:textFill>
                  <w14:solidFill>
                    <w14:schemeClr w14:val="tx1"/>
                  </w14:solidFill>
                </w14:textFill>
              </w:rPr>
              <w:t>B</w:t>
            </w:r>
            <w:r>
              <w:rPr>
                <w:rFonts w:hint="eastAsia"/>
                <w:color w:val="000000" w:themeColor="text1"/>
                <w:sz w:val="24"/>
                <w14:textFill>
                  <w14:solidFill>
                    <w14:schemeClr w14:val="tx1"/>
                  </w14:solidFill>
                </w14:textFill>
              </w:rPr>
              <w:t>以及1.4分析可知，项目建设期间主要环境风险为柴油泄漏造成的环境风险，经采取相关措施后发生的可能较小。建设项目环境风险简单分析内容表见表</w:t>
            </w:r>
            <w:r>
              <w:rPr>
                <w:color w:val="000000" w:themeColor="text1"/>
                <w:sz w:val="24"/>
                <w14:textFill>
                  <w14:solidFill>
                    <w14:schemeClr w14:val="tx1"/>
                  </w14:solidFill>
                </w14:textFill>
              </w:rPr>
              <w:t>8-</w:t>
            </w: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w:t>
            </w:r>
          </w:p>
          <w:p>
            <w:pPr>
              <w:jc w:val="center"/>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表</w:t>
            </w:r>
            <w:r>
              <w:rPr>
                <w:bCs/>
                <w:color w:val="000000" w:themeColor="text1"/>
                <w:sz w:val="24"/>
                <w14:textFill>
                  <w14:solidFill>
                    <w14:schemeClr w14:val="tx1"/>
                  </w14:solidFill>
                </w14:textFill>
              </w:rPr>
              <w:t>8-</w:t>
            </w:r>
            <w:r>
              <w:rPr>
                <w:rFonts w:hint="eastAsia"/>
                <w:bCs/>
                <w:color w:val="000000" w:themeColor="text1"/>
                <w:sz w:val="24"/>
                <w14:textFill>
                  <w14:solidFill>
                    <w14:schemeClr w14:val="tx1"/>
                  </w14:solidFill>
                </w14:textFill>
              </w:rPr>
              <w:t>1</w:t>
            </w:r>
            <w:r>
              <w:rPr>
                <w:rFonts w:hint="eastAsia"/>
                <w:bCs/>
                <w:color w:val="000000" w:themeColor="text1"/>
                <w:sz w:val="24"/>
                <w:lang w:val="en-US" w:eastAsia="zh-CN"/>
                <w14:textFill>
                  <w14:solidFill>
                    <w14:schemeClr w14:val="tx1"/>
                  </w14:solidFill>
                </w14:textFill>
              </w:rPr>
              <w:t>2</w:t>
            </w:r>
            <w:r>
              <w:rPr>
                <w:rFonts w:hint="eastAsia"/>
                <w:bCs/>
                <w:color w:val="000000" w:themeColor="text1"/>
                <w:sz w:val="24"/>
                <w14:textFill>
                  <w14:solidFill>
                    <w14:schemeClr w14:val="tx1"/>
                  </w14:solidFill>
                </w14:textFill>
              </w:rPr>
              <w:t xml:space="preserve">  建设项目环境风险简单分析内容</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880"/>
              <w:gridCol w:w="1280"/>
              <w:gridCol w:w="1434"/>
              <w:gridCol w:w="1432"/>
              <w:gridCol w:w="1208"/>
              <w:gridCol w:w="133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建设项目名称</w:t>
                  </w:r>
                </w:p>
              </w:tc>
              <w:tc>
                <w:tcPr>
                  <w:tcW w:w="3495" w:type="pct"/>
                  <w:gridSpan w:val="5"/>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铀矿钻探项目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建设地点</w:t>
                  </w:r>
                </w:p>
              </w:tc>
              <w:tc>
                <w:tcPr>
                  <w:tcW w:w="66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w:t>
                  </w:r>
                </w:p>
              </w:tc>
              <w:tc>
                <w:tcPr>
                  <w:tcW w:w="74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（/）市</w:t>
                  </w:r>
                </w:p>
              </w:tc>
              <w:tc>
                <w:tcPr>
                  <w:tcW w:w="7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）区</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（/）县</w:t>
                  </w:r>
                </w:p>
              </w:tc>
              <w:tc>
                <w:tcPr>
                  <w:tcW w:w="69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（/）园区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地理坐标</w:t>
                  </w:r>
                </w:p>
              </w:tc>
              <w:tc>
                <w:tcPr>
                  <w:tcW w:w="66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经度</w:t>
                  </w:r>
                </w:p>
              </w:tc>
              <w:tc>
                <w:tcPr>
                  <w:tcW w:w="74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纬度</w:t>
                  </w:r>
                </w:p>
              </w:tc>
              <w:tc>
                <w:tcPr>
                  <w:tcW w:w="1329" w:type="pct"/>
                  <w:gridSpan w:val="2"/>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主要危险物质及分布</w:t>
                  </w:r>
                </w:p>
              </w:tc>
              <w:tc>
                <w:tcPr>
                  <w:tcW w:w="3495" w:type="pct"/>
                  <w:gridSpan w:val="5"/>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柴油、井场内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环境影响途径及危害后果</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（大气、地表水、地下水）</w:t>
                  </w:r>
                </w:p>
              </w:tc>
              <w:tc>
                <w:tcPr>
                  <w:tcW w:w="3495" w:type="pct"/>
                  <w:gridSpan w:val="5"/>
                  <w:tcBorders>
                    <w:tl2br w:val="nil"/>
                    <w:tr2bl w:val="nil"/>
                  </w:tcBorders>
                  <w:vAlign w:val="center"/>
                </w:tcPr>
                <w:p>
                  <w:pPr>
                    <w:pStyle w:val="5"/>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①</w:t>
                  </w:r>
                  <w:r>
                    <w:rPr>
                      <w:rFonts w:hint="eastAsia"/>
                      <w:b w:val="0"/>
                      <w:color w:val="000000" w:themeColor="text1"/>
                      <w:sz w:val="21"/>
                      <w:szCs w:val="21"/>
                      <w14:textFill>
                        <w14:solidFill>
                          <w14:schemeClr w14:val="tx1"/>
                        </w14:solidFill>
                      </w14:textFill>
                    </w:rPr>
                    <w:t>对地表水的污染</w:t>
                  </w:r>
                </w:p>
                <w:p>
                  <w:pPr>
                    <w:pStyle w:val="5"/>
                    <w:spacing w:line="240" w:lineRule="auto"/>
                    <w:ind w:firstLine="0"/>
                    <w:jc w:val="left"/>
                    <w:rPr>
                      <w:b w:val="0"/>
                      <w:color w:val="000000" w:themeColor="text1"/>
                      <w:sz w:val="21"/>
                      <w:szCs w:val="21"/>
                      <w14:textFill>
                        <w14:solidFill>
                          <w14:schemeClr w14:val="tx1"/>
                        </w14:solidFill>
                      </w14:textFill>
                    </w:rPr>
                  </w:pPr>
                  <w:r>
                    <w:rPr>
                      <w:rFonts w:hint="eastAsia"/>
                      <w:b w:val="0"/>
                      <w:color w:val="000000" w:themeColor="text1"/>
                      <w:sz w:val="21"/>
                      <w:szCs w:val="21"/>
                      <w14:textFill>
                        <w14:solidFill>
                          <w14:schemeClr w14:val="tx1"/>
                        </w14:solidFill>
                      </w14:textFill>
                    </w:rPr>
                    <w:t>泄漏的柴油一旦进入地表河流，将造成地表河流的污染。污染首先将造成地表河流的景观破坏；其次，由于有机烃类物质难溶于水，大部分上浮在水层表面，形成一层油膜使空气与水隔离，造成水中溶解氧浓度降低，逐渐形成死水，致水中生物死亡。</w:t>
                  </w:r>
                </w:p>
                <w:p>
                  <w:pPr>
                    <w:pStyle w:val="5"/>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②</w:t>
                  </w:r>
                  <w:r>
                    <w:rPr>
                      <w:rFonts w:hint="eastAsia"/>
                      <w:b w:val="0"/>
                      <w:color w:val="000000" w:themeColor="text1"/>
                      <w:sz w:val="21"/>
                      <w:szCs w:val="21"/>
                      <w14:textFill>
                        <w14:solidFill>
                          <w14:schemeClr w14:val="tx1"/>
                        </w14:solidFill>
                      </w14:textFill>
                    </w:rPr>
                    <w:t>对地下水和土壤的污染</w:t>
                  </w:r>
                </w:p>
                <w:p>
                  <w:pPr>
                    <w:pStyle w:val="5"/>
                    <w:spacing w:line="240" w:lineRule="auto"/>
                    <w:ind w:firstLine="0"/>
                    <w:jc w:val="left"/>
                    <w:rPr>
                      <w:b w:val="0"/>
                      <w:color w:val="000000" w:themeColor="text1"/>
                      <w:sz w:val="21"/>
                      <w:szCs w:val="21"/>
                      <w14:textFill>
                        <w14:solidFill>
                          <w14:schemeClr w14:val="tx1"/>
                        </w14:solidFill>
                      </w14:textFill>
                    </w:rPr>
                  </w:pPr>
                  <w:r>
                    <w:rPr>
                      <w:rFonts w:hint="eastAsia"/>
                      <w:b w:val="0"/>
                      <w:color w:val="000000" w:themeColor="text1"/>
                      <w:sz w:val="21"/>
                      <w:szCs w:val="21"/>
                      <w14:textFill>
                        <w14:solidFill>
                          <w14:schemeClr w14:val="tx1"/>
                        </w14:solidFill>
                      </w14:textFill>
                    </w:rPr>
                    <w:t>储油桶泄漏对地下水的污染较，地下水一旦遭到柴油的污染，将使地下水产生严重异味，无法饮用。又由于这种渗漏必然穿过较厚的土壤层，使土壤层中吸附了大量的燃料油，土壤层吸附的燃料油不仅会造成植物生物的死亡，而且土壤层吸附的燃料油还会随着地表水的下渗对土壤层的冲刷作用补充到地下水，这样即便污染源得到及时控制，地下水要完全恢复也需几年至几十年时间。</w:t>
                  </w:r>
                </w:p>
                <w:p>
                  <w:pPr>
                    <w:pStyle w:val="5"/>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③</w:t>
                  </w:r>
                  <w:r>
                    <w:rPr>
                      <w:rFonts w:hint="eastAsia"/>
                      <w:b w:val="0"/>
                      <w:color w:val="000000" w:themeColor="text1"/>
                      <w:sz w:val="21"/>
                      <w:szCs w:val="21"/>
                      <w14:textFill>
                        <w14:solidFill>
                          <w14:schemeClr w14:val="tx1"/>
                        </w14:solidFill>
                      </w14:textFill>
                    </w:rPr>
                    <w:t>对大气环境的污染</w:t>
                  </w:r>
                </w:p>
                <w:p>
                  <w:pPr>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柴油泄漏造成油品挥发，油蒸汽逸散，进而发生火灾、爆炸，燃烧或者爆炸产生的污染物对环境空气的影响。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风险防范措施要求</w:t>
                  </w:r>
                </w:p>
              </w:tc>
              <w:tc>
                <w:tcPr>
                  <w:tcW w:w="3495" w:type="pct"/>
                  <w:gridSpan w:val="5"/>
                  <w:tcBorders>
                    <w:tl2br w:val="nil"/>
                    <w:tr2bl w:val="nil"/>
                  </w:tcBorders>
                  <w:vAlign w:val="center"/>
                </w:tcPr>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①项目应组建安全环保管理机构，配备管理人员，通过技能培训，承担该项目建设中的环保安全工作；</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②安全环保机构根据相关的环境管理要求，加强职工的安全教育，提高安全防范风险的意识；</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③项目油料储存区应有良好的通风，以利于气体的扩散，防止爆炸；</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④油料区地面采用铺设HDPE防渗膜进行防渗处理，同时设砂池，可及时用砂子吸收油品后以及受污染的土壤清理后交资质单位处理；</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⑤油料区设置灭火装置，用于紧急情况下灭火使用；</w:t>
                  </w:r>
                </w:p>
                <w:p>
                  <w:pPr>
                    <w:jc w:val="left"/>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⑥油料区设置明显禁火标志牌，不允许非工作人员随便入内。</w:t>
                  </w:r>
                </w:p>
              </w:tc>
            </w:tr>
          </w:tbl>
          <w:p>
            <w:pPr>
              <w:spacing w:line="360" w:lineRule="auto"/>
              <w:rPr>
                <w:bCs/>
                <w:color w:val="000000" w:themeColor="text1"/>
                <w:sz w:val="24"/>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30" w:name="_Toc3795904"/>
      <w:r>
        <w:rPr>
          <w:rFonts w:hint="eastAsia" w:eastAsia="黑体"/>
          <w:color w:val="000000" w:themeColor="text1"/>
          <w:sz w:val="32"/>
          <w14:textFill>
            <w14:solidFill>
              <w14:schemeClr w14:val="tx1"/>
            </w14:solidFill>
          </w14:textFill>
        </w:rPr>
        <w:t>九、</w:t>
      </w:r>
      <w:r>
        <w:rPr>
          <w:rFonts w:eastAsia="黑体"/>
          <w:color w:val="000000" w:themeColor="text1"/>
          <w:sz w:val="32"/>
          <w14:textFill>
            <w14:solidFill>
              <w14:schemeClr w14:val="tx1"/>
            </w14:solidFill>
          </w14:textFill>
        </w:rPr>
        <w:t>建设项目拟采取的防治措施及预期治理效果</w:t>
      </w:r>
      <w:bookmarkEnd w:id="30"/>
    </w:p>
    <w:tbl>
      <w:tblPr>
        <w:tblStyle w:val="12"/>
        <w:tblW w:w="4898" w:type="pct"/>
        <w:tblInd w:w="1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36"/>
        <w:gridCol w:w="1450"/>
        <w:gridCol w:w="1308"/>
        <w:gridCol w:w="2737"/>
        <w:gridCol w:w="322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内容</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类型</w:t>
            </w:r>
          </w:p>
        </w:tc>
        <w:tc>
          <w:tcPr>
            <w:tcW w:w="742"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排放源</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（编号）</w:t>
            </w:r>
          </w:p>
        </w:tc>
        <w:tc>
          <w:tcPr>
            <w:tcW w:w="67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140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防治措施</w:t>
            </w:r>
          </w:p>
        </w:tc>
        <w:tc>
          <w:tcPr>
            <w:tcW w:w="165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预期治理效果</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530"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742"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发电机等</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燃油废气</w:t>
            </w:r>
          </w:p>
        </w:tc>
        <w:tc>
          <w:tcPr>
            <w:tcW w:w="670" w:type="pct"/>
            <w:tcBorders>
              <w:tl2br w:val="nil"/>
              <w:tr2bl w:val="nil"/>
            </w:tcBorders>
            <w:vAlign w:val="center"/>
          </w:tcPr>
          <w:p>
            <w:pPr>
              <w:jc w:val="center"/>
              <w:rPr>
                <w:rFonts w:hint="default" w:eastAsia="宋体"/>
                <w:color w:val="000000" w:themeColor="text1"/>
                <w:lang w:val="en-US" w:eastAsia="zh-CN"/>
                <w14:textFill>
                  <w14:solidFill>
                    <w14:schemeClr w14:val="tx1"/>
                  </w14:solidFill>
                </w14:textFill>
              </w:rPr>
            </w:pPr>
            <w:r>
              <w:rPr>
                <w:rFonts w:hint="eastAsia"/>
                <w:color w:val="000000" w:themeColor="text1"/>
                <w14:textFill>
                  <w14:solidFill>
                    <w14:schemeClr w14:val="tx1"/>
                  </w14:solidFill>
                </w14:textFill>
              </w:rPr>
              <w:t>颗粒物</w:t>
            </w:r>
          </w:p>
        </w:tc>
        <w:tc>
          <w:tcPr>
            <w:tcW w:w="1402" w:type="pct"/>
            <w:vMerge w:val="restart"/>
            <w:tcBorders>
              <w:tl2br w:val="nil"/>
              <w:tr2bl w:val="nil"/>
            </w:tcBorders>
            <w:vAlign w:val="center"/>
          </w:tcPr>
          <w:p>
            <w:pPr>
              <w:pStyle w:val="1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采用节能环保型柴油动力设备，采用符合标准的柴油</w:t>
            </w:r>
          </w:p>
        </w:tc>
        <w:tc>
          <w:tcPr>
            <w:tcW w:w="1653" w:type="pct"/>
            <w:vMerge w:val="restart"/>
            <w:tcBorders>
              <w:tl2br w:val="nil"/>
              <w:tr2bl w:val="nil"/>
            </w:tcBorders>
            <w:vAlign w:val="center"/>
          </w:tcPr>
          <w:p>
            <w:pPr>
              <w:rPr>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满足《非道路移动机械用柴油机排气污染物排放限值及测量方法(中国第三、四阶段）》（GB20891-2014）的要求及《大气污染物综合排放标准》（GB16297-1996）表2无组织监控浓度限值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530" w:type="pct"/>
            <w:vMerge w:val="continue"/>
            <w:tcBorders>
              <w:tl2br w:val="nil"/>
              <w:tr2bl w:val="nil"/>
            </w:tcBorders>
            <w:vAlign w:val="center"/>
          </w:tcPr>
          <w:p>
            <w:pPr>
              <w:pStyle w:val="2"/>
              <w:jc w:val="center"/>
              <w:rPr>
                <w:color w:val="000000" w:themeColor="text1"/>
                <w14:textFill>
                  <w14:solidFill>
                    <w14:schemeClr w14:val="tx1"/>
                  </w14:solidFill>
                </w14:textFill>
              </w:rPr>
            </w:pPr>
          </w:p>
        </w:tc>
        <w:tc>
          <w:tcPr>
            <w:tcW w:w="742" w:type="pct"/>
            <w:vMerge w:val="continue"/>
            <w:tcBorders>
              <w:tl2br w:val="nil"/>
              <w:tr2bl w:val="nil"/>
            </w:tcBorders>
            <w:vAlign w:val="center"/>
          </w:tcPr>
          <w:p>
            <w:pPr>
              <w:pStyle w:val="2"/>
              <w:jc w:val="center"/>
              <w:rPr>
                <w:color w:val="000000" w:themeColor="text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color w:val="000000" w:themeColor="text1"/>
                <w14:textFill>
                  <w14:solidFill>
                    <w14:schemeClr w14:val="tx1"/>
                  </w14:solidFill>
                </w14:textFill>
              </w:rPr>
              <w:t>NO</w:t>
            </w:r>
            <w:r>
              <w:rPr>
                <w:color w:val="000000" w:themeColor="text1"/>
                <w:vertAlign w:val="subscript"/>
                <w14:textFill>
                  <w14:solidFill>
                    <w14:schemeClr w14:val="tx1"/>
                  </w14:solidFill>
                </w14:textFill>
              </w:rPr>
              <w:t>X</w:t>
            </w:r>
          </w:p>
        </w:tc>
        <w:tc>
          <w:tcPr>
            <w:tcW w:w="1402"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1653"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530"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742"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color w:val="000000" w:themeColor="text1"/>
                <w14:textFill>
                  <w14:solidFill>
                    <w14:schemeClr w14:val="tx1"/>
                  </w14:solidFill>
                </w14:textFill>
              </w:rPr>
              <w:t>SO</w:t>
            </w:r>
            <w:r>
              <w:rPr>
                <w:color w:val="000000" w:themeColor="text1"/>
                <w:vertAlign w:val="subscript"/>
                <w14:textFill>
                  <w14:solidFill>
                    <w14:schemeClr w14:val="tx1"/>
                  </w14:solidFill>
                </w14:textFill>
              </w:rPr>
              <w:t>2</w:t>
            </w:r>
          </w:p>
        </w:tc>
        <w:tc>
          <w:tcPr>
            <w:tcW w:w="1402"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1653"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530"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742"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14:textFill>
                  <w14:solidFill>
                    <w14:schemeClr w14:val="tx1"/>
                  </w14:solidFill>
                </w14:textFill>
              </w:rPr>
              <w:t>CO</w:t>
            </w:r>
          </w:p>
        </w:tc>
        <w:tc>
          <w:tcPr>
            <w:tcW w:w="1402"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1653"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530"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742"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670" w:type="pct"/>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r>
              <w:rPr>
                <w:rFonts w:hint="default" w:ascii="Times New Roman" w:hAnsi="Times New Roman" w:cs="Times New Roman"/>
                <w:color w:val="000000" w:themeColor="text1"/>
                <w:szCs w:val="21"/>
                <w:lang w:val="en-US" w:eastAsia="zh-CN"/>
                <w14:textFill>
                  <w14:solidFill>
                    <w14:schemeClr w14:val="tx1"/>
                  </w14:solidFill>
                </w14:textFill>
              </w:rPr>
              <w:t>HC</w:t>
            </w:r>
          </w:p>
        </w:tc>
        <w:tc>
          <w:tcPr>
            <w:tcW w:w="1402"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c>
          <w:tcPr>
            <w:tcW w:w="1653" w:type="pct"/>
            <w:vMerge w:val="continue"/>
            <w:tcBorders>
              <w:tl2br w:val="nil"/>
              <w:tr2bl w:val="nil"/>
            </w:tcBorders>
            <w:vAlign w:val="center"/>
          </w:tcPr>
          <w:p>
            <w:pPr>
              <w:pStyle w:val="2"/>
              <w:jc w:val="center"/>
              <w:rPr>
                <w:rFonts w:hint="eastAsia"/>
                <w:color w:val="000000" w:themeColor="text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0"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74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钻探</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平整场地</w:t>
            </w:r>
          </w:p>
        </w:tc>
        <w:tc>
          <w:tcPr>
            <w:tcW w:w="67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扬尘</w:t>
            </w:r>
          </w:p>
        </w:tc>
        <w:tc>
          <w:tcPr>
            <w:tcW w:w="1402" w:type="pct"/>
            <w:tcBorders>
              <w:tl2br w:val="nil"/>
              <w:tr2bl w:val="nil"/>
            </w:tcBorders>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施工场地洒水抑尘、运料车及弃土加盖篷布，大风天气停止土方作业等</w:t>
            </w:r>
          </w:p>
        </w:tc>
        <w:tc>
          <w:tcPr>
            <w:tcW w:w="1653" w:type="pct"/>
            <w:tcBorders>
              <w:tl2br w:val="nil"/>
              <w:tr2bl w:val="nil"/>
            </w:tcBorders>
            <w:vAlign w:val="center"/>
          </w:tcPr>
          <w:p>
            <w:pPr>
              <w:jc w:val="left"/>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《大气污染物综合排放标准》（GB16297-1996）表2无组织监控浓度限值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0"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水污</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染物</w:t>
            </w:r>
          </w:p>
        </w:tc>
        <w:tc>
          <w:tcPr>
            <w:tcW w:w="742"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生活污水</w:t>
            </w:r>
          </w:p>
        </w:tc>
        <w:tc>
          <w:tcPr>
            <w:tcW w:w="67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COD</w:t>
            </w:r>
          </w:p>
        </w:tc>
        <w:tc>
          <w:tcPr>
            <w:tcW w:w="1402" w:type="pct"/>
            <w:vMerge w:val="restart"/>
            <w:tcBorders>
              <w:tl2br w:val="nil"/>
              <w:tr2bl w:val="nil"/>
            </w:tcBorders>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生活污水主要为盥洗水，用于洒水抑尘</w:t>
            </w:r>
          </w:p>
        </w:tc>
        <w:tc>
          <w:tcPr>
            <w:tcW w:w="1653"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0" w:type="pct"/>
            <w:vMerge w:val="continue"/>
            <w:tcBorders>
              <w:tl2br w:val="nil"/>
              <w:tr2bl w:val="nil"/>
            </w:tcBorders>
            <w:vAlign w:val="center"/>
          </w:tcPr>
          <w:p>
            <w:pPr>
              <w:jc w:val="center"/>
              <w:rPr>
                <w:color w:val="000000" w:themeColor="text1"/>
                <w14:textFill>
                  <w14:solidFill>
                    <w14:schemeClr w14:val="tx1"/>
                  </w14:solidFill>
                </w14:textFill>
              </w:rPr>
            </w:pPr>
          </w:p>
        </w:tc>
        <w:tc>
          <w:tcPr>
            <w:tcW w:w="742" w:type="pct"/>
            <w:vMerge w:val="continue"/>
            <w:tcBorders>
              <w:tl2br w:val="nil"/>
              <w:tr2bl w:val="nil"/>
            </w:tcBorders>
            <w:vAlign w:val="center"/>
          </w:tcPr>
          <w:p>
            <w:pPr>
              <w:jc w:val="center"/>
              <w:rPr>
                <w:color w:val="000000" w:themeColor="text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BOD</w:t>
            </w:r>
            <w:r>
              <w:rPr>
                <w:color w:val="000000" w:themeColor="text1"/>
                <w:szCs w:val="21"/>
                <w:vertAlign w:val="subscript"/>
                <w14:textFill>
                  <w14:solidFill>
                    <w14:schemeClr w14:val="tx1"/>
                  </w14:solidFill>
                </w14:textFill>
              </w:rPr>
              <w:t>5</w:t>
            </w:r>
          </w:p>
        </w:tc>
        <w:tc>
          <w:tcPr>
            <w:tcW w:w="1402"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c>
          <w:tcPr>
            <w:tcW w:w="1653"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0"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c>
          <w:tcPr>
            <w:tcW w:w="742"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氨氮</w:t>
            </w:r>
          </w:p>
        </w:tc>
        <w:tc>
          <w:tcPr>
            <w:tcW w:w="1402"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c>
          <w:tcPr>
            <w:tcW w:w="1653"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0"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c>
          <w:tcPr>
            <w:tcW w:w="742"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SS</w:t>
            </w:r>
          </w:p>
        </w:tc>
        <w:tc>
          <w:tcPr>
            <w:tcW w:w="1402"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c>
          <w:tcPr>
            <w:tcW w:w="1653" w:type="pct"/>
            <w:vMerge w:val="continue"/>
            <w:tcBorders>
              <w:tl2br w:val="nil"/>
              <w:tr2bl w:val="nil"/>
            </w:tcBorders>
            <w:vAlign w:val="center"/>
          </w:tcPr>
          <w:p>
            <w:pPr>
              <w:jc w:val="center"/>
              <w:rPr>
                <w:rFonts w:hint="eastAsia"/>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0"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74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生产废水</w:t>
            </w:r>
          </w:p>
        </w:tc>
        <w:tc>
          <w:tcPr>
            <w:tcW w:w="670"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SS</w:t>
            </w:r>
          </w:p>
        </w:tc>
        <w:tc>
          <w:tcPr>
            <w:tcW w:w="2737" w:type="dxa"/>
            <w:tcBorders>
              <w:tl2br w:val="nil"/>
              <w:tr2bl w:val="nil"/>
            </w:tcBorders>
            <w:vAlign w:val="center"/>
          </w:tcPr>
          <w:p>
            <w:pPr>
              <w:spacing w:line="260" w:lineRule="exact"/>
              <w:jc w:val="left"/>
              <w:rPr>
                <w:color w:val="000000" w:themeColor="text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钻井</w:t>
            </w:r>
            <w:r>
              <w:rPr>
                <w:color w:val="000000" w:themeColor="text1"/>
                <w:sz w:val="21"/>
                <w:szCs w:val="21"/>
                <w:lang w:eastAsia="zh-CN"/>
                <w14:textFill>
                  <w14:solidFill>
                    <w14:schemeClr w14:val="tx1"/>
                  </w14:solidFill>
                </w14:textFill>
              </w:rPr>
              <w:t>泥浆池中的上清液循环使用，</w:t>
            </w:r>
            <w:r>
              <w:rPr>
                <w:rFonts w:hint="eastAsia"/>
                <w:color w:val="000000" w:themeColor="text1"/>
                <w:sz w:val="21"/>
                <w:szCs w:val="21"/>
                <w:lang w:eastAsia="zh-CN"/>
                <w14:textFill>
                  <w14:solidFill>
                    <w14:schemeClr w14:val="tx1"/>
                  </w14:solidFill>
                </w14:textFill>
              </w:rPr>
              <w:t>过程需补充一定消耗水量，</w:t>
            </w:r>
            <w:r>
              <w:rPr>
                <w:color w:val="000000" w:themeColor="text1"/>
                <w:sz w:val="21"/>
                <w:szCs w:val="21"/>
                <w:lang w:eastAsia="zh-CN"/>
                <w14:textFill>
                  <w14:solidFill>
                    <w14:schemeClr w14:val="tx1"/>
                  </w14:solidFill>
                </w14:textFill>
              </w:rPr>
              <w:t>废水全部循环</w:t>
            </w:r>
            <w:r>
              <w:rPr>
                <w:rFonts w:hint="eastAsia"/>
                <w:color w:val="000000" w:themeColor="text1"/>
                <w:sz w:val="21"/>
                <w:szCs w:val="21"/>
                <w:lang w:eastAsia="zh-CN"/>
                <w14:textFill>
                  <w14:solidFill>
                    <w14:schemeClr w14:val="tx1"/>
                  </w14:solidFill>
                </w14:textFill>
              </w:rPr>
              <w:t>，不外排。设备冲洗废水</w:t>
            </w:r>
            <w:r>
              <w:rPr>
                <w:color w:val="000000" w:themeColor="text1"/>
                <w:sz w:val="21"/>
                <w:szCs w:val="21"/>
                <w:lang w:eastAsia="zh-CN"/>
                <w14:textFill>
                  <w14:solidFill>
                    <w14:schemeClr w14:val="tx1"/>
                  </w14:solidFill>
                </w14:textFill>
              </w:rPr>
              <w:t>进入泥浆池沉淀自然干化，不外排</w:t>
            </w:r>
          </w:p>
        </w:tc>
        <w:tc>
          <w:tcPr>
            <w:tcW w:w="165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0"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废物</w:t>
            </w:r>
          </w:p>
        </w:tc>
        <w:tc>
          <w:tcPr>
            <w:tcW w:w="742"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钻孔施工</w:t>
            </w:r>
          </w:p>
        </w:tc>
        <w:tc>
          <w:tcPr>
            <w:tcW w:w="670"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2737" w:type="dxa"/>
            <w:tcBorders>
              <w:tl2br w:val="nil"/>
              <w:tr2bl w:val="nil"/>
            </w:tcBorders>
            <w:vAlign w:val="center"/>
          </w:tcPr>
          <w:p>
            <w:pPr>
              <w:jc w:val="left"/>
              <w:rPr>
                <w:color w:val="000000" w:themeColor="text1"/>
                <w:szCs w:val="21"/>
                <w14:textFill>
                  <w14:solidFill>
                    <w14:schemeClr w14:val="tx1"/>
                  </w14:solidFill>
                </w14:textFill>
              </w:rPr>
            </w:pPr>
            <w:r>
              <w:rPr>
                <w:color w:val="000000" w:themeColor="text1"/>
                <w:sz w:val="21"/>
                <w:szCs w:val="21"/>
                <w:lang w:eastAsia="zh-CN"/>
                <w14:textFill>
                  <w14:solidFill>
                    <w14:schemeClr w14:val="tx1"/>
                  </w14:solidFill>
                </w14:textFill>
              </w:rPr>
              <w:t>进入防渗泥浆池，钻孔完毕后填埋</w:t>
            </w:r>
          </w:p>
        </w:tc>
        <w:tc>
          <w:tcPr>
            <w:tcW w:w="165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0"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742"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70"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岩芯</w:t>
            </w:r>
          </w:p>
        </w:tc>
        <w:tc>
          <w:tcPr>
            <w:tcW w:w="2737" w:type="dxa"/>
            <w:tcBorders>
              <w:tl2br w:val="nil"/>
              <w:tr2bl w:val="nil"/>
            </w:tcBorders>
            <w:vAlign w:val="center"/>
          </w:tcPr>
          <w:p>
            <w:pPr>
              <w:jc w:val="left"/>
              <w:rPr>
                <w:color w:val="000000" w:themeColor="text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矿段岩芯放置在岩芯库内，后期带回分析、化验；非矿段岩芯放置在岩芯池内，</w:t>
            </w:r>
            <w:r>
              <w:rPr>
                <w:color w:val="000000" w:themeColor="text1"/>
                <w:sz w:val="21"/>
                <w:szCs w:val="21"/>
                <w:lang w:eastAsia="zh-CN"/>
                <w14:textFill>
                  <w14:solidFill>
                    <w14:schemeClr w14:val="tx1"/>
                  </w14:solidFill>
                </w14:textFill>
              </w:rPr>
              <w:t>钻孔完毕</w:t>
            </w:r>
            <w:r>
              <w:rPr>
                <w:rFonts w:hint="eastAsia"/>
                <w:color w:val="000000" w:themeColor="text1"/>
                <w:sz w:val="21"/>
                <w:szCs w:val="21"/>
                <w:lang w:eastAsia="zh-CN"/>
                <w14:textFill>
                  <w14:solidFill>
                    <w14:schemeClr w14:val="tx1"/>
                  </w14:solidFill>
                </w14:textFill>
              </w:rPr>
              <w:t>后填埋</w:t>
            </w:r>
          </w:p>
        </w:tc>
        <w:tc>
          <w:tcPr>
            <w:tcW w:w="165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0"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742"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70"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剥离表土</w:t>
            </w:r>
          </w:p>
        </w:tc>
        <w:tc>
          <w:tcPr>
            <w:tcW w:w="2737" w:type="dxa"/>
            <w:tcBorders>
              <w:tl2br w:val="nil"/>
              <w:tr2bl w:val="nil"/>
            </w:tcBorders>
            <w:vAlign w:val="center"/>
          </w:tcPr>
          <w:p>
            <w:pPr>
              <w:jc w:val="left"/>
              <w:rPr>
                <w:color w:val="000000" w:themeColor="text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表土就近堆放于钻孔平台，待封孔后用于植被恢复，平整场地</w:t>
            </w:r>
          </w:p>
        </w:tc>
        <w:tc>
          <w:tcPr>
            <w:tcW w:w="165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0"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742"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7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w:t>
            </w:r>
            <w:r>
              <w:rPr>
                <w:rFonts w:hint="eastAsia"/>
                <w:color w:val="000000" w:themeColor="text1"/>
                <w:szCs w:val="21"/>
                <w:lang w:val="en-US" w:eastAsia="zh-CN"/>
                <w14:textFill>
                  <w14:solidFill>
                    <w14:schemeClr w14:val="tx1"/>
                  </w14:solidFill>
                </w14:textFill>
              </w:rPr>
              <w:t>机</w:t>
            </w:r>
            <w:r>
              <w:rPr>
                <w:color w:val="000000" w:themeColor="text1"/>
                <w:szCs w:val="21"/>
                <w14:textFill>
                  <w14:solidFill>
                    <w14:schemeClr w14:val="tx1"/>
                  </w14:solidFill>
                </w14:textFill>
              </w:rPr>
              <w:t>油</w:t>
            </w:r>
          </w:p>
        </w:tc>
        <w:tc>
          <w:tcPr>
            <w:tcW w:w="2737" w:type="dxa"/>
            <w:tcBorders>
              <w:tl2br w:val="nil"/>
              <w:tr2bl w:val="nil"/>
            </w:tcBorders>
            <w:vAlign w:val="center"/>
          </w:tcPr>
          <w:p>
            <w:pPr>
              <w:autoSpaceDE/>
              <w:autoSpaceDN/>
              <w:spacing w:line="280" w:lineRule="exact"/>
              <w:jc w:val="left"/>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建设单位收集后交有资质单位处置</w:t>
            </w:r>
          </w:p>
        </w:tc>
        <w:tc>
          <w:tcPr>
            <w:tcW w:w="1653"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0"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74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人员生活</w:t>
            </w:r>
          </w:p>
        </w:tc>
        <w:tc>
          <w:tcPr>
            <w:tcW w:w="67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生活垃圾</w:t>
            </w:r>
          </w:p>
        </w:tc>
        <w:tc>
          <w:tcPr>
            <w:tcW w:w="2737" w:type="dxa"/>
            <w:tcBorders>
              <w:tl2br w:val="nil"/>
              <w:tr2bl w:val="nil"/>
            </w:tcBorders>
            <w:vAlign w:val="center"/>
          </w:tcPr>
          <w:p>
            <w:pPr>
              <w:spacing w:line="260" w:lineRule="exact"/>
              <w:jc w:val="left"/>
              <w:rPr>
                <w:color w:val="000000" w:themeColor="text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钻探勘查区生活垃圾用垃圾袋带回项目部，项目部设垃圾桶进行收集，定期送往乡镇垃圾堆放点，由当地环卫部门清理处置</w:t>
            </w:r>
          </w:p>
        </w:tc>
        <w:tc>
          <w:tcPr>
            <w:tcW w:w="165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收集处置率100%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4469" w:type="pct"/>
            <w:gridSpan w:val="4"/>
            <w:tcBorders>
              <w:tl2br w:val="nil"/>
              <w:tr2bl w:val="nil"/>
            </w:tcBorders>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噪声主要来源于钻机、钻机自带柴油机、柴油发电机、泥浆泵等连续性噪声，噪声源强在90~95dB(A)，主要措施是柴油发电机自带消音装置，在柴油机、发电机、泥浆泵等设备下加衬减振垫料，在钻井过程中平稳操作，避免产生非正常的噪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atLeast"/>
        </w:trPr>
        <w:tc>
          <w:tcPr>
            <w:tcW w:w="5000" w:type="pct"/>
            <w:gridSpan w:val="5"/>
            <w:tcBorders>
              <w:tl2br w:val="nil"/>
              <w:tr2bl w:val="nil"/>
            </w:tcBorders>
          </w:tcPr>
          <w:p>
            <w:pPr>
              <w:spacing w:line="360" w:lineRule="auto"/>
              <w:rPr>
                <w:b/>
                <w:color w:val="000000" w:themeColor="text1"/>
                <w:sz w:val="24"/>
                <w:lang w:val="en-GB"/>
                <w14:textFill>
                  <w14:solidFill>
                    <w14:schemeClr w14:val="tx1"/>
                  </w14:solidFill>
                </w14:textFill>
              </w:rPr>
            </w:pPr>
            <w:r>
              <w:rPr>
                <w:b/>
                <w:color w:val="000000" w:themeColor="text1"/>
                <w:sz w:val="24"/>
                <w14:textFill>
                  <w14:solidFill>
                    <w14:schemeClr w14:val="tx1"/>
                  </w14:solidFill>
                </w14:textFill>
              </w:rPr>
              <w:t>生态保护措施及预期效果</w:t>
            </w:r>
          </w:p>
          <w:p>
            <w:pPr>
              <w:pStyle w:val="18"/>
              <w:spacing w:line="360" w:lineRule="auto"/>
              <w:ind w:left="590"/>
              <w:rPr>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1、</w:t>
            </w:r>
            <w:r>
              <w:rPr>
                <w:b/>
                <w:bCs/>
                <w:color w:val="000000" w:themeColor="text1"/>
                <w14:textFill>
                  <w14:solidFill>
                    <w14:schemeClr w14:val="tx1"/>
                  </w14:solidFill>
                </w14:textFill>
              </w:rPr>
              <w:t>生态保护原则</w:t>
            </w:r>
          </w:p>
          <w:p>
            <w:pPr>
              <w:pStyle w:val="18"/>
              <w:spacing w:before="40" w:line="360" w:lineRule="auto"/>
              <w:ind w:right="79" w:firstLine="476" w:firstLineChars="200"/>
              <w:rPr>
                <w:rFonts w:eastAsia="Times New Roman"/>
                <w:color w:val="000000" w:themeColor="text1"/>
                <w14:textFill>
                  <w14:solidFill>
                    <w14:schemeClr w14:val="tx1"/>
                  </w14:solidFill>
                </w14:textFill>
              </w:rPr>
            </w:pPr>
            <w:r>
              <w:rPr>
                <w:color w:val="000000" w:themeColor="text1"/>
                <w:spacing w:val="-1"/>
                <w14:textFill>
                  <w14:solidFill>
                    <w14:schemeClr w14:val="tx1"/>
                  </w14:solidFill>
                </w14:textFill>
              </w:rPr>
              <w:t>根据《青海省主体功能区规划》中规定“禁止开发区域包括：国家层面禁止开发区</w:t>
            </w:r>
            <w:r>
              <w:rPr>
                <w:rFonts w:eastAsia="Times New Roman"/>
                <w:color w:val="000000" w:themeColor="text1"/>
                <w14:textFill>
                  <w14:solidFill>
                    <w14:schemeClr w14:val="tx1"/>
                  </w14:solidFill>
                </w14:textFill>
              </w:rPr>
              <w:t>—</w:t>
            </w:r>
            <w:r>
              <w:rPr>
                <w:color w:val="000000" w:themeColor="text1"/>
                <w:spacing w:val="-7"/>
                <w14:textFill>
                  <w14:solidFill>
                    <w14:schemeClr w14:val="tx1"/>
                  </w14:solidFill>
                </w14:textFill>
              </w:rPr>
              <w:t>国家级自然保护区</w:t>
            </w:r>
            <w:r>
              <w:rPr>
                <w:rFonts w:eastAsia="Times New Roman"/>
                <w:color w:val="000000" w:themeColor="text1"/>
                <w14:textFill>
                  <w14:solidFill>
                    <w14:schemeClr w14:val="tx1"/>
                  </w14:solidFill>
                </w14:textFill>
              </w:rPr>
              <w:t>7</w:t>
            </w:r>
            <w:r>
              <w:rPr>
                <w:color w:val="000000" w:themeColor="text1"/>
                <w:spacing w:val="-6"/>
                <w14:textFill>
                  <w14:solidFill>
                    <w14:schemeClr w14:val="tx1"/>
                  </w14:solidFill>
                </w14:textFill>
              </w:rPr>
              <w:t>处、国家级风景名胜区</w:t>
            </w:r>
            <w:r>
              <w:rPr>
                <w:rFonts w:eastAsia="Times New Roman"/>
                <w:color w:val="000000" w:themeColor="text1"/>
                <w14:textFill>
                  <w14:solidFill>
                    <w14:schemeClr w14:val="tx1"/>
                  </w14:solidFill>
                </w14:textFill>
              </w:rPr>
              <w:t>1</w:t>
            </w:r>
            <w:r>
              <w:rPr>
                <w:color w:val="000000" w:themeColor="text1"/>
                <w:spacing w:val="-7"/>
                <w14:textFill>
                  <w14:solidFill>
                    <w14:schemeClr w14:val="tx1"/>
                  </w14:solidFill>
                </w14:textFill>
              </w:rPr>
              <w:t>处、国家森林公园</w:t>
            </w:r>
            <w:r>
              <w:rPr>
                <w:rFonts w:eastAsia="Times New Roman"/>
                <w:color w:val="000000" w:themeColor="text1"/>
                <w14:textFill>
                  <w14:solidFill>
                    <w14:schemeClr w14:val="tx1"/>
                  </w14:solidFill>
                </w14:textFill>
              </w:rPr>
              <w:t>7</w:t>
            </w:r>
            <w:r>
              <w:rPr>
                <w:color w:val="000000" w:themeColor="text1"/>
                <w:spacing w:val="-3"/>
                <w14:textFill>
                  <w14:solidFill>
                    <w14:schemeClr w14:val="tx1"/>
                  </w14:solidFill>
                </w14:textFill>
              </w:rPr>
              <w:t>处、国家地质</w:t>
            </w:r>
            <w:r>
              <w:rPr>
                <w:color w:val="000000" w:themeColor="text1"/>
                <w:spacing w:val="-17"/>
                <w14:textFill>
                  <w14:solidFill>
                    <w14:schemeClr w14:val="tx1"/>
                  </w14:solidFill>
                </w14:textFill>
              </w:rPr>
              <w:t>公园</w:t>
            </w:r>
            <w:r>
              <w:rPr>
                <w:rFonts w:eastAsia="Times New Roman"/>
                <w:color w:val="000000" w:themeColor="text1"/>
                <w14:textFill>
                  <w14:solidFill>
                    <w14:schemeClr w14:val="tx1"/>
                  </w14:solidFill>
                </w14:textFill>
              </w:rPr>
              <w:t>5</w:t>
            </w:r>
            <w:r>
              <w:rPr>
                <w:color w:val="000000" w:themeColor="text1"/>
                <w:spacing w:val="-2"/>
                <w14:textFill>
                  <w14:solidFill>
                    <w14:schemeClr w14:val="tx1"/>
                  </w14:solidFill>
                </w14:textFill>
              </w:rPr>
              <w:t>处，国家层面禁止开发区域共</w:t>
            </w:r>
            <w:r>
              <w:rPr>
                <w:rFonts w:eastAsia="Times New Roman"/>
                <w:color w:val="000000" w:themeColor="text1"/>
                <w14:textFill>
                  <w14:solidFill>
                    <w14:schemeClr w14:val="tx1"/>
                  </w14:solidFill>
                </w14:textFill>
              </w:rPr>
              <w:t>20</w:t>
            </w:r>
            <w:r>
              <w:rPr>
                <w:color w:val="000000" w:themeColor="text1"/>
                <w:spacing w:val="-9"/>
                <w14:textFill>
                  <w14:solidFill>
                    <w14:schemeClr w14:val="tx1"/>
                  </w14:solidFill>
                </w14:textFill>
              </w:rPr>
              <w:t>处，面积为</w:t>
            </w:r>
            <w:r>
              <w:rPr>
                <w:rFonts w:eastAsia="Times New Roman"/>
                <w:color w:val="000000" w:themeColor="text1"/>
                <w14:textFill>
                  <w14:solidFill>
                    <w14:schemeClr w14:val="tx1"/>
                  </w14:solidFill>
                </w14:textFill>
              </w:rPr>
              <w:t>221106.47km</w:t>
            </w:r>
            <w:r>
              <w:rPr>
                <w:rFonts w:eastAsia="Times New Roman"/>
                <w:color w:val="000000" w:themeColor="text1"/>
                <w:vertAlign w:val="superscript"/>
                <w14:textFill>
                  <w14:solidFill>
                    <w14:schemeClr w14:val="tx1"/>
                  </w14:solidFill>
                </w14:textFill>
              </w:rPr>
              <w:t>2</w:t>
            </w:r>
            <w:r>
              <w:rPr>
                <w:color w:val="000000" w:themeColor="text1"/>
                <w:spacing w:val="-2"/>
                <w14:textFill>
                  <w14:solidFill>
                    <w14:schemeClr w14:val="tx1"/>
                  </w14:solidFill>
                </w14:textFill>
              </w:rPr>
              <w:t>。省级层面禁止开发</w:t>
            </w:r>
            <w:r>
              <w:rPr>
                <w:color w:val="000000" w:themeColor="text1"/>
                <w14:textFill>
                  <w14:solidFill>
                    <w14:schemeClr w14:val="tx1"/>
                  </w14:solidFill>
                </w14:textFill>
              </w:rPr>
              <w:t>区域</w:t>
            </w:r>
            <w:r>
              <w:rPr>
                <w:rFonts w:eastAsia="Times New Roman"/>
                <w:color w:val="000000" w:themeColor="text1"/>
                <w14:textFill>
                  <w14:solidFill>
                    <w14:schemeClr w14:val="tx1"/>
                  </w14:solidFill>
                </w14:textFill>
              </w:rPr>
              <w:t>——</w:t>
            </w:r>
            <w:r>
              <w:rPr>
                <w:color w:val="000000" w:themeColor="text1"/>
                <w:spacing w:val="-8"/>
                <w14:textFill>
                  <w14:solidFill>
                    <w14:schemeClr w14:val="tx1"/>
                  </w14:solidFill>
                </w14:textFill>
              </w:rPr>
              <w:t>省级自然保护区</w:t>
            </w:r>
            <w:r>
              <w:rPr>
                <w:rFonts w:eastAsia="Times New Roman"/>
                <w:color w:val="000000" w:themeColor="text1"/>
                <w14:textFill>
                  <w14:solidFill>
                    <w14:schemeClr w14:val="tx1"/>
                  </w14:solidFill>
                </w14:textFill>
              </w:rPr>
              <w:t>4</w:t>
            </w:r>
            <w:r>
              <w:rPr>
                <w:color w:val="000000" w:themeColor="text1"/>
                <w:spacing w:val="-13"/>
                <w14:textFill>
                  <w14:solidFill>
                    <w14:schemeClr w14:val="tx1"/>
                  </w14:solidFill>
                </w14:textFill>
              </w:rPr>
              <w:t>处、省级风景名胜区</w:t>
            </w:r>
            <w:r>
              <w:rPr>
                <w:rFonts w:eastAsia="Times New Roman"/>
                <w:color w:val="000000" w:themeColor="text1"/>
                <w14:textFill>
                  <w14:solidFill>
                    <w14:schemeClr w14:val="tx1"/>
                  </w14:solidFill>
                </w14:textFill>
              </w:rPr>
              <w:t>14</w:t>
            </w:r>
            <w:r>
              <w:rPr>
                <w:color w:val="000000" w:themeColor="text1"/>
                <w:spacing w:val="-13"/>
                <w14:textFill>
                  <w14:solidFill>
                    <w14:schemeClr w14:val="tx1"/>
                  </w14:solidFill>
                </w14:textFill>
              </w:rPr>
              <w:t>处、省级森林公园</w:t>
            </w:r>
            <w:r>
              <w:rPr>
                <w:rFonts w:eastAsia="Times New Roman"/>
                <w:color w:val="000000" w:themeColor="text1"/>
                <w14:textFill>
                  <w14:solidFill>
                    <w14:schemeClr w14:val="tx1"/>
                  </w14:solidFill>
                </w14:textFill>
              </w:rPr>
              <w:t>1</w:t>
            </w:r>
            <w:r>
              <w:rPr>
                <w:color w:val="000000" w:themeColor="text1"/>
                <w:spacing w:val="-7"/>
                <w14:textFill>
                  <w14:solidFill>
                    <w14:schemeClr w14:val="tx1"/>
                  </w14:solidFill>
                </w14:textFill>
              </w:rPr>
              <w:t>处、省级地质公</w:t>
            </w:r>
            <w:r>
              <w:rPr>
                <w:color w:val="000000" w:themeColor="text1"/>
                <w:spacing w:val="-27"/>
                <w14:textFill>
                  <w14:solidFill>
                    <w14:schemeClr w14:val="tx1"/>
                  </w14:solidFill>
                </w14:textFill>
              </w:rPr>
              <w:t>园</w:t>
            </w:r>
            <w:r>
              <w:rPr>
                <w:rFonts w:eastAsia="Times New Roman"/>
                <w:color w:val="000000" w:themeColor="text1"/>
                <w14:textFill>
                  <w14:solidFill>
                    <w14:schemeClr w14:val="tx1"/>
                  </w14:solidFill>
                </w14:textFill>
              </w:rPr>
              <w:t>1</w:t>
            </w:r>
            <w:r>
              <w:rPr>
                <w:color w:val="000000" w:themeColor="text1"/>
                <w:spacing w:val="-6"/>
                <w14:textFill>
                  <w14:solidFill>
                    <w14:schemeClr w14:val="tx1"/>
                  </w14:solidFill>
                </w14:textFill>
              </w:rPr>
              <w:t>处、国家湿地公园</w:t>
            </w:r>
            <w:r>
              <w:rPr>
                <w:rFonts w:eastAsia="Times New Roman"/>
                <w:color w:val="000000" w:themeColor="text1"/>
                <w14:textFill>
                  <w14:solidFill>
                    <w14:schemeClr w14:val="tx1"/>
                  </w14:solidFill>
                </w14:textFill>
              </w:rPr>
              <w:t>1</w:t>
            </w:r>
            <w:r>
              <w:rPr>
                <w:color w:val="000000" w:themeColor="text1"/>
                <w:spacing w:val="-6"/>
                <w14:textFill>
                  <w14:solidFill>
                    <w14:schemeClr w14:val="tx1"/>
                  </w14:solidFill>
                </w14:textFill>
              </w:rPr>
              <w:t>处、国际重要湿地</w:t>
            </w:r>
            <w:r>
              <w:rPr>
                <w:rFonts w:eastAsia="Times New Roman"/>
                <w:color w:val="000000" w:themeColor="text1"/>
                <w14:textFill>
                  <w14:solidFill>
                    <w14:schemeClr w14:val="tx1"/>
                  </w14:solidFill>
                </w14:textFill>
              </w:rPr>
              <w:t>3</w:t>
            </w:r>
            <w:r>
              <w:rPr>
                <w:color w:val="000000" w:themeColor="text1"/>
                <w:spacing w:val="-6"/>
                <w14:textFill>
                  <w14:solidFill>
                    <w14:schemeClr w14:val="tx1"/>
                  </w14:solidFill>
                </w14:textFill>
              </w:rPr>
              <w:t>处、国家重要湿地</w:t>
            </w:r>
            <w:r>
              <w:rPr>
                <w:rFonts w:eastAsia="Times New Roman"/>
                <w:color w:val="000000" w:themeColor="text1"/>
                <w14:textFill>
                  <w14:solidFill>
                    <w14:schemeClr w14:val="tx1"/>
                  </w14:solidFill>
                </w14:textFill>
              </w:rPr>
              <w:t>15</w:t>
            </w:r>
            <w:r>
              <w:rPr>
                <w:color w:val="000000" w:themeColor="text1"/>
                <w:spacing w:val="-7"/>
                <w14:textFill>
                  <w14:solidFill>
                    <w14:schemeClr w14:val="tx1"/>
                  </w14:solidFill>
                </w14:textFill>
              </w:rPr>
              <w:t>处、水源保护地</w:t>
            </w:r>
            <w:r>
              <w:rPr>
                <w:rFonts w:eastAsia="Times New Roman"/>
                <w:color w:val="000000" w:themeColor="text1"/>
                <w:spacing w:val="-3"/>
                <w14:textFill>
                  <w14:solidFill>
                    <w14:schemeClr w14:val="tx1"/>
                  </w14:solidFill>
                </w14:textFill>
              </w:rPr>
              <w:t>53</w:t>
            </w:r>
            <w:r>
              <w:rPr>
                <w:color w:val="000000" w:themeColor="text1"/>
                <w14:textFill>
                  <w14:solidFill>
                    <w14:schemeClr w14:val="tx1"/>
                  </w14:solidFill>
                </w14:textFill>
              </w:rPr>
              <w:t>处、文物保护单位</w:t>
            </w:r>
            <w:r>
              <w:rPr>
                <w:rFonts w:eastAsia="Times New Roman"/>
                <w:color w:val="000000" w:themeColor="text1"/>
                <w14:textFill>
                  <w14:solidFill>
                    <w14:schemeClr w14:val="tx1"/>
                  </w14:solidFill>
                </w14:textFill>
              </w:rPr>
              <w:t>333</w:t>
            </w:r>
            <w:r>
              <w:rPr>
                <w:color w:val="000000" w:themeColor="text1"/>
                <w14:textFill>
                  <w14:solidFill>
                    <w14:schemeClr w14:val="tx1"/>
                  </w14:solidFill>
                </w14:textFill>
              </w:rPr>
              <w:t>处，省级层面禁止开发区域共</w:t>
            </w:r>
            <w:r>
              <w:rPr>
                <w:rFonts w:eastAsia="Times New Roman"/>
                <w:color w:val="000000" w:themeColor="text1"/>
                <w14:textFill>
                  <w14:solidFill>
                    <w14:schemeClr w14:val="tx1"/>
                  </w14:solidFill>
                </w14:textFill>
              </w:rPr>
              <w:t>437</w:t>
            </w:r>
            <w:r>
              <w:rPr>
                <w:color w:val="000000" w:themeColor="text1"/>
                <w14:textFill>
                  <w14:solidFill>
                    <w14:schemeClr w14:val="tx1"/>
                  </w14:solidFill>
                </w14:textFill>
              </w:rPr>
              <w:t>处，面积为</w:t>
            </w:r>
            <w:r>
              <w:rPr>
                <w:rFonts w:eastAsia="Times New Roman"/>
                <w:color w:val="000000" w:themeColor="text1"/>
                <w14:textFill>
                  <w14:solidFill>
                    <w14:schemeClr w14:val="tx1"/>
                  </w14:solidFill>
                </w14:textFill>
              </w:rPr>
              <w:t>38058.56km</w:t>
            </w:r>
            <w:r>
              <w:rPr>
                <w:rFonts w:eastAsia="Times New Roman"/>
                <w:color w:val="000000" w:themeColor="text1"/>
                <w:vertAlign w:val="superscript"/>
                <w14:textFill>
                  <w14:solidFill>
                    <w14:schemeClr w14:val="tx1"/>
                  </w14:solidFill>
                </w14:textFill>
              </w:rPr>
              <w:t>2</w:t>
            </w:r>
            <w:r>
              <w:rPr>
                <w:color w:val="000000" w:themeColor="text1"/>
                <w14:textFill>
                  <w14:solidFill>
                    <w14:schemeClr w14:val="tx1"/>
                  </w14:solidFill>
                </w14:textFill>
              </w:rPr>
              <w:t>。</w:t>
            </w:r>
          </w:p>
          <w:p>
            <w:pPr>
              <w:pStyle w:val="18"/>
              <w:spacing w:before="40" w:line="360" w:lineRule="auto"/>
              <w:ind w:right="79" w:firstLine="480" w:firstLineChars="200"/>
              <w:rPr>
                <w:rFonts w:eastAsia="Times New Roman"/>
                <w:color w:val="000000" w:themeColor="text1"/>
                <w14:textFill>
                  <w14:solidFill>
                    <w14:schemeClr w14:val="tx1"/>
                  </w14:solidFill>
                </w14:textFill>
              </w:rPr>
            </w:pPr>
            <w:r>
              <w:rPr>
                <w:rFonts w:hint="eastAsia" w:eastAsia="Times New Roman"/>
                <w:color w:val="000000" w:themeColor="text1"/>
                <w14:textFill>
                  <w14:solidFill>
                    <w14:schemeClr w14:val="tx1"/>
                  </w14:solidFill>
                </w14:textFill>
              </w:rPr>
              <w:t>根据《新疆维吾尔自治区主体功能区规划》中规定</w:t>
            </w:r>
            <w:r>
              <w:rPr>
                <w:rFonts w:eastAsia="Times New Roman"/>
                <w:color w:val="000000" w:themeColor="text1"/>
                <w14:textFill>
                  <w14:solidFill>
                    <w14:schemeClr w14:val="tx1"/>
                  </w14:solidFill>
                </w14:textFill>
              </w:rPr>
              <w:t>“</w:t>
            </w:r>
            <w:r>
              <w:rPr>
                <w:rFonts w:hint="eastAsia" w:eastAsia="Times New Roman"/>
                <w:color w:val="000000" w:themeColor="text1"/>
                <w14:textFill>
                  <w14:solidFill>
                    <w14:schemeClr w14:val="tx1"/>
                  </w14:solidFill>
                </w14:textFill>
              </w:rPr>
              <w:t>新疆禁止开发区域包括：国家层面禁止开发区域</w:t>
            </w:r>
            <w:r>
              <w:rPr>
                <w:rFonts w:eastAsia="Times New Roman"/>
                <w:color w:val="000000" w:themeColor="text1"/>
                <w14:textFill>
                  <w14:solidFill>
                    <w14:schemeClr w14:val="tx1"/>
                  </w14:solidFill>
                </w14:textFill>
              </w:rPr>
              <w:t>——</w:t>
            </w:r>
            <w:r>
              <w:rPr>
                <w:rFonts w:hint="eastAsia" w:eastAsia="Times New Roman"/>
                <w:color w:val="000000" w:themeColor="text1"/>
                <w14:textFill>
                  <w14:solidFill>
                    <w14:schemeClr w14:val="tx1"/>
                  </w14:solidFill>
                </w14:textFill>
              </w:rPr>
              <w:t>国家级自然保护区、世界文化自然遗产、国家级风景名胜区、国家森林公园和国家地质公园。新疆国家层面禁止开发区域共</w:t>
            </w:r>
            <w:r>
              <w:rPr>
                <w:rFonts w:eastAsia="Times New Roman"/>
                <w:color w:val="000000" w:themeColor="text1"/>
                <w14:textFill>
                  <w14:solidFill>
                    <w14:schemeClr w14:val="tx1"/>
                  </w14:solidFill>
                </w14:textFill>
              </w:rPr>
              <w:t>44</w:t>
            </w:r>
            <w:r>
              <w:rPr>
                <w:rFonts w:hint="eastAsia" w:eastAsia="Times New Roman"/>
                <w:color w:val="000000" w:themeColor="text1"/>
                <w14:textFill>
                  <w14:solidFill>
                    <w14:schemeClr w14:val="tx1"/>
                  </w14:solidFill>
                </w14:textFill>
              </w:rPr>
              <w:t>处，面积为</w:t>
            </w:r>
            <w:r>
              <w:rPr>
                <w:rFonts w:eastAsia="Times New Roman"/>
                <w:color w:val="000000" w:themeColor="text1"/>
                <w14:textFill>
                  <w14:solidFill>
                    <w14:schemeClr w14:val="tx1"/>
                  </w14:solidFill>
                </w14:textFill>
              </w:rPr>
              <w:t>138902.9</w:t>
            </w:r>
            <w:r>
              <w:rPr>
                <w:rFonts w:hint="eastAsia" w:eastAsia="Times New Roman"/>
                <w:color w:val="000000" w:themeColor="text1"/>
                <w14:textFill>
                  <w14:solidFill>
                    <w14:schemeClr w14:val="tx1"/>
                  </w14:solidFill>
                </w14:textFill>
              </w:rPr>
              <w:t>km</w:t>
            </w:r>
            <w:r>
              <w:rPr>
                <w:rFonts w:hint="eastAsia" w:eastAsia="Times New Roman"/>
                <w:color w:val="000000" w:themeColor="text1"/>
                <w:vertAlign w:val="superscript"/>
                <w14:textFill>
                  <w14:solidFill>
                    <w14:schemeClr w14:val="tx1"/>
                  </w14:solidFill>
                </w14:textFill>
              </w:rPr>
              <w:t>2</w:t>
            </w:r>
            <w:r>
              <w:rPr>
                <w:rFonts w:hint="eastAsia" w:eastAsia="Times New Roman"/>
                <w:color w:val="000000" w:themeColor="text1"/>
                <w14:textFill>
                  <w14:solidFill>
                    <w14:schemeClr w14:val="tx1"/>
                  </w14:solidFill>
                </w14:textFill>
              </w:rPr>
              <w:t>，占全区面积的</w:t>
            </w:r>
            <w:r>
              <w:rPr>
                <w:rFonts w:eastAsia="Times New Roman"/>
                <w:color w:val="000000" w:themeColor="text1"/>
                <w14:textFill>
                  <w14:solidFill>
                    <w14:schemeClr w14:val="tx1"/>
                  </w14:solidFill>
                </w14:textFill>
              </w:rPr>
              <w:t>8.34%</w:t>
            </w:r>
            <w:r>
              <w:rPr>
                <w:rFonts w:hint="eastAsia" w:eastAsia="Times New Roman"/>
                <w:color w:val="000000" w:themeColor="text1"/>
                <w14:textFill>
                  <w14:solidFill>
                    <w14:schemeClr w14:val="tx1"/>
                  </w14:solidFill>
                </w14:textFill>
              </w:rPr>
              <w:t>。自治区层面禁止开发区域</w:t>
            </w:r>
            <w:r>
              <w:rPr>
                <w:rFonts w:eastAsia="Times New Roman"/>
                <w:color w:val="000000" w:themeColor="text1"/>
                <w14:textFill>
                  <w14:solidFill>
                    <w14:schemeClr w14:val="tx1"/>
                  </w14:solidFill>
                </w14:textFill>
              </w:rPr>
              <w:t>——</w:t>
            </w:r>
            <w:r>
              <w:rPr>
                <w:rFonts w:hint="eastAsia" w:eastAsia="Times New Roman"/>
                <w:color w:val="000000" w:themeColor="text1"/>
                <w14:textFill>
                  <w14:solidFill>
                    <w14:schemeClr w14:val="tx1"/>
                  </w14:solidFill>
                </w14:textFill>
              </w:rPr>
              <w:t>自治区级及以下各级各类自然文化资源保护区域、重要水源地、重要湿地、</w:t>
            </w:r>
            <w:r>
              <w:rPr>
                <w:rFonts w:eastAsia="Times New Roman"/>
                <w:color w:val="000000" w:themeColor="text1"/>
                <w14:textFill>
                  <w14:solidFill>
                    <w14:schemeClr w14:val="tx1"/>
                  </w14:solidFill>
                </w14:textFill>
              </w:rPr>
              <w:t>—49—</w:t>
            </w:r>
            <w:r>
              <w:rPr>
                <w:rFonts w:hint="eastAsia" w:eastAsia="Times New Roman"/>
                <w:color w:val="000000" w:themeColor="text1"/>
                <w14:textFill>
                  <w14:solidFill>
                    <w14:schemeClr w14:val="tx1"/>
                  </w14:solidFill>
                </w14:textFill>
              </w:rPr>
              <w:t>湿地公园、水产种质资源保护区及其他自治区人民政府根据需要确定的禁止开发区域。新疆自治区级禁止开发区共</w:t>
            </w:r>
            <w:r>
              <w:rPr>
                <w:rFonts w:eastAsia="Times New Roman"/>
                <w:color w:val="000000" w:themeColor="text1"/>
                <w14:textFill>
                  <w14:solidFill>
                    <w14:schemeClr w14:val="tx1"/>
                  </w14:solidFill>
                </w14:textFill>
              </w:rPr>
              <w:t>63</w:t>
            </w:r>
            <w:r>
              <w:rPr>
                <w:rFonts w:hint="eastAsia" w:eastAsia="Times New Roman"/>
                <w:color w:val="000000" w:themeColor="text1"/>
                <w14:textFill>
                  <w14:solidFill>
                    <w14:schemeClr w14:val="tx1"/>
                  </w14:solidFill>
                </w14:textFill>
              </w:rPr>
              <w:t>处，总面积为</w:t>
            </w:r>
            <w:r>
              <w:rPr>
                <w:rFonts w:eastAsia="Times New Roman"/>
                <w:color w:val="000000" w:themeColor="text1"/>
                <w14:textFill>
                  <w14:solidFill>
                    <w14:schemeClr w14:val="tx1"/>
                  </w14:solidFill>
                </w14:textFill>
              </w:rPr>
              <w:t>94789.47</w:t>
            </w:r>
            <w:r>
              <w:rPr>
                <w:rFonts w:hint="eastAsia" w:eastAsia="Times New Roman"/>
                <w:color w:val="000000" w:themeColor="text1"/>
                <w14:textFill>
                  <w14:solidFill>
                    <w14:schemeClr w14:val="tx1"/>
                  </w14:solidFill>
                </w14:textFill>
              </w:rPr>
              <w:t>km</w:t>
            </w:r>
            <w:r>
              <w:rPr>
                <w:rFonts w:hint="eastAsia" w:eastAsia="Times New Roman"/>
                <w:color w:val="000000" w:themeColor="text1"/>
                <w:vertAlign w:val="superscript"/>
                <w14:textFill>
                  <w14:solidFill>
                    <w14:schemeClr w14:val="tx1"/>
                  </w14:solidFill>
                </w14:textFill>
              </w:rPr>
              <w:t>2</w:t>
            </w:r>
            <w:r>
              <w:rPr>
                <w:rFonts w:hint="eastAsia" w:eastAsia="Times New Roman"/>
                <w:color w:val="000000" w:themeColor="text1"/>
                <w14:textFill>
                  <w14:solidFill>
                    <w14:schemeClr w14:val="tx1"/>
                  </w14:solidFill>
                </w14:textFill>
              </w:rPr>
              <w:t>，占全区总面积的</w:t>
            </w:r>
            <w:r>
              <w:rPr>
                <w:rFonts w:eastAsia="Times New Roman"/>
                <w:color w:val="000000" w:themeColor="text1"/>
                <w14:textFill>
                  <w14:solidFill>
                    <w14:schemeClr w14:val="tx1"/>
                  </w14:solidFill>
                </w14:textFill>
              </w:rPr>
              <w:t>5.69%”</w:t>
            </w:r>
            <w:r>
              <w:rPr>
                <w:rFonts w:hint="eastAsia" w:eastAsia="Times New Roman"/>
                <w:color w:val="000000" w:themeColor="text1"/>
                <w14:textFill>
                  <w14:solidFill>
                    <w14:schemeClr w14:val="tx1"/>
                  </w14:solidFill>
                </w14:textFill>
              </w:rPr>
              <w:t>。</w:t>
            </w:r>
          </w:p>
          <w:p>
            <w:pPr>
              <w:pStyle w:val="18"/>
              <w:spacing w:before="40" w:line="360" w:lineRule="auto"/>
              <w:ind w:right="79" w:firstLine="480" w:firstLineChars="200"/>
              <w:rPr>
                <w:rFonts w:eastAsia="Times New Roman"/>
                <w:color w:val="000000" w:themeColor="text1"/>
                <w14:textFill>
                  <w14:solidFill>
                    <w14:schemeClr w14:val="tx1"/>
                  </w14:solidFill>
                </w14:textFill>
              </w:rPr>
            </w:pPr>
            <w:r>
              <w:rPr>
                <w:rFonts w:hint="eastAsia" w:eastAsia="Times New Roman"/>
                <w:color w:val="000000" w:themeColor="text1"/>
                <w14:textFill>
                  <w14:solidFill>
                    <w14:schemeClr w14:val="tx1"/>
                  </w14:solidFill>
                </w14:textFill>
              </w:rPr>
              <w:t>根据《青海省主体功能区规划》中规定“青海省禁止开发区域包括：国家级和省级自然保护区、世界文化自然遗产、风景名胜区、森林公园、地质公园、湿地公园共计191处，其中国家级47处，省级144处。禁止开发区域面积为75843.34km</w:t>
            </w:r>
            <w:r>
              <w:rPr>
                <w:rFonts w:hint="eastAsia" w:eastAsia="Times New Roman"/>
                <w:color w:val="000000" w:themeColor="text1"/>
                <w:vertAlign w:val="superscript"/>
                <w14:textFill>
                  <w14:solidFill>
                    <w14:schemeClr w14:val="tx1"/>
                  </w14:solidFill>
                </w14:textFill>
              </w:rPr>
              <w:t>2</w:t>
            </w:r>
            <w:r>
              <w:rPr>
                <w:rFonts w:hint="eastAsia" w:eastAsia="Times New Roman"/>
                <w:color w:val="000000" w:themeColor="text1"/>
                <w14:textFill>
                  <w14:solidFill>
                    <w14:schemeClr w14:val="tx1"/>
                  </w14:solidFill>
                </w14:textFill>
              </w:rPr>
              <w:t>，占全省总面积的17.81%。”</w:t>
            </w:r>
          </w:p>
          <w:p>
            <w:pPr>
              <w:pStyle w:val="18"/>
              <w:spacing w:before="40" w:line="360" w:lineRule="auto"/>
              <w:ind w:left="108" w:right="79" w:firstLine="482"/>
              <w:rPr>
                <w:b/>
                <w:bCs/>
                <w:color w:val="000000" w:themeColor="text1"/>
                <w14:textFill>
                  <w14:solidFill>
                    <w14:schemeClr w14:val="tx1"/>
                  </w14:solidFill>
                </w14:textFill>
              </w:rPr>
            </w:pPr>
            <w:r>
              <w:rPr>
                <w:rFonts w:hint="eastAsia"/>
                <w:b/>
                <w:bCs/>
                <w:color w:val="000000" w:themeColor="text1"/>
                <w:lang w:val="en-US" w:eastAsia="zh-CN"/>
                <w14:textFill>
                  <w14:solidFill>
                    <w14:schemeClr w14:val="tx1"/>
                  </w14:solidFill>
                </w14:textFill>
              </w:rPr>
              <w:t>2、</w:t>
            </w:r>
            <w:r>
              <w:rPr>
                <w:rFonts w:hint="eastAsia"/>
                <w:b/>
                <w:bCs/>
                <w:color w:val="000000" w:themeColor="text1"/>
                <w14:textFill>
                  <w14:solidFill>
                    <w14:schemeClr w14:val="tx1"/>
                  </w14:solidFill>
                </w14:textFill>
              </w:rPr>
              <w:t>避让措施</w:t>
            </w:r>
          </w:p>
          <w:p>
            <w:pPr>
              <w:spacing w:line="360" w:lineRule="auto"/>
              <w:ind w:firstLine="480" w:firstLineChars="200"/>
              <w:rPr>
                <w:rFonts w:hint="eastAsia"/>
                <w:bCs/>
                <w:color w:val="000000" w:themeColor="text1"/>
                <w:sz w:val="24"/>
                <w14:textFill>
                  <w14:solidFill>
                    <w14:schemeClr w14:val="tx1"/>
                  </w14:solidFill>
                </w14:textFill>
              </w:rPr>
            </w:pPr>
            <w:r>
              <w:rPr>
                <w:rFonts w:hint="eastAsia"/>
                <w:color w:val="000000" w:themeColor="text1"/>
                <w:kern w:val="2"/>
                <w:sz w:val="24"/>
                <w:szCs w:val="24"/>
                <w:lang w:eastAsia="zh-CN" w:bidi="ar-SA"/>
                <w14:textFill>
                  <w14:solidFill>
                    <w14:schemeClr w14:val="tx1"/>
                  </w14:solidFill>
                </w14:textFill>
              </w:rPr>
              <w:t>因铀矿地质勘查过程中，钻孔位置在勘查区内一般按照“边施工、边研究、边调整”的原则布置，具有不确定性。因此，评价针对拟设钻孔等工程选址提出以下原则性要求：</w:t>
            </w:r>
          </w:p>
          <w:p>
            <w:pPr>
              <w:spacing w:line="360" w:lineRule="auto"/>
              <w:ind w:firstLine="480" w:firstLineChars="200"/>
              <w:jc w:val="both"/>
              <w:rPr>
                <w:rFonts w:hint="eastAsia"/>
                <w:color w:val="000000" w:themeColor="text1"/>
                <w:kern w:val="2"/>
                <w:sz w:val="24"/>
                <w:szCs w:val="24"/>
                <w:lang w:eastAsia="zh-CN" w:bidi="ar-SA"/>
                <w14:textFill>
                  <w14:solidFill>
                    <w14:schemeClr w14:val="tx1"/>
                  </w14:solidFill>
                </w14:textFill>
              </w:rPr>
            </w:pPr>
            <w:r>
              <w:rPr>
                <w:rFonts w:hint="eastAsia"/>
                <w:bCs/>
                <w:color w:val="000000" w:themeColor="text1"/>
                <w:sz w:val="24"/>
                <w:lang w:val="en-US" w:eastAsia="zh-CN"/>
                <w14:textFill>
                  <w14:solidFill>
                    <w14:schemeClr w14:val="tx1"/>
                  </w14:solidFill>
                </w14:textFill>
              </w:rPr>
              <w:t>①经调查，勘查区内分布</w:t>
            </w:r>
            <w:r>
              <w:rPr>
                <w:rFonts w:hint="eastAsia"/>
                <w:bCs/>
                <w:color w:val="000000" w:themeColor="text1"/>
                <w:sz w:val="24"/>
                <w14:textFill>
                  <w14:solidFill>
                    <w14:schemeClr w14:val="tx1"/>
                  </w14:solidFill>
                </w14:textFill>
              </w:rPr>
              <w:t>有5个省级自然保护区（青海格尔木胡杨林自然保护区、青海省诺木洪自然保护区、克鲁克湖-托素湖自然保护区、大苏干湖自然保护区和小苏干湖自然保护区）、1个国家级自然保护区（青海柴达木梭梭林自然保护区）、1个省级风景名胜区（柴达木魔鬼城风景名胜区）、1个省级森林公园（青海德令哈柏树山省级森林公园）、1个省级地质公园（青海德令哈柏树山省级地质公园）、4个水源保护地（阿拉尔水源保护地、冷湖水源保护地、大柴旦水源保护地和巴音河水源保护地）</w:t>
            </w:r>
            <w:r>
              <w:rPr>
                <w:rFonts w:hint="eastAsia"/>
                <w:bCs/>
                <w:color w:val="000000" w:themeColor="text1"/>
                <w:sz w:val="24"/>
                <w:lang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建议调整的钻孔、临时道路修建等工程对上述环境敏感区进行避让。</w:t>
            </w:r>
          </w:p>
          <w:p>
            <w:pPr>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因2023-2026年钻孔位置尚未确定，为贯彻落实国家、地方生态保护的各项规定，最大限度减小项目生态环境的影响，2023-2026年钻孔选址应对上述敏感区及生态红线进行避让，钻孔位置明确后及时向审批部门及属地监管部门进行报备。</w:t>
            </w:r>
          </w:p>
          <w:p>
            <w:pPr>
              <w:spacing w:line="360" w:lineRule="auto"/>
              <w:ind w:firstLine="480" w:firstLineChars="200"/>
              <w:jc w:val="both"/>
              <w:rPr>
                <w:rFonts w:hint="eastAsia"/>
                <w:color w:val="000000" w:themeColor="text1"/>
                <w:kern w:val="2"/>
                <w:sz w:val="24"/>
                <w:szCs w:val="24"/>
                <w:lang w:eastAsia="zh-CN" w:bidi="ar-SA"/>
                <w14:textFill>
                  <w14:solidFill>
                    <w14:schemeClr w14:val="tx1"/>
                  </w14:solidFill>
                </w14:textFill>
              </w:rPr>
            </w:pPr>
            <w:r>
              <w:rPr>
                <w:rFonts w:hint="eastAsia"/>
                <w:color w:val="000000" w:themeColor="text1"/>
                <w:kern w:val="2"/>
                <w:sz w:val="24"/>
                <w:szCs w:val="24"/>
                <w:lang w:eastAsia="zh-CN" w:bidi="ar-SA"/>
                <w14:textFill>
                  <w14:solidFill>
                    <w14:schemeClr w14:val="tx1"/>
                  </w14:solidFill>
                </w14:textFill>
              </w:rPr>
              <w:fldChar w:fldCharType="begin"/>
            </w:r>
            <w:r>
              <w:rPr>
                <w:rFonts w:hint="eastAsia"/>
                <w:color w:val="000000" w:themeColor="text1"/>
                <w:kern w:val="2"/>
                <w:sz w:val="24"/>
                <w:szCs w:val="24"/>
                <w:lang w:eastAsia="zh-CN" w:bidi="ar-SA"/>
                <w14:textFill>
                  <w14:solidFill>
                    <w14:schemeClr w14:val="tx1"/>
                  </w14:solidFill>
                </w14:textFill>
              </w:rPr>
              <w:instrText xml:space="preserve"> = 2 \* GB3 \* MERGEFORMAT </w:instrText>
            </w:r>
            <w:r>
              <w:rPr>
                <w:rFonts w:hint="eastAsia"/>
                <w:color w:val="000000" w:themeColor="text1"/>
                <w:kern w:val="2"/>
                <w:sz w:val="24"/>
                <w:szCs w:val="24"/>
                <w:lang w:eastAsia="zh-CN" w:bidi="ar-SA"/>
                <w14:textFill>
                  <w14:solidFill>
                    <w14:schemeClr w14:val="tx1"/>
                  </w14:solidFill>
                </w14:textFill>
              </w:rPr>
              <w:fldChar w:fldCharType="separate"/>
            </w:r>
            <w:r>
              <w:rPr>
                <w:color w:val="000000" w:themeColor="text1"/>
                <w:lang w:eastAsia="zh-CN"/>
                <w14:textFill>
                  <w14:solidFill>
                    <w14:schemeClr w14:val="tx1"/>
                  </w14:solidFill>
                </w14:textFill>
              </w:rPr>
              <w:t>②</w:t>
            </w:r>
            <w:r>
              <w:rPr>
                <w:rFonts w:hint="eastAsia"/>
                <w:color w:val="000000" w:themeColor="text1"/>
                <w:kern w:val="2"/>
                <w:sz w:val="24"/>
                <w:szCs w:val="24"/>
                <w:lang w:eastAsia="zh-CN" w:bidi="ar-SA"/>
                <w14:textFill>
                  <w14:solidFill>
                    <w14:schemeClr w14:val="tx1"/>
                  </w14:solidFill>
                </w14:textFill>
              </w:rPr>
              <w:fldChar w:fldCharType="end"/>
            </w:r>
            <w:r>
              <w:rPr>
                <w:rFonts w:hint="eastAsia"/>
                <w:color w:val="000000" w:themeColor="text1"/>
                <w:kern w:val="2"/>
                <w:sz w:val="24"/>
                <w:szCs w:val="24"/>
                <w:lang w:eastAsia="zh-CN" w:bidi="ar-SA"/>
                <w14:textFill>
                  <w14:solidFill>
                    <w14:schemeClr w14:val="tx1"/>
                  </w14:solidFill>
                </w14:textFill>
              </w:rPr>
              <w:t>拟设钻孔、临时道路修建等还应对勘查区内基本农田保护区、城乡规划区等保护目标进行避让，建议钻孔与周边村庄集中居住区距离不小于250m；</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③对</w:t>
            </w:r>
            <w:r>
              <w:rPr>
                <w:rFonts w:hint="eastAsia"/>
                <w:color w:val="000000" w:themeColor="text1"/>
                <w:sz w:val="24"/>
                <w:lang w:val="en-US" w:eastAsia="zh-CN"/>
                <w14:textFill>
                  <w14:solidFill>
                    <w14:schemeClr w14:val="tx1"/>
                  </w14:solidFill>
                </w14:textFill>
              </w:rPr>
              <w:t>青海省、甘肃省及</w:t>
            </w:r>
            <w:r>
              <w:rPr>
                <w:rFonts w:hint="eastAsia"/>
                <w:bCs/>
                <w:color w:val="000000" w:themeColor="text1"/>
                <w:sz w:val="24"/>
                <w14:textFill>
                  <w14:solidFill>
                    <w14:schemeClr w14:val="tx1"/>
                  </w14:solidFill>
                </w14:textFill>
              </w:rPr>
              <w:t>新疆维吾尔自治区</w:t>
            </w:r>
            <w:r>
              <w:rPr>
                <w:rFonts w:hint="eastAsia"/>
                <w:color w:val="000000" w:themeColor="text1"/>
                <w:sz w:val="24"/>
                <w14:textFill>
                  <w14:solidFill>
                    <w14:schemeClr w14:val="tx1"/>
                  </w14:solidFill>
                </w14:textFill>
              </w:rPr>
              <w:t>矿产资源总体规划中限制勘查区尽量避让</w:t>
            </w:r>
            <w:r>
              <w:rPr>
                <w:rFonts w:hint="eastAsia"/>
                <w:color w:val="000000" w:themeColor="text1"/>
                <w:sz w:val="24"/>
                <w:lang w:eastAsia="zh-CN"/>
                <w14:textFill>
                  <w14:solidFill>
                    <w14:schemeClr w14:val="tx1"/>
                  </w14:solidFill>
                </w14:textFill>
              </w:rPr>
              <w:t>。</w:t>
            </w:r>
          </w:p>
          <w:p>
            <w:pPr>
              <w:pStyle w:val="18"/>
              <w:spacing w:before="40" w:line="360" w:lineRule="auto"/>
              <w:ind w:left="108" w:right="79" w:firstLine="482"/>
              <w:rPr>
                <w:rFonts w:hint="eastAsia"/>
                <w:b/>
                <w:bCs/>
                <w:color w:val="000000" w:themeColor="text1"/>
                <w:lang w:val="en-US"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3、</w:t>
            </w:r>
            <w:bookmarkStart w:id="34" w:name="_GoBack"/>
            <w:bookmarkEnd w:id="34"/>
            <w:r>
              <w:rPr>
                <w:rFonts w:hint="eastAsia"/>
                <w:b/>
                <w:bCs/>
                <w:color w:val="000000" w:themeColor="text1"/>
                <w:lang w:val="en-US" w:eastAsia="zh-CN"/>
                <w14:textFill>
                  <w14:solidFill>
                    <w14:schemeClr w14:val="tx1"/>
                  </w14:solidFill>
                </w14:textFill>
              </w:rPr>
              <w:t>生态保护与恢复措施</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生态保护与</w:t>
            </w:r>
            <w:r>
              <w:rPr>
                <w:color w:val="000000" w:themeColor="text1"/>
                <w:sz w:val="24"/>
                <w:szCs w:val="24"/>
                <w:lang w:eastAsia="zh-CN"/>
                <w14:textFill>
                  <w14:solidFill>
                    <w14:schemeClr w14:val="tx1"/>
                  </w14:solidFill>
                </w14:textFill>
              </w:rPr>
              <w:t>恢复措施应以维持该地区原生态系统的结构为前提，原则上应按占地类型</w:t>
            </w:r>
            <w:r>
              <w:rPr>
                <w:rFonts w:hint="eastAsia"/>
                <w:color w:val="000000" w:themeColor="text1"/>
                <w:sz w:val="24"/>
                <w:szCs w:val="24"/>
                <w:lang w:eastAsia="zh-CN"/>
                <w14:textFill>
                  <w14:solidFill>
                    <w14:schemeClr w14:val="tx1"/>
                  </w14:solidFill>
                </w14:textFill>
              </w:rPr>
              <w:t>因地制宜</w:t>
            </w:r>
            <w:r>
              <w:rPr>
                <w:color w:val="000000" w:themeColor="text1"/>
                <w:sz w:val="24"/>
                <w:szCs w:val="24"/>
                <w:lang w:eastAsia="zh-CN"/>
                <w14:textFill>
                  <w14:solidFill>
                    <w14:schemeClr w14:val="tx1"/>
                  </w14:solidFill>
                </w14:textFill>
              </w:rPr>
              <w:t>，具体包括工程措施</w:t>
            </w:r>
            <w:r>
              <w:rPr>
                <w:rFonts w:hint="eastAsia"/>
                <w:color w:val="000000" w:themeColor="text1"/>
                <w:sz w:val="24"/>
                <w:szCs w:val="24"/>
                <w:lang w:eastAsia="zh-CN"/>
                <w14:textFill>
                  <w14:solidFill>
                    <w14:schemeClr w14:val="tx1"/>
                  </w14:solidFill>
                </w14:textFill>
              </w:rPr>
              <w:t>、</w:t>
            </w:r>
            <w:r>
              <w:rPr>
                <w:color w:val="000000" w:themeColor="text1"/>
                <w:sz w:val="24"/>
                <w:szCs w:val="24"/>
                <w:lang w:eastAsia="zh-CN"/>
                <w14:textFill>
                  <w14:solidFill>
                    <w14:schemeClr w14:val="tx1"/>
                  </w14:solidFill>
                </w14:textFill>
              </w:rPr>
              <w:t>植被恢复措施等</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评价根据工程类型提出以下生态保护与恢复措施：</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①尽量减小钻探施工临时占地面积，</w:t>
            </w:r>
            <w:r>
              <w:rPr>
                <w:color w:val="000000" w:themeColor="text1"/>
                <w:sz w:val="24"/>
                <w:szCs w:val="24"/>
                <w:lang w:eastAsia="zh-CN"/>
                <w14:textFill>
                  <w14:solidFill>
                    <w14:schemeClr w14:val="tx1"/>
                  </w14:solidFill>
                </w14:textFill>
              </w:rPr>
              <w:t>以免造成土壤与植被的不必要的破坏</w:t>
            </w:r>
            <w:r>
              <w:rPr>
                <w:rFonts w:hint="eastAsia"/>
                <w:color w:val="000000" w:themeColor="text1"/>
                <w:sz w:val="24"/>
                <w:szCs w:val="24"/>
                <w:lang w:eastAsia="zh-CN"/>
                <w14:textFill>
                  <w14:solidFill>
                    <w14:schemeClr w14:val="tx1"/>
                  </w14:solidFill>
                </w14:textFill>
              </w:rPr>
              <w:t>；</w:t>
            </w:r>
          </w:p>
          <w:p>
            <w:pPr>
              <w:spacing w:line="360" w:lineRule="auto"/>
              <w:rPr>
                <w:rFonts w:hint="eastAsia"/>
                <w:color w:val="000000" w:themeColor="text1"/>
                <w:sz w:val="24"/>
                <w:szCs w:val="24"/>
                <w:lang w:eastAsia="zh-CN"/>
                <w14:textFill>
                  <w14:solidFill>
                    <w14:schemeClr w14:val="tx1"/>
                  </w14:solidFill>
                </w14:textFill>
              </w:rPr>
            </w:pPr>
            <w:r>
              <w:rPr>
                <w:color w:val="000000" w:themeColor="text1"/>
                <w:sz w:val="24"/>
                <w:szCs w:val="24"/>
                <w:lang w:eastAsia="zh-CN"/>
                <w14:textFill>
                  <w14:solidFill>
                    <w14:schemeClr w14:val="tx1"/>
                  </w14:solidFill>
                </w14:textFill>
              </w:rPr>
              <w:t>钻探场地</w:t>
            </w:r>
            <w:r>
              <w:rPr>
                <w:rFonts w:hint="eastAsia"/>
                <w:color w:val="000000" w:themeColor="text1"/>
                <w:sz w:val="24"/>
                <w:szCs w:val="24"/>
                <w:lang w:eastAsia="zh-CN"/>
                <w14:textFill>
                  <w14:solidFill>
                    <w14:schemeClr w14:val="tx1"/>
                  </w14:solidFill>
                </w14:textFill>
              </w:rPr>
              <w:t>、</w:t>
            </w:r>
            <w:r>
              <w:rPr>
                <w:color w:val="000000" w:themeColor="text1"/>
                <w:sz w:val="24"/>
                <w:szCs w:val="24"/>
                <w:lang w:eastAsia="zh-CN"/>
                <w14:textFill>
                  <w14:solidFill>
                    <w14:schemeClr w14:val="tx1"/>
                  </w14:solidFill>
                </w14:textFill>
              </w:rPr>
              <w:t>泥浆池等剥离的表土就近堆放于钻孔平台附近，待封孔后用于场地植被恢复</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14:textFill>
                  <w14:solidFill>
                    <w14:schemeClr w14:val="tx1"/>
                  </w14:solidFill>
                </w14:textFill>
              </w:rPr>
              <w:fldChar w:fldCharType="begin"/>
            </w:r>
            <w:r>
              <w:rPr>
                <w:rFonts w:hint="eastAsia"/>
                <w:color w:val="000000" w:themeColor="text1"/>
                <w:sz w:val="24"/>
                <w:szCs w:val="24"/>
                <w:lang w:eastAsia="zh-CN"/>
                <w14:textFill>
                  <w14:solidFill>
                    <w14:schemeClr w14:val="tx1"/>
                  </w14:solidFill>
                </w14:textFill>
              </w:rPr>
              <w:instrText xml:space="preserve"> = 2 \* GB3 \* MERGEFORMAT </w:instrText>
            </w:r>
            <w:r>
              <w:rPr>
                <w:rFonts w:hint="eastAsia"/>
                <w:color w:val="000000" w:themeColor="text1"/>
                <w:sz w:val="24"/>
                <w:szCs w:val="24"/>
                <w14:textFill>
                  <w14:solidFill>
                    <w14:schemeClr w14:val="tx1"/>
                  </w14:solidFill>
                </w14:textFill>
              </w:rPr>
              <w:fldChar w:fldCharType="separate"/>
            </w:r>
            <w:r>
              <w:rPr>
                <w:color w:val="000000" w:themeColor="text1"/>
                <w:sz w:val="24"/>
                <w:szCs w:val="24"/>
                <w:lang w:eastAsia="zh-CN"/>
                <w14:textFill>
                  <w14:solidFill>
                    <w14:schemeClr w14:val="tx1"/>
                  </w14:solidFill>
                </w14:textFill>
              </w:rPr>
              <w:t>②</w:t>
            </w:r>
            <w:r>
              <w:rPr>
                <w:rFonts w:hint="eastAsia"/>
                <w:color w:val="000000" w:themeColor="text1"/>
                <w:sz w:val="24"/>
                <w:szCs w:val="24"/>
                <w14:textFill>
                  <w14:solidFill>
                    <w14:schemeClr w14:val="tx1"/>
                  </w14:solidFill>
                </w14:textFill>
              </w:rPr>
              <w:fldChar w:fldCharType="end"/>
            </w:r>
            <w:r>
              <w:rPr>
                <w:rFonts w:hint="eastAsia"/>
                <w:color w:val="000000" w:themeColor="text1"/>
                <w:sz w:val="24"/>
                <w:szCs w:val="24"/>
                <w:lang w:eastAsia="zh-CN"/>
                <w14:textFill>
                  <w14:solidFill>
                    <w14:schemeClr w14:val="tx1"/>
                  </w14:solidFill>
                </w14:textFill>
              </w:rPr>
              <w:t>施工过程中尽量依托现有道路，减小临时便道开拓对土地的占用和植被的破坏；</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14:textFill>
                  <w14:solidFill>
                    <w14:schemeClr w14:val="tx1"/>
                  </w14:solidFill>
                </w14:textFill>
              </w:rPr>
              <w:fldChar w:fldCharType="begin"/>
            </w:r>
            <w:r>
              <w:rPr>
                <w:rFonts w:hint="eastAsia"/>
                <w:color w:val="000000" w:themeColor="text1"/>
                <w:sz w:val="24"/>
                <w:szCs w:val="24"/>
                <w:lang w:eastAsia="zh-CN"/>
                <w14:textFill>
                  <w14:solidFill>
                    <w14:schemeClr w14:val="tx1"/>
                  </w14:solidFill>
                </w14:textFill>
              </w:rPr>
              <w:instrText xml:space="preserve"> = 3 \* GB3 \* MERGEFORMAT </w:instrText>
            </w:r>
            <w:r>
              <w:rPr>
                <w:rFonts w:hint="eastAsia"/>
                <w:color w:val="000000" w:themeColor="text1"/>
                <w:sz w:val="24"/>
                <w:szCs w:val="24"/>
                <w14:textFill>
                  <w14:solidFill>
                    <w14:schemeClr w14:val="tx1"/>
                  </w14:solidFill>
                </w14:textFill>
              </w:rPr>
              <w:fldChar w:fldCharType="separate"/>
            </w:r>
            <w:r>
              <w:rPr>
                <w:color w:val="000000" w:themeColor="text1"/>
                <w:sz w:val="24"/>
                <w:szCs w:val="24"/>
                <w:lang w:eastAsia="zh-CN"/>
                <w14:textFill>
                  <w14:solidFill>
                    <w14:schemeClr w14:val="tx1"/>
                  </w14:solidFill>
                </w14:textFill>
              </w:rPr>
              <w:t>③</w:t>
            </w:r>
            <w:r>
              <w:rPr>
                <w:rFonts w:hint="eastAsia"/>
                <w:color w:val="000000" w:themeColor="text1"/>
                <w:sz w:val="24"/>
                <w:szCs w:val="24"/>
                <w14:textFill>
                  <w14:solidFill>
                    <w14:schemeClr w14:val="tx1"/>
                  </w14:solidFill>
                </w14:textFill>
              </w:rPr>
              <w:fldChar w:fldCharType="end"/>
            </w:r>
            <w:r>
              <w:rPr>
                <w:rFonts w:hint="eastAsia"/>
                <w:color w:val="000000" w:themeColor="text1"/>
                <w:sz w:val="24"/>
                <w:szCs w:val="24"/>
                <w:lang w:eastAsia="zh-CN"/>
                <w14:textFill>
                  <w14:solidFill>
                    <w14:schemeClr w14:val="tx1"/>
                  </w14:solidFill>
                </w14:textFill>
              </w:rPr>
              <w:t>项目部依托周边村庄，钻探勘查区生活区尽量布置在钻探井场临时占地范围内，减小施工人员活动范围，将临时占地面积控制在最低限度；施工人员生活垃圾应设固定收集装置，施工结束后，统一收集带走，不得乱堆乱扔乱埋；</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14:textFill>
                  <w14:solidFill>
                    <w14:schemeClr w14:val="tx1"/>
                  </w14:solidFill>
                </w14:textFill>
              </w:rPr>
              <w:fldChar w:fldCharType="begin"/>
            </w:r>
            <w:r>
              <w:rPr>
                <w:rFonts w:hint="eastAsia"/>
                <w:color w:val="000000" w:themeColor="text1"/>
                <w:sz w:val="24"/>
                <w:szCs w:val="24"/>
                <w:lang w:eastAsia="zh-CN"/>
                <w14:textFill>
                  <w14:solidFill>
                    <w14:schemeClr w14:val="tx1"/>
                  </w14:solidFill>
                </w14:textFill>
              </w:rPr>
              <w:instrText xml:space="preserve"> = 4 \* GB3 \* MERGEFORMAT </w:instrText>
            </w:r>
            <w:r>
              <w:rPr>
                <w:rFonts w:hint="eastAsia"/>
                <w:color w:val="000000" w:themeColor="text1"/>
                <w:sz w:val="24"/>
                <w:szCs w:val="24"/>
                <w14:textFill>
                  <w14:solidFill>
                    <w14:schemeClr w14:val="tx1"/>
                  </w14:solidFill>
                </w14:textFill>
              </w:rPr>
              <w:fldChar w:fldCharType="separate"/>
            </w:r>
            <w:r>
              <w:rPr>
                <w:color w:val="000000" w:themeColor="text1"/>
                <w:sz w:val="24"/>
                <w:szCs w:val="24"/>
                <w:lang w:eastAsia="zh-CN"/>
                <w14:textFill>
                  <w14:solidFill>
                    <w14:schemeClr w14:val="tx1"/>
                  </w14:solidFill>
                </w14:textFill>
              </w:rPr>
              <w:t>④</w:t>
            </w:r>
            <w:r>
              <w:rPr>
                <w:rFonts w:hint="eastAsia"/>
                <w:color w:val="000000" w:themeColor="text1"/>
                <w:sz w:val="24"/>
                <w:szCs w:val="24"/>
                <w14:textFill>
                  <w14:solidFill>
                    <w14:schemeClr w14:val="tx1"/>
                  </w14:solidFill>
                </w14:textFill>
              </w:rPr>
              <w:fldChar w:fldCharType="end"/>
            </w:r>
            <w:r>
              <w:rPr>
                <w:rFonts w:hint="eastAsia"/>
                <w:color w:val="000000" w:themeColor="text1"/>
                <w:sz w:val="24"/>
                <w:szCs w:val="24"/>
                <w:lang w:eastAsia="zh-CN"/>
                <w14:textFill>
                  <w14:solidFill>
                    <w14:schemeClr w14:val="tx1"/>
                  </w14:solidFill>
                </w14:textFill>
              </w:rPr>
              <w:t>雨季施工要做好临时排水及拦挡措施，大风天气应停止土方作业。</w:t>
            </w:r>
          </w:p>
          <w:p>
            <w:pPr>
              <w:spacing w:line="360" w:lineRule="auto"/>
              <w:ind w:firstLine="482" w:firstLineChars="200"/>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评价根据不同的占地类型提出以下生态保护与恢复措施：</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（1）草地</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①如果原有土地利用类型为草地，首先要把表层的熟化土壤尽可能地剥离，放在合适的地方储存并加以养护以保持其肥力，待施工结束后再平铺于土地表面。</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②施工结束后，再播撒当地常见适生草籽、恢复植被。</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③因钻探工程开工时间均为当地解冻之后，故施工完成后应及时进行土地平整，在当地植被萌芽的季节或夏季种植，选择在夏季雨季开始之间，以保证新栽植的幼苗或播撒的草籽在雨季能够获得充足的水分和生长时间。</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（2）戈壁滩</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①如果原有土地利用类型为戈壁滩，在施工前需对地表砾石剥离收集，剥离砾石存放于钻探井场周边未占压空地，外围使用彩钢板圈围，表面覆盖密目网。</w:t>
            </w:r>
          </w:p>
          <w:p>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②施工结束后，对临时占地进行平整，使用原砾石进行地表覆盖。</w:t>
            </w:r>
          </w:p>
          <w:p>
            <w:pPr>
              <w:spacing w:line="360" w:lineRule="auto"/>
              <w:ind w:firstLine="480" w:firstLineChars="200"/>
              <w:rPr>
                <w:rFonts w:eastAsia="Times New Roman"/>
                <w:color w:val="000000" w:themeColor="text1"/>
                <w14:textFill>
                  <w14:solidFill>
                    <w14:schemeClr w14:val="tx1"/>
                  </w14:solidFill>
                </w14:textFill>
              </w:rPr>
            </w:pPr>
            <w:r>
              <w:rPr>
                <w:rFonts w:hint="eastAsia"/>
                <w:bCs/>
                <w:color w:val="000000" w:themeColor="text1"/>
                <w:sz w:val="24"/>
                <w14:textFill>
                  <w14:solidFill>
                    <w14:schemeClr w14:val="tx1"/>
                  </w14:solidFill>
                </w14:textFill>
              </w:rPr>
              <w:t>③若有条件进行植被恢复的地区，可以选择当地适生的耐旱、耐盐物种，如红柳、骆驼刺、芨芨草、披碱草等进行植被恢复。</w:t>
            </w:r>
          </w:p>
          <w:p>
            <w:pPr>
              <w:pStyle w:val="18"/>
              <w:spacing w:before="40" w:line="360" w:lineRule="auto"/>
              <w:ind w:right="79"/>
              <w:rPr>
                <w:color w:val="000000" w:themeColor="text1"/>
                <w:sz w:val="21"/>
                <w:szCs w:val="21"/>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14:textFill>
            <w14:solidFill>
              <w14:schemeClr w14:val="tx1"/>
            </w14:solidFill>
          </w14:textFill>
        </w:rPr>
        <w:t>十、环境保护设施及环境保护投资一览表</w:t>
      </w:r>
    </w:p>
    <w:tbl>
      <w:tblPr>
        <w:tblStyle w:val="12"/>
        <w:tblW w:w="4888" w:type="pct"/>
        <w:tblInd w:w="10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54"/>
        <w:gridCol w:w="867"/>
        <w:gridCol w:w="2032"/>
        <w:gridCol w:w="2032"/>
        <w:gridCol w:w="2926"/>
        <w:gridCol w:w="112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spacing w:line="24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序号</w:t>
            </w:r>
          </w:p>
        </w:tc>
        <w:tc>
          <w:tcPr>
            <w:tcW w:w="445" w:type="pct"/>
            <w:vAlign w:val="center"/>
          </w:tcPr>
          <w:p>
            <w:pPr>
              <w:adjustRightInd w:val="0"/>
              <w:snapToGrid w:val="0"/>
              <w:spacing w:line="240" w:lineRule="exact"/>
              <w:jc w:val="center"/>
              <w:rPr>
                <w:b/>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分</w:t>
            </w:r>
            <w:r>
              <w:rPr>
                <w:color w:val="000000" w:themeColor="text1"/>
                <w:szCs w:val="21"/>
                <w14:textFill>
                  <w14:solidFill>
                    <w14:schemeClr w14:val="tx1"/>
                  </w14:solidFill>
                </w14:textFill>
              </w:rPr>
              <w:t>类</w:t>
            </w:r>
          </w:p>
        </w:tc>
        <w:tc>
          <w:tcPr>
            <w:tcW w:w="1043" w:type="pct"/>
            <w:vAlign w:val="center"/>
          </w:tcPr>
          <w:p>
            <w:pPr>
              <w:adjustRightInd w:val="0"/>
              <w:snapToGrid w:val="0"/>
              <w:spacing w:line="240" w:lineRule="exact"/>
              <w:jc w:val="center"/>
              <w:rPr>
                <w:b/>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环境保护设施</w:t>
            </w:r>
          </w:p>
        </w:tc>
        <w:tc>
          <w:tcPr>
            <w:tcW w:w="1043" w:type="pct"/>
            <w:vAlign w:val="center"/>
          </w:tcPr>
          <w:p>
            <w:pPr>
              <w:adjustRightInd w:val="0"/>
              <w:snapToGrid w:val="0"/>
              <w:spacing w:line="240" w:lineRule="exact"/>
              <w:jc w:val="center"/>
              <w:rPr>
                <w:b/>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内容</w:t>
            </w:r>
          </w:p>
        </w:tc>
        <w:tc>
          <w:tcPr>
            <w:tcW w:w="1502" w:type="pct"/>
            <w:vAlign w:val="center"/>
          </w:tcPr>
          <w:p>
            <w:pPr>
              <w:adjustRightInd w:val="0"/>
              <w:snapToGrid w:val="0"/>
              <w:spacing w:line="24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投资估算</w:t>
            </w:r>
          </w:p>
          <w:p>
            <w:pPr>
              <w:adjustRightInd w:val="0"/>
              <w:snapToGrid w:val="0"/>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（万元）</w:t>
            </w:r>
          </w:p>
        </w:tc>
        <w:tc>
          <w:tcPr>
            <w:tcW w:w="579" w:type="pct"/>
            <w:vAlign w:val="center"/>
          </w:tcPr>
          <w:p>
            <w:pPr>
              <w:adjustRightInd w:val="0"/>
              <w:snapToGrid w:val="0"/>
              <w:spacing w:line="24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一</w:t>
            </w:r>
          </w:p>
        </w:tc>
        <w:tc>
          <w:tcPr>
            <w:tcW w:w="445" w:type="pct"/>
            <w:vAlign w:val="center"/>
          </w:tcPr>
          <w:p>
            <w:pPr>
              <w:adjustRightInd w:val="0"/>
              <w:snapToGrid w:val="0"/>
              <w:jc w:val="center"/>
              <w:rPr>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w:t>
            </w:r>
          </w:p>
        </w:tc>
        <w:tc>
          <w:tcPr>
            <w:tcW w:w="1043" w:type="pct"/>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c>
          <w:tcPr>
            <w:tcW w:w="1043" w:type="pct"/>
            <w:vAlign w:val="center"/>
          </w:tcPr>
          <w:p>
            <w:pPr>
              <w:adjustRightInd w:val="0"/>
              <w:snapToGrid w:val="0"/>
              <w:jc w:val="center"/>
              <w:rPr>
                <w:color w:val="000000" w:themeColor="text1"/>
                <w:szCs w:val="21"/>
                <w14:textFill>
                  <w14:solidFill>
                    <w14:schemeClr w14:val="tx1"/>
                  </w14:solidFill>
                </w14:textFill>
              </w:rPr>
            </w:pPr>
            <w:r>
              <w:rPr>
                <w:color w:val="000000" w:themeColor="text1"/>
                <w:sz w:val="21"/>
                <w:szCs w:val="21"/>
                <w14:textFill>
                  <w14:solidFill>
                    <w14:schemeClr w14:val="tx1"/>
                  </w14:solidFill>
                </w14:textFill>
              </w:rPr>
              <w:t>表土、粉料苫盖，洒水抑尘等</w:t>
            </w:r>
          </w:p>
        </w:tc>
        <w:tc>
          <w:tcPr>
            <w:tcW w:w="1502"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单个井场费用</w:t>
            </w:r>
            <w:r>
              <w:rPr>
                <w:color w:val="000000" w:themeColor="text1"/>
                <w:szCs w:val="21"/>
                <w14:textFill>
                  <w14:solidFill>
                    <w14:schemeClr w14:val="tx1"/>
                  </w14:solidFill>
                </w14:textFill>
              </w:rPr>
              <w:t>0.2</w:t>
            </w:r>
            <w:r>
              <w:rPr>
                <w:rFonts w:hint="eastAsia"/>
                <w:color w:val="000000" w:themeColor="text1"/>
                <w:szCs w:val="21"/>
                <w14:textFill>
                  <w14:solidFill>
                    <w14:schemeClr w14:val="tx1"/>
                  </w14:solidFill>
                </w14:textFill>
              </w:rPr>
              <w:t>万元，</w:t>
            </w:r>
          </w:p>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总费用56.8万元</w:t>
            </w:r>
          </w:p>
        </w:tc>
        <w:tc>
          <w:tcPr>
            <w:tcW w:w="579" w:type="pct"/>
            <w:vMerge w:val="restart"/>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本项目</w:t>
            </w:r>
            <w:r>
              <w:rPr>
                <w:rFonts w:hint="eastAsia"/>
                <w:color w:val="000000" w:themeColor="text1"/>
                <w:szCs w:val="21"/>
                <w:lang w:val="en-US" w:eastAsia="zh-CN"/>
                <w14:textFill>
                  <w14:solidFill>
                    <w14:schemeClr w14:val="tx1"/>
                  </w14:solidFill>
                </w14:textFill>
              </w:rPr>
              <w:t>共布设284个钻井场地。其中2022年46个，</w:t>
            </w:r>
            <w:r>
              <w:rPr>
                <w:rFonts w:hint="eastAsia"/>
                <w:color w:val="000000" w:themeColor="text1"/>
                <w:szCs w:val="21"/>
                <w14:textFill>
                  <w14:solidFill>
                    <w14:schemeClr w14:val="tx1"/>
                  </w14:solidFill>
                </w14:textFill>
              </w:rPr>
              <w:t>20</w:t>
            </w:r>
            <w:r>
              <w:rPr>
                <w:rFonts w:hint="eastAsia"/>
                <w:color w:val="000000" w:themeColor="text1"/>
                <w:szCs w:val="21"/>
                <w:lang w:val="en-US" w:eastAsia="zh-CN"/>
                <w14:textFill>
                  <w14:solidFill>
                    <w14:schemeClr w14:val="tx1"/>
                  </w14:solidFill>
                </w14:textFill>
              </w:rPr>
              <w:t>23</w:t>
            </w:r>
            <w:r>
              <w:rPr>
                <w:rFonts w:hint="eastAsia"/>
                <w:color w:val="000000" w:themeColor="text1"/>
                <w:szCs w:val="21"/>
                <w14:textFill>
                  <w14:solidFill>
                    <w14:schemeClr w14:val="tx1"/>
                  </w14:solidFill>
                </w14:textFill>
              </w:rPr>
              <w:t>-2026年</w:t>
            </w:r>
            <w:r>
              <w:rPr>
                <w:rFonts w:hint="eastAsia"/>
                <w:color w:val="000000" w:themeColor="text1"/>
                <w:szCs w:val="21"/>
                <w:lang w:val="en-US" w:eastAsia="zh-CN"/>
                <w14:textFill>
                  <w14:solidFill>
                    <w14:schemeClr w14:val="tx1"/>
                  </w14:solidFill>
                </w14:textFill>
              </w:rPr>
              <w:t>238</w:t>
            </w:r>
            <w:r>
              <w:rPr>
                <w:rFonts w:hint="eastAsia"/>
                <w:color w:val="000000" w:themeColor="text1"/>
                <w:szCs w:val="21"/>
                <w14:textFill>
                  <w14:solidFill>
                    <w14:schemeClr w14:val="tx1"/>
                  </w14:solidFill>
                </w14:textFill>
              </w:rPr>
              <w:t>个</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restart"/>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二</w:t>
            </w:r>
          </w:p>
        </w:tc>
        <w:tc>
          <w:tcPr>
            <w:tcW w:w="445" w:type="pct"/>
            <w:vMerge w:val="restart"/>
            <w:vAlign w:val="center"/>
          </w:tcPr>
          <w:p>
            <w:pPr>
              <w:adjustRightInd w:val="0"/>
              <w:snapToGrid w:val="0"/>
              <w:jc w:val="center"/>
              <w:rPr>
                <w:bCs/>
                <w:color w:val="000000" w:themeColor="text1"/>
                <w:szCs w:val="21"/>
                <w14:textFill>
                  <w14:solidFill>
                    <w14:schemeClr w14:val="tx1"/>
                  </w14:solidFill>
                </w14:textFill>
              </w:rPr>
            </w:pPr>
            <w:r>
              <w:rPr>
                <w:color w:val="000000" w:themeColor="text1"/>
                <w:szCs w:val="21"/>
                <w14:textFill>
                  <w14:solidFill>
                    <w14:schemeClr w14:val="tx1"/>
                  </w14:solidFill>
                </w14:textFill>
              </w:rPr>
              <w:t>水</w:t>
            </w:r>
          </w:p>
        </w:tc>
        <w:tc>
          <w:tcPr>
            <w:tcW w:w="1043" w:type="pct"/>
            <w:vAlign w:val="center"/>
          </w:tcPr>
          <w:p>
            <w:pPr>
              <w:adjustRightInd w:val="0"/>
              <w:snapToGrid w:val="0"/>
              <w:jc w:val="center"/>
              <w:rPr>
                <w:b/>
                <w:bCs/>
                <w:color w:val="000000" w:themeColor="text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泥浆池</w:t>
            </w:r>
          </w:p>
        </w:tc>
        <w:tc>
          <w:tcPr>
            <w:tcW w:w="1043" w:type="pct"/>
            <w:vAlign w:val="center"/>
          </w:tcPr>
          <w:p>
            <w:pPr>
              <w:adjustRightInd w:val="0"/>
              <w:snapToGrid w:val="0"/>
              <w:jc w:val="center"/>
              <w:rPr>
                <w:b/>
                <w:bCs/>
                <w:color w:val="000000" w:themeColor="text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泥浆池内</w:t>
            </w:r>
            <w:r>
              <w:rPr>
                <w:color w:val="000000" w:themeColor="text1"/>
                <w:kern w:val="2"/>
                <w:sz w:val="21"/>
                <w:szCs w:val="21"/>
                <w:lang w:eastAsia="zh-CN" w:bidi="ar-SA"/>
                <w14:textFill>
                  <w14:solidFill>
                    <w14:schemeClr w14:val="tx1"/>
                  </w14:solidFill>
                </w14:textFill>
              </w:rPr>
              <w:t>铺设防渗材料</w:t>
            </w:r>
            <w:r>
              <w:rPr>
                <w:rFonts w:hint="eastAsia"/>
                <w:color w:val="000000" w:themeColor="text1"/>
                <w:kern w:val="2"/>
                <w:sz w:val="21"/>
                <w:szCs w:val="21"/>
                <w:lang w:eastAsia="zh-CN" w:bidi="ar-SA"/>
                <w14:textFill>
                  <w14:solidFill>
                    <w14:schemeClr w14:val="tx1"/>
                  </w14:solidFill>
                </w14:textFill>
              </w:rPr>
              <w:t>，</w:t>
            </w:r>
            <w:r>
              <w:rPr>
                <w:rFonts w:hint="eastAsia"/>
                <w:color w:val="000000" w:themeColor="text1"/>
                <w:sz w:val="21"/>
                <w:szCs w:val="21"/>
                <w:lang w:eastAsia="zh-CN"/>
                <w14:textFill>
                  <w14:solidFill>
                    <w14:schemeClr w14:val="tx1"/>
                  </w14:solidFill>
                </w14:textFill>
              </w:rPr>
              <w:t>进行防渗处理</w:t>
            </w:r>
          </w:p>
        </w:tc>
        <w:tc>
          <w:tcPr>
            <w:tcW w:w="1502"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单个井场费用</w:t>
            </w:r>
            <w:r>
              <w:rPr>
                <w:color w:val="000000" w:themeColor="text1"/>
                <w:szCs w:val="21"/>
                <w14:textFill>
                  <w14:solidFill>
                    <w14:schemeClr w14:val="tx1"/>
                  </w14:solidFill>
                </w14:textFill>
              </w:rPr>
              <w:t>1.0</w:t>
            </w:r>
            <w:r>
              <w:rPr>
                <w:rFonts w:hint="eastAsia"/>
                <w:color w:val="000000" w:themeColor="text1"/>
                <w:szCs w:val="21"/>
                <w14:textFill>
                  <w14:solidFill>
                    <w14:schemeClr w14:val="tx1"/>
                  </w14:solidFill>
                </w14:textFill>
              </w:rPr>
              <w:t>万元，</w:t>
            </w:r>
          </w:p>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总费用284万元</w:t>
            </w:r>
          </w:p>
        </w:tc>
        <w:tc>
          <w:tcPr>
            <w:tcW w:w="579" w:type="pct"/>
            <w:vMerge w:val="continue"/>
            <w:vAlign w:val="center"/>
          </w:tcPr>
          <w:p>
            <w:pPr>
              <w:adjustRightInd w:val="0"/>
              <w:snapToGrid w:val="0"/>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Cs w:val="21"/>
                <w14:textFill>
                  <w14:solidFill>
                    <w14:schemeClr w14:val="tx1"/>
                  </w14:solidFill>
                </w14:textFill>
              </w:rPr>
            </w:pPr>
          </w:p>
        </w:tc>
        <w:tc>
          <w:tcPr>
            <w:tcW w:w="1043" w:type="pct"/>
            <w:vAlign w:val="center"/>
          </w:tcPr>
          <w:p>
            <w:pPr>
              <w:adjustRightInd w:val="0"/>
              <w:snapToGrid w:val="0"/>
              <w:jc w:val="center"/>
              <w:rPr>
                <w:color w:val="000000" w:themeColor="text1"/>
                <w:szCs w:val="21"/>
                <w:highlight w:val="yellow"/>
                <w14:textFill>
                  <w14:solidFill>
                    <w14:schemeClr w14:val="tx1"/>
                  </w14:solidFill>
                </w14:textFill>
              </w:rPr>
            </w:pPr>
            <w:r>
              <w:rPr>
                <w:bCs/>
                <w:color w:val="000000" w:themeColor="text1"/>
                <w:sz w:val="21"/>
                <w:szCs w:val="21"/>
                <w14:textFill>
                  <w14:solidFill>
                    <w14:schemeClr w14:val="tx1"/>
                  </w14:solidFill>
                </w14:textFill>
              </w:rPr>
              <w:t>旱厕</w:t>
            </w:r>
          </w:p>
        </w:tc>
        <w:tc>
          <w:tcPr>
            <w:tcW w:w="1043" w:type="pct"/>
            <w:vAlign w:val="center"/>
          </w:tcPr>
          <w:p>
            <w:pPr>
              <w:adjustRightInd w:val="0"/>
              <w:snapToGrid w:val="0"/>
              <w:jc w:val="center"/>
              <w:rPr>
                <w:bCs/>
                <w:color w:val="000000" w:themeColor="text1"/>
                <w:szCs w:val="21"/>
                <w:highlight w:val="yellow"/>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w:t>
            </w:r>
          </w:p>
        </w:tc>
        <w:tc>
          <w:tcPr>
            <w:tcW w:w="1502"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单个井场费用</w:t>
            </w:r>
            <w:r>
              <w:rPr>
                <w:color w:val="000000" w:themeColor="text1"/>
                <w:szCs w:val="21"/>
                <w14:textFill>
                  <w14:solidFill>
                    <w14:schemeClr w14:val="tx1"/>
                  </w14:solidFill>
                </w14:textFill>
              </w:rPr>
              <w:t>0.1</w:t>
            </w:r>
            <w:r>
              <w:rPr>
                <w:rFonts w:hint="eastAsia"/>
                <w:color w:val="000000" w:themeColor="text1"/>
                <w:szCs w:val="21"/>
                <w14:textFill>
                  <w14:solidFill>
                    <w14:schemeClr w14:val="tx1"/>
                  </w14:solidFill>
                </w14:textFill>
              </w:rPr>
              <w:t>万元，</w:t>
            </w:r>
          </w:p>
          <w:p>
            <w:pPr>
              <w:adjustRightInd w:val="0"/>
              <w:snapToGrid w:val="0"/>
              <w:rPr>
                <w:color w:val="000000" w:themeColor="text1"/>
                <w:szCs w:val="21"/>
                <w:highlight w:val="yellow"/>
                <w14:textFill>
                  <w14:solidFill>
                    <w14:schemeClr w14:val="tx1"/>
                  </w14:solidFill>
                </w14:textFill>
              </w:rPr>
            </w:pPr>
            <w:r>
              <w:rPr>
                <w:rFonts w:hint="eastAsia"/>
                <w:color w:val="000000" w:themeColor="text1"/>
                <w:szCs w:val="21"/>
                <w14:textFill>
                  <w14:solidFill>
                    <w14:schemeClr w14:val="tx1"/>
                  </w14:solidFill>
                </w14:textFill>
              </w:rPr>
              <w:t>总费用28.4万元</w:t>
            </w:r>
          </w:p>
        </w:tc>
        <w:tc>
          <w:tcPr>
            <w:tcW w:w="579" w:type="pct"/>
            <w:vMerge w:val="continue"/>
            <w:vAlign w:val="center"/>
          </w:tcPr>
          <w:p>
            <w:pPr>
              <w:adjustRightInd w:val="0"/>
              <w:snapToGrid w:val="0"/>
              <w:jc w:val="center"/>
              <w:rPr>
                <w:color w:val="000000" w:themeColor="text1"/>
                <w:szCs w:val="21"/>
                <w:highlight w:val="yellow"/>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restart"/>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三</w:t>
            </w:r>
          </w:p>
        </w:tc>
        <w:tc>
          <w:tcPr>
            <w:tcW w:w="445" w:type="pct"/>
            <w:vMerge w:val="restart"/>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固体</w:t>
            </w:r>
          </w:p>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废物</w:t>
            </w:r>
          </w:p>
        </w:tc>
        <w:tc>
          <w:tcPr>
            <w:tcW w:w="1043" w:type="pct"/>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泥浆池</w:t>
            </w:r>
          </w:p>
        </w:tc>
        <w:tc>
          <w:tcPr>
            <w:tcW w:w="1043" w:type="pct"/>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 w:val="21"/>
                <w:szCs w:val="21"/>
                <w:lang w:eastAsia="zh-CN"/>
                <w14:textFill>
                  <w14:solidFill>
                    <w14:schemeClr w14:val="tx1"/>
                  </w14:solidFill>
                </w14:textFill>
              </w:rPr>
              <w:t>对废弃泥浆进行自然蒸发后就地填埋</w:t>
            </w:r>
          </w:p>
        </w:tc>
        <w:tc>
          <w:tcPr>
            <w:tcW w:w="1502"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单个井场费用</w:t>
            </w:r>
            <w:r>
              <w:rPr>
                <w:color w:val="000000" w:themeColor="text1"/>
                <w:szCs w:val="21"/>
                <w14:textFill>
                  <w14:solidFill>
                    <w14:schemeClr w14:val="tx1"/>
                  </w14:solidFill>
                </w14:textFill>
              </w:rPr>
              <w:t>0.4</w:t>
            </w:r>
            <w:r>
              <w:rPr>
                <w:rFonts w:hint="eastAsia"/>
                <w:color w:val="000000" w:themeColor="text1"/>
                <w:szCs w:val="21"/>
                <w14:textFill>
                  <w14:solidFill>
                    <w14:schemeClr w14:val="tx1"/>
                  </w14:solidFill>
                </w14:textFill>
              </w:rPr>
              <w:t>万元，</w:t>
            </w:r>
          </w:p>
          <w:p>
            <w:pPr>
              <w:adjustRightInd w:val="0"/>
              <w:snapToGrid w:val="0"/>
              <w:rPr>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总费用113.6万元</w:t>
            </w:r>
          </w:p>
        </w:tc>
        <w:tc>
          <w:tcPr>
            <w:tcW w:w="579" w:type="pct"/>
            <w:vMerge w:val="continue"/>
            <w:vAlign w:val="center"/>
          </w:tcPr>
          <w:p>
            <w:pPr>
              <w:adjustRightInd w:val="0"/>
              <w:snapToGrid w:val="0"/>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Cs w:val="21"/>
                <w14:textFill>
                  <w14:solidFill>
                    <w14:schemeClr w14:val="tx1"/>
                  </w14:solidFill>
                </w14:textFill>
              </w:rPr>
            </w:pPr>
          </w:p>
        </w:tc>
        <w:tc>
          <w:tcPr>
            <w:tcW w:w="1043" w:type="pct"/>
            <w:vAlign w:val="center"/>
          </w:tcPr>
          <w:p>
            <w:pPr>
              <w:adjustRightInd w:val="0"/>
              <w:snapToGrid w:val="0"/>
              <w:jc w:val="center"/>
              <w:rPr>
                <w:b/>
                <w:bCs/>
                <w:color w:val="000000" w:themeColor="text1"/>
                <w:szCs w:val="21"/>
                <w14:textFill>
                  <w14:solidFill>
                    <w14:schemeClr w14:val="tx1"/>
                  </w14:solidFill>
                </w14:textFill>
              </w:rPr>
            </w:pPr>
            <w:r>
              <w:rPr>
                <w:color w:val="000000" w:themeColor="text1"/>
                <w:sz w:val="21"/>
                <w:szCs w:val="21"/>
                <w14:textFill>
                  <w14:solidFill>
                    <w14:schemeClr w14:val="tx1"/>
                  </w14:solidFill>
                </w14:textFill>
              </w:rPr>
              <w:t>岩芯</w:t>
            </w:r>
            <w:r>
              <w:rPr>
                <w:rFonts w:hint="eastAsia"/>
                <w:color w:val="000000" w:themeColor="text1"/>
                <w:sz w:val="21"/>
                <w:szCs w:val="21"/>
                <w:lang w:val="en-US" w:eastAsia="zh-CN"/>
                <w14:textFill>
                  <w14:solidFill>
                    <w14:schemeClr w14:val="tx1"/>
                  </w14:solidFill>
                </w14:textFill>
              </w:rPr>
              <w:t>池</w:t>
            </w:r>
          </w:p>
        </w:tc>
        <w:tc>
          <w:tcPr>
            <w:tcW w:w="1043" w:type="pct"/>
            <w:vAlign w:val="center"/>
          </w:tcPr>
          <w:p>
            <w:pPr>
              <w:adjustRightInd w:val="0"/>
              <w:snapToGrid w:val="0"/>
              <w:jc w:val="center"/>
              <w:rPr>
                <w:b/>
                <w:bCs/>
                <w:color w:val="000000" w:themeColor="text1"/>
                <w:szCs w:val="21"/>
                <w14:textFill>
                  <w14:solidFill>
                    <w14:schemeClr w14:val="tx1"/>
                  </w14:solidFill>
                </w14:textFill>
              </w:rPr>
            </w:pPr>
            <w:r>
              <w:rPr>
                <w:color w:val="000000" w:themeColor="text1"/>
                <w:kern w:val="2"/>
                <w:sz w:val="21"/>
                <w:szCs w:val="21"/>
                <w:lang w:eastAsia="zh-CN" w:bidi="ar-SA"/>
                <w14:textFill>
                  <w14:solidFill>
                    <w14:schemeClr w14:val="tx1"/>
                  </w14:solidFill>
                </w14:textFill>
              </w:rPr>
              <w:t>存放</w:t>
            </w:r>
            <w:r>
              <w:rPr>
                <w:rFonts w:hint="eastAsia"/>
                <w:color w:val="000000" w:themeColor="text1"/>
                <w:kern w:val="2"/>
                <w:sz w:val="21"/>
                <w:szCs w:val="21"/>
                <w:lang w:eastAsia="zh-CN" w:bidi="ar-SA"/>
                <w14:textFill>
                  <w14:solidFill>
                    <w14:schemeClr w14:val="tx1"/>
                  </w14:solidFill>
                </w14:textFill>
              </w:rPr>
              <w:t>岩芯</w:t>
            </w:r>
            <w:r>
              <w:rPr>
                <w:color w:val="000000" w:themeColor="text1"/>
                <w:kern w:val="2"/>
                <w:sz w:val="21"/>
                <w:szCs w:val="21"/>
                <w:lang w:eastAsia="zh-CN" w:bidi="ar-SA"/>
                <w14:textFill>
                  <w14:solidFill>
                    <w14:schemeClr w14:val="tx1"/>
                  </w14:solidFill>
                </w14:textFill>
              </w:rPr>
              <w:t>的</w:t>
            </w:r>
            <w:r>
              <w:rPr>
                <w:rFonts w:hint="eastAsia"/>
                <w:color w:val="000000" w:themeColor="text1"/>
                <w:kern w:val="2"/>
                <w:sz w:val="21"/>
                <w:szCs w:val="21"/>
                <w:lang w:eastAsia="zh-CN" w:bidi="ar-SA"/>
                <w14:textFill>
                  <w14:solidFill>
                    <w14:schemeClr w14:val="tx1"/>
                  </w14:solidFill>
                </w14:textFill>
              </w:rPr>
              <w:t>岩芯</w:t>
            </w:r>
            <w:r>
              <w:rPr>
                <w:color w:val="000000" w:themeColor="text1"/>
                <w:kern w:val="2"/>
                <w:sz w:val="21"/>
                <w:szCs w:val="21"/>
                <w:lang w:eastAsia="zh-CN" w:bidi="ar-SA"/>
                <w14:textFill>
                  <w14:solidFill>
                    <w14:schemeClr w14:val="tx1"/>
                  </w14:solidFill>
                </w14:textFill>
              </w:rPr>
              <w:t>池内铺设防渗材料</w:t>
            </w:r>
            <w:r>
              <w:rPr>
                <w:rFonts w:hint="eastAsia"/>
                <w:color w:val="000000" w:themeColor="text1"/>
                <w:kern w:val="2"/>
                <w:sz w:val="21"/>
                <w:szCs w:val="21"/>
                <w:lang w:eastAsia="zh-CN" w:bidi="ar-SA"/>
                <w14:textFill>
                  <w14:solidFill>
                    <w14:schemeClr w14:val="tx1"/>
                  </w14:solidFill>
                </w14:textFill>
              </w:rPr>
              <w:t>，钻探结束后就地填埋</w:t>
            </w:r>
          </w:p>
        </w:tc>
        <w:tc>
          <w:tcPr>
            <w:tcW w:w="1502"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单个井场费用</w:t>
            </w:r>
            <w:r>
              <w:rPr>
                <w:color w:val="000000" w:themeColor="text1"/>
                <w:szCs w:val="21"/>
                <w14:textFill>
                  <w14:solidFill>
                    <w14:schemeClr w14:val="tx1"/>
                  </w14:solidFill>
                </w14:textFill>
              </w:rPr>
              <w:t>0.6</w:t>
            </w:r>
            <w:r>
              <w:rPr>
                <w:rFonts w:hint="eastAsia"/>
                <w:color w:val="000000" w:themeColor="text1"/>
                <w:szCs w:val="21"/>
                <w14:textFill>
                  <w14:solidFill>
                    <w14:schemeClr w14:val="tx1"/>
                  </w14:solidFill>
                </w14:textFill>
              </w:rPr>
              <w:t>万元，</w:t>
            </w:r>
          </w:p>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总费用170.4万元</w:t>
            </w:r>
          </w:p>
        </w:tc>
        <w:tc>
          <w:tcPr>
            <w:tcW w:w="579" w:type="pct"/>
            <w:vMerge w:val="continue"/>
            <w:vAlign w:val="center"/>
          </w:tcPr>
          <w:p>
            <w:pPr>
              <w:adjustRightInd w:val="0"/>
              <w:snapToGrid w:val="0"/>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Cs w:val="21"/>
                <w14:textFill>
                  <w14:solidFill>
                    <w14:schemeClr w14:val="tx1"/>
                  </w14:solidFill>
                </w14:textFill>
              </w:rPr>
            </w:pPr>
          </w:p>
        </w:tc>
        <w:tc>
          <w:tcPr>
            <w:tcW w:w="1043" w:type="pct"/>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垃圾桶</w:t>
            </w:r>
          </w:p>
        </w:tc>
        <w:tc>
          <w:tcPr>
            <w:tcW w:w="1043" w:type="pct"/>
            <w:vAlign w:val="center"/>
          </w:tcPr>
          <w:p>
            <w:pPr>
              <w:adjustRightInd w:val="0"/>
              <w:snapToGrid w:val="0"/>
              <w:jc w:val="center"/>
              <w:rPr>
                <w:color w:val="000000" w:themeColor="text1"/>
                <w:szCs w:val="21"/>
                <w14:textFill>
                  <w14:solidFill>
                    <w14:schemeClr w14:val="tx1"/>
                  </w14:solidFill>
                </w14:textFill>
              </w:rPr>
            </w:pPr>
            <w:r>
              <w:rPr>
                <w:color w:val="000000" w:themeColor="text1"/>
                <w:sz w:val="21"/>
                <w:szCs w:val="21"/>
                <w14:textFill>
                  <w14:solidFill>
                    <w14:schemeClr w14:val="tx1"/>
                  </w14:solidFill>
                </w14:textFill>
              </w:rPr>
              <w:t>集中收集、处置</w:t>
            </w:r>
          </w:p>
        </w:tc>
        <w:tc>
          <w:tcPr>
            <w:tcW w:w="1502"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单个井场费用</w:t>
            </w:r>
            <w:r>
              <w:rPr>
                <w:color w:val="000000" w:themeColor="text1"/>
                <w:szCs w:val="21"/>
                <w14:textFill>
                  <w14:solidFill>
                    <w14:schemeClr w14:val="tx1"/>
                  </w14:solidFill>
                </w14:textFill>
              </w:rPr>
              <w:t>0.1</w:t>
            </w:r>
            <w:r>
              <w:rPr>
                <w:rFonts w:hint="eastAsia"/>
                <w:color w:val="000000" w:themeColor="text1"/>
                <w:szCs w:val="21"/>
                <w14:textFill>
                  <w14:solidFill>
                    <w14:schemeClr w14:val="tx1"/>
                  </w14:solidFill>
                </w14:textFill>
              </w:rPr>
              <w:t>万元，</w:t>
            </w:r>
          </w:p>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总费用28.4万元</w:t>
            </w:r>
          </w:p>
        </w:tc>
        <w:tc>
          <w:tcPr>
            <w:tcW w:w="579" w:type="pct"/>
            <w:vMerge w:val="continue"/>
            <w:vAlign w:val="center"/>
          </w:tcPr>
          <w:p>
            <w:pPr>
              <w:adjustRightInd w:val="0"/>
              <w:snapToGrid w:val="0"/>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Cs w:val="21"/>
                <w14:textFill>
                  <w14:solidFill>
                    <w14:schemeClr w14:val="tx1"/>
                  </w14:solidFill>
                </w14:textFill>
              </w:rPr>
            </w:pPr>
          </w:p>
        </w:tc>
        <w:tc>
          <w:tcPr>
            <w:tcW w:w="1043" w:type="pct"/>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废机油收集桶</w:t>
            </w:r>
          </w:p>
        </w:tc>
        <w:tc>
          <w:tcPr>
            <w:tcW w:w="1043" w:type="pct"/>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经收集后交有资质单位进行处置</w:t>
            </w:r>
          </w:p>
        </w:tc>
        <w:tc>
          <w:tcPr>
            <w:tcW w:w="1502" w:type="pct"/>
            <w:vAlign w:val="center"/>
          </w:tcPr>
          <w:p>
            <w:pPr>
              <w:adjustRightInd w:val="0"/>
              <w:snapToGrid w:val="0"/>
              <w:rPr>
                <w:rFonts w:hint="eastAsia"/>
                <w:color w:val="000000" w:themeColor="text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单个钻井场地费用为</w:t>
            </w:r>
            <w:r>
              <w:rPr>
                <w:rFonts w:hint="eastAsia"/>
                <w:bCs/>
                <w:color w:val="000000" w:themeColor="text1"/>
                <w:sz w:val="21"/>
                <w:szCs w:val="21"/>
                <w:lang w:eastAsia="zh-CN"/>
                <w14:textFill>
                  <w14:solidFill>
                    <w14:schemeClr w14:val="tx1"/>
                  </w14:solidFill>
                </w14:textFill>
              </w:rPr>
              <w:t>0.5</w:t>
            </w:r>
            <w:r>
              <w:rPr>
                <w:rFonts w:hint="eastAsia"/>
                <w:color w:val="000000" w:themeColor="text1"/>
                <w:sz w:val="21"/>
                <w:szCs w:val="21"/>
                <w:lang w:eastAsia="zh-CN"/>
                <w14:textFill>
                  <w14:solidFill>
                    <w14:schemeClr w14:val="tx1"/>
                  </w14:solidFill>
                </w14:textFill>
              </w:rPr>
              <w:t>万元，总费用为</w:t>
            </w:r>
            <w:r>
              <w:rPr>
                <w:rFonts w:hint="eastAsia"/>
                <w:color w:val="000000" w:themeColor="text1"/>
                <w:sz w:val="21"/>
                <w:szCs w:val="21"/>
                <w:lang w:val="en-US" w:eastAsia="zh-CN"/>
                <w14:textFill>
                  <w14:solidFill>
                    <w14:schemeClr w14:val="tx1"/>
                  </w14:solidFill>
                </w14:textFill>
              </w:rPr>
              <w:t>142</w:t>
            </w:r>
            <w:r>
              <w:rPr>
                <w:rFonts w:hint="eastAsia"/>
                <w:color w:val="000000" w:themeColor="text1"/>
                <w:sz w:val="21"/>
                <w:szCs w:val="21"/>
                <w:lang w:eastAsia="zh-CN"/>
                <w14:textFill>
                  <w14:solidFill>
                    <w14:schemeClr w14:val="tx1"/>
                  </w14:solidFill>
                </w14:textFill>
              </w:rPr>
              <w:t>万元</w:t>
            </w:r>
          </w:p>
        </w:tc>
        <w:tc>
          <w:tcPr>
            <w:tcW w:w="579" w:type="pct"/>
            <w:vMerge w:val="continue"/>
            <w:vAlign w:val="center"/>
          </w:tcPr>
          <w:p>
            <w:pPr>
              <w:adjustRightInd w:val="0"/>
              <w:snapToGrid w:val="0"/>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bCs/>
                <w:color w:val="000000" w:themeColor="text1"/>
                <w:szCs w:val="21"/>
                <w14:textFill>
                  <w14:solidFill>
                    <w14:schemeClr w14:val="tx1"/>
                  </w14:solidFill>
                </w14:textFill>
              </w:rPr>
              <w:t>四</w:t>
            </w:r>
          </w:p>
        </w:tc>
        <w:tc>
          <w:tcPr>
            <w:tcW w:w="445" w:type="pct"/>
            <w:vAlign w:val="center"/>
          </w:tcPr>
          <w:p>
            <w:pPr>
              <w:adjustRightInd w:val="0"/>
              <w:snapToGrid w:val="0"/>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噪声</w:t>
            </w:r>
          </w:p>
        </w:tc>
        <w:tc>
          <w:tcPr>
            <w:tcW w:w="1043" w:type="pct"/>
            <w:vAlign w:val="center"/>
          </w:tcPr>
          <w:p>
            <w:pPr>
              <w:adjustRightInd w:val="0"/>
              <w:snapToGrid w:val="0"/>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bCs/>
                <w:color w:val="000000" w:themeColor="text1"/>
                <w:sz w:val="21"/>
                <w:szCs w:val="21"/>
                <w14:textFill>
                  <w14:solidFill>
                    <w14:schemeClr w14:val="tx1"/>
                  </w14:solidFill>
                </w14:textFill>
              </w:rPr>
              <w:t>井场柴油机、发电机、泥浆泵</w:t>
            </w:r>
            <w:r>
              <w:rPr>
                <w:rFonts w:hint="eastAsia"/>
                <w:bCs/>
                <w:color w:val="000000" w:themeColor="text1"/>
                <w:sz w:val="21"/>
                <w:szCs w:val="21"/>
                <w14:textFill>
                  <w14:solidFill>
                    <w14:schemeClr w14:val="tx1"/>
                  </w14:solidFill>
                </w14:textFill>
              </w:rPr>
              <w:t>等</w:t>
            </w:r>
          </w:p>
        </w:tc>
        <w:tc>
          <w:tcPr>
            <w:tcW w:w="1043" w:type="pct"/>
            <w:vAlign w:val="center"/>
          </w:tcPr>
          <w:p>
            <w:pPr>
              <w:pStyle w:val="18"/>
              <w:ind w:left="111"/>
              <w:jc w:val="center"/>
              <w:rPr>
                <w:bCs/>
                <w:color w:val="000000" w:themeColor="text1"/>
                <w:sz w:val="21"/>
                <w:szCs w:val="21"/>
                <w:lang w:eastAsia="zh-CN"/>
                <w14:textFill>
                  <w14:solidFill>
                    <w14:schemeClr w14:val="tx1"/>
                  </w14:solidFill>
                </w14:textFill>
              </w:rPr>
            </w:pPr>
            <w:r>
              <w:rPr>
                <w:bCs/>
                <w:color w:val="000000" w:themeColor="text1"/>
                <w:sz w:val="21"/>
                <w:szCs w:val="21"/>
                <w:lang w:eastAsia="zh-CN"/>
                <w14:textFill>
                  <w14:solidFill>
                    <w14:schemeClr w14:val="tx1"/>
                  </w14:solidFill>
                </w14:textFill>
              </w:rPr>
              <w:t>选用低噪声设备、弹性衬垫减振降噪</w:t>
            </w:r>
          </w:p>
          <w:p>
            <w:pPr>
              <w:adjustRightInd w:val="0"/>
              <w:snapToGrid w:val="0"/>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bCs/>
                <w:color w:val="000000" w:themeColor="text1"/>
                <w:sz w:val="21"/>
                <w:szCs w:val="21"/>
                <w:lang w:eastAsia="zh-CN"/>
                <w14:textFill>
                  <w14:solidFill>
                    <w14:schemeClr w14:val="tx1"/>
                  </w14:solidFill>
                </w14:textFill>
              </w:rPr>
              <w:t>等措施</w:t>
            </w:r>
          </w:p>
        </w:tc>
        <w:tc>
          <w:tcPr>
            <w:tcW w:w="1502"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单个井场费用</w:t>
            </w:r>
            <w:r>
              <w:rPr>
                <w:color w:val="000000" w:themeColor="text1"/>
                <w:szCs w:val="21"/>
                <w14:textFill>
                  <w14:solidFill>
                    <w14:schemeClr w14:val="tx1"/>
                  </w14:solidFill>
                </w14:textFill>
              </w:rPr>
              <w:t>0.5</w:t>
            </w:r>
            <w:r>
              <w:rPr>
                <w:rFonts w:hint="eastAsia"/>
                <w:color w:val="000000" w:themeColor="text1"/>
                <w:szCs w:val="21"/>
                <w14:textFill>
                  <w14:solidFill>
                    <w14:schemeClr w14:val="tx1"/>
                  </w14:solidFill>
                </w14:textFill>
              </w:rPr>
              <w:t>万元，</w:t>
            </w:r>
          </w:p>
          <w:p>
            <w:pPr>
              <w:adjustRightInd w:val="0"/>
              <w:snapToGrid w:val="0"/>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总费用142万元</w:t>
            </w:r>
          </w:p>
        </w:tc>
        <w:tc>
          <w:tcPr>
            <w:tcW w:w="579" w:type="pct"/>
            <w:vMerge w:val="continue"/>
            <w:vAlign w:val="center"/>
          </w:tcPr>
          <w:p>
            <w:pPr>
              <w:adjustRightInd w:val="0"/>
              <w:snapToGrid w:val="0"/>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五</w:t>
            </w:r>
          </w:p>
        </w:tc>
        <w:tc>
          <w:tcPr>
            <w:tcW w:w="445" w:type="pct"/>
            <w:vAlign w:val="center"/>
          </w:tcPr>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生态</w:t>
            </w:r>
          </w:p>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恢复</w:t>
            </w:r>
          </w:p>
        </w:tc>
        <w:tc>
          <w:tcPr>
            <w:tcW w:w="1043" w:type="pct"/>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043" w:type="pct"/>
            <w:vAlign w:val="center"/>
          </w:tcPr>
          <w:p>
            <w:pPr>
              <w:adjustRightInd w:val="0"/>
              <w:snapToGrid w:val="0"/>
              <w:rPr>
                <w:color w:val="000000" w:themeColor="text1"/>
                <w:szCs w:val="21"/>
                <w14:textFill>
                  <w14:solidFill>
                    <w14:schemeClr w14:val="tx1"/>
                  </w14:solidFill>
                </w14:textFill>
              </w:rPr>
            </w:pPr>
            <w:r>
              <w:rPr>
                <w:rFonts w:hint="eastAsia"/>
                <w:bCs/>
                <w:color w:val="000000" w:themeColor="text1"/>
                <w:sz w:val="21"/>
                <w:szCs w:val="21"/>
                <w:lang w:eastAsia="zh-CN"/>
                <w14:textFill>
                  <w14:solidFill>
                    <w14:schemeClr w14:val="tx1"/>
                  </w14:solidFill>
                </w14:textFill>
              </w:rPr>
              <w:t>平整场地，并对临时占地进行恢复</w:t>
            </w:r>
          </w:p>
        </w:tc>
        <w:tc>
          <w:tcPr>
            <w:tcW w:w="1502"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单个井场费用</w:t>
            </w:r>
            <w:r>
              <w:rPr>
                <w:color w:val="000000" w:themeColor="text1"/>
                <w:szCs w:val="21"/>
                <w14:textFill>
                  <w14:solidFill>
                    <w14:schemeClr w14:val="tx1"/>
                  </w14:solidFill>
                </w14:textFill>
              </w:rPr>
              <w:t>0.5</w:t>
            </w:r>
            <w:r>
              <w:rPr>
                <w:rFonts w:hint="eastAsia"/>
                <w:color w:val="000000" w:themeColor="text1"/>
                <w:szCs w:val="21"/>
                <w14:textFill>
                  <w14:solidFill>
                    <w14:schemeClr w14:val="tx1"/>
                  </w14:solidFill>
                </w14:textFill>
              </w:rPr>
              <w:t>万元，</w:t>
            </w:r>
          </w:p>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总费用142万元</w:t>
            </w:r>
          </w:p>
        </w:tc>
        <w:tc>
          <w:tcPr>
            <w:tcW w:w="579" w:type="pct"/>
            <w:vMerge w:val="continue"/>
            <w:vAlign w:val="center"/>
          </w:tcPr>
          <w:p>
            <w:pPr>
              <w:adjustRightInd w:val="0"/>
              <w:snapToGrid w:val="0"/>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六</w:t>
            </w:r>
          </w:p>
        </w:tc>
        <w:tc>
          <w:tcPr>
            <w:tcW w:w="445" w:type="pct"/>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辐射</w:t>
            </w:r>
          </w:p>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环境</w:t>
            </w:r>
          </w:p>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监测</w:t>
            </w:r>
          </w:p>
        </w:tc>
        <w:tc>
          <w:tcPr>
            <w:tcW w:w="1043"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γ辐射剂量率监测仪器</w:t>
            </w:r>
          </w:p>
        </w:tc>
        <w:tc>
          <w:tcPr>
            <w:tcW w:w="1043"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配备4台γ辐射剂量率监测仪器进行监测</w:t>
            </w:r>
          </w:p>
        </w:tc>
        <w:tc>
          <w:tcPr>
            <w:tcW w:w="1502" w:type="pct"/>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总费用4万元</w:t>
            </w:r>
          </w:p>
        </w:tc>
        <w:tc>
          <w:tcPr>
            <w:tcW w:w="579" w:type="pct"/>
            <w:vMerge w:val="continue"/>
            <w:vAlign w:val="center"/>
          </w:tcPr>
          <w:p>
            <w:pPr>
              <w:adjustRightInd w:val="0"/>
              <w:snapToGrid w:val="0"/>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4" w:hRule="atLeast"/>
        </w:trPr>
        <w:tc>
          <w:tcPr>
            <w:tcW w:w="2918" w:type="pct"/>
            <w:gridSpan w:val="4"/>
            <w:vAlign w:val="center"/>
          </w:tcPr>
          <w:p>
            <w:pPr>
              <w:adjustRightInd w:val="0"/>
              <w:snapToGrid w:val="0"/>
              <w:jc w:val="center"/>
              <w:rPr>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合计</w:t>
            </w:r>
          </w:p>
        </w:tc>
        <w:tc>
          <w:tcPr>
            <w:tcW w:w="2081" w:type="pct"/>
            <w:gridSpan w:val="2"/>
            <w:vAlign w:val="center"/>
          </w:tcPr>
          <w:p>
            <w:pPr>
              <w:adjustRightInd w:val="0"/>
              <w:snapToGrid w:val="0"/>
              <w:jc w:val="center"/>
              <w:rPr>
                <w:color w:val="000000" w:themeColor="text1"/>
                <w:szCs w:val="21"/>
                <w:highlight w:val="yellow"/>
                <w14:textFill>
                  <w14:solidFill>
                    <w14:schemeClr w14:val="tx1"/>
                  </w14:solidFill>
                </w14:textFill>
              </w:rPr>
            </w:pPr>
            <w:r>
              <w:rPr>
                <w:rFonts w:hint="eastAsia"/>
                <w:color w:val="000000" w:themeColor="text1"/>
                <w:szCs w:val="21"/>
                <w:lang w:val="en-US" w:eastAsia="zh-CN"/>
                <w14:textFill>
                  <w14:solidFill>
                    <w14:schemeClr w14:val="tx1"/>
                  </w14:solidFill>
                </w14:textFill>
              </w:rPr>
              <w:t>1111.6</w:t>
            </w:r>
            <w:r>
              <w:rPr>
                <w:rFonts w:hint="eastAsia"/>
                <w:color w:val="000000" w:themeColor="text1"/>
                <w:szCs w:val="21"/>
                <w14:textFill>
                  <w14:solidFill>
                    <w14:schemeClr w14:val="tx1"/>
                  </w14:solidFill>
                </w14:textFill>
              </w:rPr>
              <w:t>万元</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14:textFill>
            <w14:solidFill>
              <w14:schemeClr w14:val="tx1"/>
            </w14:solidFill>
          </w14:textFill>
        </w:rPr>
        <w:t>十一、环境管理与监测计划</w:t>
      </w:r>
    </w:p>
    <w:tbl>
      <w:tblPr>
        <w:tblStyle w:val="13"/>
        <w:tblW w:w="0" w:type="auto"/>
        <w:tblInd w:w="101"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74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13153" w:hRule="atLeast"/>
        </w:trPr>
        <w:tc>
          <w:tcPr>
            <w:tcW w:w="9740" w:type="dxa"/>
          </w:tcPr>
          <w:p>
            <w:pPr>
              <w:pStyle w:val="17"/>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ascii="Times New Roman" w:hAnsi="Times New Roman" w:cs="Times New Roman"/>
                <w:b/>
                <w:bCs/>
                <w:color w:val="000000" w:themeColor="text1"/>
                <w14:textFill>
                  <w14:solidFill>
                    <w14:schemeClr w14:val="tx1"/>
                  </w14:solidFill>
                </w14:textFill>
              </w:rPr>
              <w:t>1、环境管理</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建立环境管理机构是落实项目环保各项任务的保证。环境管理机构至少需安排专职环境管理人员1-2人（可适当安排兼职），总体负责本项目辐射防护和环境保护方面的工作，其主要职责体现在以下几个方面：</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（1）合理安排施工计划，确保文明施工；</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（2）监督工程所产生废物的处置情况及去向，确保各项环保措施的落实；</w:t>
            </w:r>
          </w:p>
          <w:p>
            <w:pPr>
              <w:pStyle w:val="17"/>
              <w:adjustRightInd/>
              <w:spacing w:line="360" w:lineRule="auto"/>
              <w:ind w:firstLine="480" w:firstLineChars="200"/>
              <w:jc w:val="both"/>
              <w:rPr>
                <w:rFonts w:ascii="Times New Roman" w:hAnsi="Times New Roman" w:cs="Times New Roman"/>
                <w:b/>
                <w:bCs/>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（3）对工程实施过程中存在的污染环境的情况予以及时纠正。</w:t>
            </w:r>
          </w:p>
          <w:p>
            <w:pPr>
              <w:pStyle w:val="17"/>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2、环境监测计划</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项目环境监测计划列于表1</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井场环境监测布点示意图见</w:t>
            </w:r>
            <w:r>
              <w:rPr>
                <w:rFonts w:hint="eastAsia"/>
                <w:color w:val="000000" w:themeColor="text1"/>
                <w:sz w:val="24"/>
                <w14:textFill>
                  <w14:solidFill>
                    <w14:schemeClr w14:val="tx1"/>
                  </w14:solidFill>
                </w14:textFill>
              </w:rPr>
              <w:t>附图</w:t>
            </w:r>
            <w:r>
              <w:rPr>
                <w:rFonts w:hint="eastAsia"/>
                <w:color w:val="000000" w:themeColor="text1"/>
                <w:sz w:val="24"/>
                <w:lang w:val="en-US" w:eastAsia="zh-CN"/>
                <w14:textFill>
                  <w14:solidFill>
                    <w14:schemeClr w14:val="tx1"/>
                  </w14:solidFill>
                </w14:textFill>
              </w:rPr>
              <w:t>9</w:t>
            </w:r>
            <w:r>
              <w:rPr>
                <w:rFonts w:hint="eastAsia"/>
                <w:color w:val="000000" w:themeColor="text1"/>
                <w:sz w:val="24"/>
                <w14:textFill>
                  <w14:solidFill>
                    <w14:schemeClr w14:val="tx1"/>
                  </w14:solidFill>
                </w14:textFill>
              </w:rPr>
              <w:t>。</w:t>
            </w:r>
          </w:p>
          <w:p>
            <w:pPr>
              <w:jc w:val="center"/>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表</w:t>
            </w:r>
            <w:r>
              <w:rPr>
                <w:rFonts w:hint="eastAsia"/>
                <w:snapToGrid w:val="0"/>
                <w:color w:val="000000" w:themeColor="text1"/>
                <w:kern w:val="0"/>
                <w:sz w:val="24"/>
                <w14:textFill>
                  <w14:solidFill>
                    <w14:schemeClr w14:val="tx1"/>
                  </w14:solidFill>
                </w14:textFill>
              </w:rPr>
              <w:t>1</w:t>
            </w:r>
            <w:r>
              <w:rPr>
                <w:snapToGrid w:val="0"/>
                <w:color w:val="000000" w:themeColor="text1"/>
                <w:kern w:val="0"/>
                <w:sz w:val="24"/>
                <w14:textFill>
                  <w14:solidFill>
                    <w14:schemeClr w14:val="tx1"/>
                  </w14:solidFill>
                </w14:textFill>
              </w:rPr>
              <w:t>1</w:t>
            </w:r>
            <w:r>
              <w:rPr>
                <w:rFonts w:hint="eastAsia"/>
                <w:snapToGrid w:val="0"/>
                <w:color w:val="000000" w:themeColor="text1"/>
                <w:kern w:val="0"/>
                <w:sz w:val="24"/>
                <w14:textFill>
                  <w14:solidFill>
                    <w14:schemeClr w14:val="tx1"/>
                  </w14:solidFill>
                </w14:textFill>
              </w:rPr>
              <w:t>-1</w:t>
            </w:r>
            <w:r>
              <w:rPr>
                <w:snapToGrid w:val="0"/>
                <w:color w:val="000000" w:themeColor="text1"/>
                <w:kern w:val="0"/>
                <w:sz w:val="24"/>
                <w14:textFill>
                  <w14:solidFill>
                    <w14:schemeClr w14:val="tx1"/>
                  </w14:solidFill>
                </w14:textFill>
              </w:rPr>
              <w:t xml:space="preserve">  环境</w:t>
            </w:r>
            <w:r>
              <w:rPr>
                <w:rFonts w:hint="eastAsia"/>
                <w:snapToGrid w:val="0"/>
                <w:color w:val="000000" w:themeColor="text1"/>
                <w:kern w:val="0"/>
                <w:sz w:val="24"/>
                <w14:textFill>
                  <w14:solidFill>
                    <w14:schemeClr w14:val="tx1"/>
                  </w14:solidFill>
                </w14:textFill>
              </w:rPr>
              <w:t>监测</w:t>
            </w:r>
            <w:r>
              <w:rPr>
                <w:snapToGrid w:val="0"/>
                <w:color w:val="000000" w:themeColor="text1"/>
                <w:kern w:val="0"/>
                <w:sz w:val="24"/>
                <w14:textFill>
                  <w14:solidFill>
                    <w14:schemeClr w14:val="tx1"/>
                  </w14:solidFill>
                </w14:textFill>
              </w:rPr>
              <w:t>计划表</w:t>
            </w:r>
          </w:p>
          <w:tbl>
            <w:tblPr>
              <w:tblStyle w:val="12"/>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14"/>
              <w:gridCol w:w="1540"/>
              <w:gridCol w:w="1418"/>
              <w:gridCol w:w="1701"/>
              <w:gridCol w:w="1418"/>
              <w:gridCol w:w="270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内容</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监测地点</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监测项目</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监测频次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监测时段</w:t>
                  </w:r>
                </w:p>
              </w:tc>
              <w:tc>
                <w:tcPr>
                  <w:tcW w:w="1423"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控制标准或要求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钻井场地</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γ辐射剂量率</w:t>
                  </w:r>
                </w:p>
              </w:tc>
              <w:tc>
                <w:tcPr>
                  <w:tcW w:w="896"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钻孔施工前和封孔后各监测一次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施工前封孔后</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确保前后两次剂量率监测结果处于同一水平范围内，所有监测数据存档备查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典型钻井场上风向及下风向</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颗粒物、SO</w:t>
                  </w:r>
                  <w:r>
                    <w:rPr>
                      <w:color w:val="000000" w:themeColor="text1"/>
                      <w:szCs w:val="21"/>
                      <w:vertAlign w:val="subscript"/>
                      <w14:textFill>
                        <w14:solidFill>
                          <w14:schemeClr w14:val="tx1"/>
                        </w14:solidFill>
                      </w14:textFill>
                    </w:rPr>
                    <w:t>2</w:t>
                  </w:r>
                  <w:r>
                    <w:rPr>
                      <w:rFonts w:hint="eastAsia"/>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施工期</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《大气污染物综合排放标准》（</w:t>
                  </w:r>
                  <w:r>
                    <w:rPr>
                      <w:color w:val="000000" w:themeColor="text1"/>
                      <w:szCs w:val="21"/>
                      <w14:textFill>
                        <w14:solidFill>
                          <w14:schemeClr w14:val="tx1"/>
                        </w14:solidFill>
                      </w14:textFill>
                    </w:rPr>
                    <w:t>GB16297-1996</w:t>
                  </w:r>
                  <w:r>
                    <w:rPr>
                      <w:rFonts w:hint="eastAsia"/>
                      <w:color w:val="000000" w:themeColor="text1"/>
                      <w:szCs w:val="21"/>
                      <w14:textFill>
                        <w14:solidFill>
                          <w14:schemeClr w14:val="tx1"/>
                        </w14:solidFill>
                      </w14:textFill>
                    </w:rPr>
                    <w:t>）中“无组织排放监控浓度限值”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噪声</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典型钻井场界</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等效连续</w:t>
                  </w:r>
                  <w:r>
                    <w:rPr>
                      <w:color w:val="000000" w:themeColor="text1"/>
                      <w:szCs w:val="21"/>
                      <w:lang w:bidi="ar"/>
                      <w14:textFill>
                        <w14:solidFill>
                          <w14:schemeClr w14:val="tx1"/>
                        </w14:solidFill>
                      </w14:textFill>
                    </w:rPr>
                    <w:t>A</w:t>
                  </w:r>
                  <w:r>
                    <w:rPr>
                      <w:rFonts w:hint="eastAsia" w:cs="宋体"/>
                      <w:color w:val="000000" w:themeColor="text1"/>
                      <w:szCs w:val="21"/>
                      <w:lang w:bidi="ar"/>
                      <w14:textFill>
                        <w14:solidFill>
                          <w14:schemeClr w14:val="tx1"/>
                        </w14:solidFill>
                      </w14:textFill>
                    </w:rPr>
                    <w:t>声级</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施工期</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s="宋体"/>
                      <w:color w:val="000000" w:themeColor="text1"/>
                      <w:lang w:bidi="ar"/>
                      <w14:textFill>
                        <w14:solidFill>
                          <w14:schemeClr w14:val="tx1"/>
                        </w14:solidFill>
                      </w14:textFill>
                    </w:rPr>
                    <w:t>《建筑施工场界环境噪声排放标准》（</w:t>
                  </w:r>
                  <w:r>
                    <w:rPr>
                      <w:color w:val="000000" w:themeColor="text1"/>
                      <w:lang w:bidi="ar"/>
                      <w14:textFill>
                        <w14:solidFill>
                          <w14:schemeClr w14:val="tx1"/>
                        </w14:solidFill>
                      </w14:textFill>
                    </w:rPr>
                    <w:t>GB12523-2011</w:t>
                  </w:r>
                  <w:r>
                    <w:rPr>
                      <w:rFonts w:hint="eastAsia" w:cs="宋体"/>
                      <w:color w:val="000000" w:themeColor="text1"/>
                      <w:lang w:bidi="ar"/>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7" w:type="pct"/>
                  <w:gridSpan w:val="2"/>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实验室分析U</w:t>
                  </w:r>
                  <w:r>
                    <w:rPr>
                      <w:rFonts w:hint="eastAsia"/>
                      <w:color w:val="000000" w:themeColor="text1"/>
                      <w:szCs w:val="21"/>
                      <w:vertAlign w:val="subscript"/>
                      <w14:textFill>
                        <w14:solidFill>
                          <w14:schemeClr w14:val="tx1"/>
                        </w14:solidFill>
                      </w14:textFill>
                    </w:rPr>
                    <w:t>天然</w:t>
                  </w:r>
                  <w:r>
                    <w:rPr>
                      <w:rFonts w:hint="eastAsia"/>
                      <w:color w:val="000000" w:themeColor="text1"/>
                      <w:szCs w:val="21"/>
                      <w14:textFill>
                        <w14:solidFill>
                          <w14:schemeClr w14:val="tx1"/>
                        </w14:solidFill>
                      </w14:textFill>
                    </w:rPr>
                    <w:t>、</w:t>
                  </w:r>
                  <w:r>
                    <w:rPr>
                      <w:rFonts w:hint="eastAsia"/>
                      <w:color w:val="000000" w:themeColor="text1"/>
                      <w:szCs w:val="21"/>
                      <w:vertAlign w:val="superscript"/>
                      <w14:textFill>
                        <w14:solidFill>
                          <w14:schemeClr w14:val="tx1"/>
                        </w14:solidFill>
                      </w14:textFill>
                    </w:rPr>
                    <w:t>226</w:t>
                  </w:r>
                  <w:r>
                    <w:rPr>
                      <w:rFonts w:hint="eastAsia"/>
                      <w:color w:val="000000" w:themeColor="text1"/>
                      <w:szCs w:val="21"/>
                      <w14:textFill>
                        <w14:solidFill>
                          <w14:schemeClr w14:val="tx1"/>
                        </w14:solidFill>
                      </w14:textFill>
                    </w:rPr>
                    <w:t>Ra</w:t>
                  </w:r>
                </w:p>
              </w:tc>
              <w:tc>
                <w:tcPr>
                  <w:tcW w:w="896"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每个</w:t>
                  </w: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选取有代表性的钻井泥浆采样检测</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施工结束后</w:t>
                  </w:r>
                </w:p>
              </w:tc>
              <w:tc>
                <w:tcPr>
                  <w:tcW w:w="1423"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检测数据存档备查</w:t>
                  </w:r>
                </w:p>
              </w:tc>
            </w:tr>
          </w:tbl>
          <w:p>
            <w:pPr>
              <w:spacing w:line="360" w:lineRule="auto"/>
              <w:ind w:firstLine="480" w:firstLineChars="200"/>
              <w:rPr>
                <w:rFonts w:hint="default" w:ascii="Times New Roman" w:hAnsi="Times New Roman" w:cs="Times New Roman"/>
                <w:color w:val="000000" w:themeColor="text1"/>
                <w:lang w:eastAsia="zh-CN"/>
                <w14:textFill>
                  <w14:solidFill>
                    <w14:schemeClr w14:val="tx1"/>
                  </w14:solidFill>
                </w14:textFill>
              </w:rPr>
            </w:pPr>
            <w:bookmarkStart w:id="31" w:name="_Toc99951926"/>
            <w:r>
              <w:rPr>
                <w:rFonts w:hint="default" w:ascii="Times New Roman" w:hAnsi="Times New Roman" w:cs="Times New Roman"/>
                <w:color w:val="000000" w:themeColor="text1"/>
                <w:sz w:val="24"/>
                <w:szCs w:val="24"/>
                <w:lang w:eastAsia="zh-CN"/>
                <w14:textFill>
                  <w14:solidFill>
                    <w14:schemeClr w14:val="tx1"/>
                  </w14:solidFill>
                </w14:textFill>
              </w:rPr>
              <w:t>若封孔后钻探场地</w:t>
            </w:r>
            <w:r>
              <w:rPr>
                <w:rFonts w:hint="default" w:ascii="Times New Roman" w:hAnsi="Times New Roman" w:cs="Times New Roman"/>
                <w:color w:val="000000" w:themeColor="text1"/>
                <w:sz w:val="24"/>
                <w:szCs w:val="24"/>
                <w14:textFill>
                  <w14:solidFill>
                    <w14:schemeClr w14:val="tx1"/>
                  </w14:solidFill>
                </w14:textFill>
              </w:rPr>
              <w:t>γ</w:t>
            </w:r>
            <w:r>
              <w:rPr>
                <w:rFonts w:hint="default" w:ascii="Times New Roman" w:hAnsi="Times New Roman" w:cs="Times New Roman"/>
                <w:color w:val="000000" w:themeColor="text1"/>
                <w:sz w:val="24"/>
                <w:szCs w:val="24"/>
                <w:lang w:eastAsia="zh-CN"/>
                <w14:textFill>
                  <w14:solidFill>
                    <w14:schemeClr w14:val="tx1"/>
                  </w14:solidFill>
                </w14:textFill>
              </w:rPr>
              <w:t>辐射空气吸收剂量率明显高于钻探场地施工前空气吸收剂量率监测值，表明钻探过程中产生的含矿岩心出现撒漏情况，且未完全清理，应将撒漏的含矿岩心完全清理后与非矿段岩心一起埋入岩芯池，表面覆盖土层、压实后，重新进行</w:t>
            </w:r>
            <w:r>
              <w:rPr>
                <w:rFonts w:hint="default" w:ascii="Times New Roman" w:hAnsi="Times New Roman" w:cs="Times New Roman"/>
                <w:color w:val="000000" w:themeColor="text1"/>
                <w:sz w:val="24"/>
                <w:szCs w:val="24"/>
                <w14:textFill>
                  <w14:solidFill>
                    <w14:schemeClr w14:val="tx1"/>
                  </w14:solidFill>
                </w14:textFill>
              </w:rPr>
              <w:t>γ</w:t>
            </w:r>
            <w:r>
              <w:rPr>
                <w:rFonts w:hint="default" w:ascii="Times New Roman" w:hAnsi="Times New Roman" w:cs="Times New Roman"/>
                <w:color w:val="000000" w:themeColor="text1"/>
                <w:sz w:val="24"/>
                <w:szCs w:val="24"/>
                <w:lang w:eastAsia="zh-CN"/>
                <w14:textFill>
                  <w14:solidFill>
                    <w14:schemeClr w14:val="tx1"/>
                  </w14:solidFill>
                </w14:textFill>
              </w:rPr>
              <w:t>辐射空气吸收剂量率监</w:t>
            </w:r>
            <w:r>
              <w:rPr>
                <w:rFonts w:hint="default" w:ascii="Times New Roman" w:hAnsi="Times New Roman" w:cs="Times New Roman"/>
                <w:color w:val="000000" w:themeColor="text1"/>
                <w:sz w:val="24"/>
                <w:lang w:eastAsia="zh-CN"/>
                <w14:textFill>
                  <w14:solidFill>
                    <w14:schemeClr w14:val="tx1"/>
                  </w14:solidFill>
                </w14:textFill>
              </w:rPr>
              <w:t>测，并监测泥浆池、岩芯池氡及子体、氡析出率、气溶胶</w:t>
            </w:r>
            <w:r>
              <w:rPr>
                <w:rFonts w:hint="default" w:ascii="Times New Roman" w:hAnsi="Times New Roman" w:cs="Times New Roman"/>
                <w:color w:val="000000" w:themeColor="text1"/>
                <w:sz w:val="24"/>
                <w:szCs w:val="24"/>
                <w:lang w:eastAsia="zh-CN"/>
                <w14:textFill>
                  <w14:solidFill>
                    <w14:schemeClr w14:val="tx1"/>
                  </w14:solidFill>
                </w14:textFill>
              </w:rPr>
              <w:t>，直至土层表面</w:t>
            </w:r>
            <w:r>
              <w:rPr>
                <w:rFonts w:hint="default" w:ascii="Times New Roman" w:hAnsi="Times New Roman" w:cs="Times New Roman"/>
                <w:color w:val="000000" w:themeColor="text1"/>
                <w:sz w:val="24"/>
                <w:szCs w:val="24"/>
                <w14:textFill>
                  <w14:solidFill>
                    <w14:schemeClr w14:val="tx1"/>
                  </w14:solidFill>
                </w14:textFill>
              </w:rPr>
              <w:t>γ</w:t>
            </w:r>
            <w:r>
              <w:rPr>
                <w:rFonts w:hint="default" w:ascii="Times New Roman" w:hAnsi="Times New Roman" w:cs="Times New Roman"/>
                <w:color w:val="000000" w:themeColor="text1"/>
                <w:sz w:val="24"/>
                <w:szCs w:val="24"/>
                <w:lang w:eastAsia="zh-CN"/>
                <w14:textFill>
                  <w14:solidFill>
                    <w14:schemeClr w14:val="tx1"/>
                  </w14:solidFill>
                </w14:textFill>
              </w:rPr>
              <w:t>辐射空气吸收剂量率监测值与施工前空气吸收剂量率处于同一水平。</w:t>
            </w:r>
          </w:p>
          <w:bookmarkEnd w:id="31"/>
          <w:p>
            <w:pPr>
              <w:spacing w:line="360" w:lineRule="auto"/>
              <w:ind w:firstLine="420" w:firstLineChars="200"/>
              <w:rPr>
                <w:color w:val="000000" w:themeColor="text1"/>
                <w14:textFill>
                  <w14:solidFill>
                    <w14:schemeClr w14:val="tx1"/>
                  </w14:solidFill>
                </w14:textFill>
              </w:rPr>
            </w:pPr>
          </w:p>
        </w:tc>
      </w:tr>
    </w:tbl>
    <w:p>
      <w:pPr>
        <w:spacing w:line="360" w:lineRule="auto"/>
        <w:rPr>
          <w:color w:val="000000" w:themeColor="text1"/>
          <w:sz w:val="24"/>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14:textFill>
            <w14:solidFill>
              <w14:schemeClr w14:val="tx1"/>
            </w14:solidFill>
          </w14:textFill>
        </w:rPr>
        <w:t>十二、环境修复</w:t>
      </w:r>
    </w:p>
    <w:tbl>
      <w:tblPr>
        <w:tblStyle w:val="13"/>
        <w:tblW w:w="0" w:type="auto"/>
        <w:tblInd w:w="131"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71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12666" w:hRule="atLeast"/>
        </w:trPr>
        <w:tc>
          <w:tcPr>
            <w:tcW w:w="9710" w:type="dxa"/>
          </w:tcPr>
          <w:p>
            <w:pPr>
              <w:pStyle w:val="17"/>
              <w:adjustRightInd/>
              <w:spacing w:line="360" w:lineRule="auto"/>
              <w:jc w:val="both"/>
              <w:rPr>
                <w:rFonts w:ascii="Times New Roman" w:hAnsi="Times New Roman" w:eastAsia="宋体" w:cs="Times New Roman"/>
                <w:b/>
                <w:bCs/>
                <w:color w:val="000000" w:themeColor="text1"/>
                <w14:textFill>
                  <w14:solidFill>
                    <w14:schemeClr w14:val="tx1"/>
                  </w14:solidFill>
                </w14:textFill>
              </w:rPr>
            </w:pPr>
            <w:r>
              <w:rPr>
                <w:rFonts w:ascii="Times New Roman" w:hAnsi="Times New Roman" w:eastAsia="宋体" w:cs="Times New Roman"/>
                <w:b/>
                <w:bCs/>
                <w:color w:val="000000" w:themeColor="text1"/>
                <w14:textFill>
                  <w14:solidFill>
                    <w14:schemeClr w14:val="tx1"/>
                  </w14:solidFill>
                </w14:textFill>
              </w:rPr>
              <w:t>1、</w:t>
            </w:r>
            <w:r>
              <w:rPr>
                <w:rFonts w:hint="eastAsia" w:ascii="Times New Roman" w:hAnsi="Times New Roman" w:eastAsia="宋体" w:cs="Times New Roman"/>
                <w:b/>
                <w:bCs/>
                <w:color w:val="000000" w:themeColor="text1"/>
                <w14:textFill>
                  <w14:solidFill>
                    <w14:schemeClr w14:val="tx1"/>
                  </w14:solidFill>
                </w14:textFill>
              </w:rPr>
              <w:t>环境修复</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本项目钻探工作完成后，需要对施工场地进行有效地生态环境修复，采取的主要措施体现在以下几个方面：</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①为防止含矿含水层与其上下的含水层贯通，采用水泥进行全孔封闭，即从钻孔底部灌注水泥浆，直至孔口返出水泥浆为止。水泥封孔结束后，现场用水泥浇注</w:t>
            </w:r>
            <w:r>
              <w:rPr>
                <w:color w:val="000000" w:themeColor="text1"/>
                <w:sz w:val="24"/>
                <w14:textFill>
                  <w14:solidFill>
                    <w14:schemeClr w14:val="tx1"/>
                  </w14:solidFill>
                </w14:textFill>
              </w:rPr>
              <w:t>40cm×40cm×40cm</w:t>
            </w:r>
            <w:r>
              <w:rPr>
                <w:rFonts w:hint="eastAsia"/>
                <w:color w:val="000000" w:themeColor="text1"/>
                <w:sz w:val="24"/>
                <w14:textFill>
                  <w14:solidFill>
                    <w14:schemeClr w14:val="tx1"/>
                  </w14:solidFill>
                </w14:textFill>
              </w:rPr>
              <w:t>的水泥块体作为孔口标志，其上注明孔号、孔深、封孔日期等信息。</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②钻探工作结束后，及时拆除现场施工设备、物资和临时设施，清除现场各类杂物及垃圾；</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③对施工现场进行清理，对开挖的坑、池进行回填掩埋，按原始地形地貌平整场地，达到与周边环境相协调；</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④非矿段岩芯放置在岩芯池内，废弃泥浆进入泥浆池内，钻孔完毕后均就地覆土填埋处置</w:t>
            </w:r>
            <w:r>
              <w:rPr>
                <w:rFonts w:hint="eastAsia"/>
                <w:color w:val="000000" w:themeColor="text1"/>
                <w:sz w:val="24"/>
                <w:lang w:eastAsia="zh-CN"/>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⑤对施工现场进行植被恢复，选择的复垦植被与周边环境相协调，防止环境污染和水土流失；</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⑥技术人员对机台平整恢复情况进行验收，并进行放射性强度检测，保其监测值与施工前监测值处于同一范围内，经验收合格后方可撤离；</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⑦巡视调查工区区域，查看区域内施工场地的生态恢复情况，发现问题及时采取相应的环境保护措施进行处理，无遗漏环境问题。</w:t>
            </w:r>
          </w:p>
          <w:p>
            <w:pPr>
              <w:pStyle w:val="17"/>
              <w:adjustRightInd/>
              <w:spacing w:line="360" w:lineRule="auto"/>
              <w:jc w:val="both"/>
              <w:rPr>
                <w:rFonts w:ascii="Times New Roman" w:hAnsi="Times New Roman" w:eastAsia="宋体" w:cs="Times New Roman"/>
                <w:b/>
                <w:bCs/>
                <w:color w:val="000000" w:themeColor="text1"/>
                <w14:textFill>
                  <w14:solidFill>
                    <w14:schemeClr w14:val="tx1"/>
                  </w14:solidFill>
                </w14:textFill>
              </w:rPr>
            </w:pPr>
            <w:r>
              <w:rPr>
                <w:rFonts w:ascii="Times New Roman" w:hAnsi="Times New Roman" w:eastAsia="宋体" w:cs="Times New Roman"/>
                <w:b/>
                <w:bCs/>
                <w:color w:val="000000" w:themeColor="text1"/>
                <w14:textFill>
                  <w14:solidFill>
                    <w14:schemeClr w14:val="tx1"/>
                  </w14:solidFill>
                </w14:textFill>
              </w:rPr>
              <w:t>2、长期监护</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本项目为铀矿地质勘查项目，地质钻孔进行封闭后，工程稳定性好，受其他因素影响小；场地平整和植被恢复措施落实后，临时占地可恢复原土地利用类型，对</w:t>
            </w:r>
            <w:r>
              <w:rPr>
                <w:rFonts w:hint="eastAsia"/>
                <w:color w:val="000000" w:themeColor="text1"/>
                <w:sz w:val="24"/>
                <w:lang w:val="en-US" w:eastAsia="zh-CN"/>
                <w14:textFill>
                  <w14:solidFill>
                    <w14:schemeClr w14:val="tx1"/>
                  </w14:solidFill>
                </w14:textFill>
              </w:rPr>
              <w:t>勘查区</w:t>
            </w:r>
            <w:r>
              <w:rPr>
                <w:color w:val="000000" w:themeColor="text1"/>
                <w:sz w:val="24"/>
                <w14:textFill>
                  <w14:solidFill>
                    <w14:schemeClr w14:val="tx1"/>
                  </w14:solidFill>
                </w14:textFill>
              </w:rPr>
              <w:t>土地利用类型、植被影响较小。</w:t>
            </w:r>
            <w:r>
              <w:rPr>
                <w:rFonts w:hint="eastAsia"/>
                <w:color w:val="000000" w:themeColor="text1"/>
                <w:sz w:val="24"/>
                <w14:textFill>
                  <w14:solidFill>
                    <w14:schemeClr w14:val="tx1"/>
                  </w14:solidFill>
                </w14:textFill>
              </w:rPr>
              <w:t>因此</w:t>
            </w:r>
            <w:r>
              <w:rPr>
                <w:color w:val="000000" w:themeColor="text1"/>
                <w:sz w:val="24"/>
                <w14:textFill>
                  <w14:solidFill>
                    <w14:schemeClr w14:val="tx1"/>
                  </w14:solidFill>
                </w14:textFill>
              </w:rPr>
              <w:t>项目</w:t>
            </w:r>
            <w:r>
              <w:rPr>
                <w:rFonts w:hint="eastAsia"/>
                <w:color w:val="000000" w:themeColor="text1"/>
                <w:sz w:val="24"/>
                <w14:textFill>
                  <w14:solidFill>
                    <w14:schemeClr w14:val="tx1"/>
                  </w14:solidFill>
                </w14:textFill>
              </w:rPr>
              <w:t>完成</w:t>
            </w:r>
            <w:r>
              <w:rPr>
                <w:color w:val="000000" w:themeColor="text1"/>
                <w:sz w:val="24"/>
                <w14:textFill>
                  <w14:solidFill>
                    <w14:schemeClr w14:val="tx1"/>
                  </w14:solidFill>
                </w14:textFill>
              </w:rPr>
              <w:t>后不需要长期监护。</w:t>
            </w:r>
          </w:p>
        </w:tc>
      </w:tr>
    </w:tbl>
    <w:p>
      <w:pPr>
        <w:spacing w:line="360" w:lineRule="auto"/>
        <w:rPr>
          <w:color w:val="000000" w:themeColor="text1"/>
          <w:sz w:val="24"/>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14:textFill>
            <w14:solidFill>
              <w14:schemeClr w14:val="tx1"/>
            </w14:solidFill>
          </w14:textFill>
        </w:rPr>
        <w:t>十三、</w:t>
      </w:r>
      <w:r>
        <w:rPr>
          <w:rFonts w:eastAsia="黑体"/>
          <w:color w:val="000000" w:themeColor="text1"/>
          <w:sz w:val="32"/>
          <w14:textFill>
            <w14:solidFill>
              <w14:schemeClr w14:val="tx1"/>
            </w14:solidFill>
          </w14:textFill>
        </w:rPr>
        <w:t>结论与建议</w:t>
      </w:r>
    </w:p>
    <w:tbl>
      <w:tblPr>
        <w:tblStyle w:val="12"/>
        <w:tblW w:w="4893" w:type="pct"/>
        <w:tblInd w:w="10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4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529" w:hRule="atLeast"/>
        </w:trPr>
        <w:tc>
          <w:tcPr>
            <w:tcW w:w="5000" w:type="pct"/>
          </w:tcPr>
          <w:p>
            <w:pPr>
              <w:spacing w:line="360" w:lineRule="auto"/>
              <w:rPr>
                <w:b/>
                <w:color w:val="000000" w:themeColor="text1"/>
                <w:sz w:val="28"/>
                <w:szCs w:val="28"/>
                <w14:textFill>
                  <w14:solidFill>
                    <w14:schemeClr w14:val="tx1"/>
                  </w14:solidFill>
                </w14:textFill>
              </w:rPr>
            </w:pPr>
            <w:r>
              <w:rPr>
                <w:rFonts w:hint="eastAsia"/>
                <w:b/>
                <w:color w:val="000000" w:themeColor="text1"/>
                <w:sz w:val="28"/>
                <w:szCs w:val="28"/>
                <w14:textFill>
                  <w14:solidFill>
                    <w14:schemeClr w14:val="tx1"/>
                  </w14:solidFill>
                </w14:textFill>
              </w:rPr>
              <w:t>1</w:t>
            </w:r>
            <w:r>
              <w:rPr>
                <w:b/>
                <w:color w:val="000000" w:themeColor="text1"/>
                <w:sz w:val="28"/>
                <w:szCs w:val="28"/>
                <w14:textFill>
                  <w14:solidFill>
                    <w14:schemeClr w14:val="tx1"/>
                  </w14:solidFill>
                </w14:textFill>
              </w:rPr>
              <w:t>、结论</w:t>
            </w:r>
          </w:p>
          <w:p>
            <w:pPr>
              <w:pStyle w:val="4"/>
              <w:tabs>
                <w:tab w:val="left" w:pos="905"/>
              </w:tabs>
              <w:spacing w:line="360" w:lineRule="auto"/>
              <w:ind w:left="0" w:firstLine="0"/>
              <w:jc w:val="left"/>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lang w:val="en-US"/>
                <w14:textFill>
                  <w14:solidFill>
                    <w14:schemeClr w14:val="tx1"/>
                  </w14:solidFill>
                </w14:textFill>
              </w:rPr>
              <w:t>1.1</w:t>
            </w:r>
            <w:r>
              <w:rPr>
                <w:rFonts w:ascii="Times New Roman" w:hAnsi="Times New Roman" w:cs="Times New Roman"/>
                <w:color w:val="000000" w:themeColor="text1"/>
                <w14:textFill>
                  <w14:solidFill>
                    <w14:schemeClr w14:val="tx1"/>
                  </w14:solidFill>
                </w14:textFill>
              </w:rPr>
              <w:t>项目概况</w:t>
            </w:r>
          </w:p>
          <w:p>
            <w:pPr>
              <w:adjustRightInd w:val="0"/>
              <w:spacing w:line="360" w:lineRule="auto"/>
              <w:ind w:firstLine="480" w:firstLineChars="200"/>
              <w:rPr>
                <w:rFonts w:hint="default" w:eastAsia="宋体"/>
                <w:bCs/>
                <w:color w:val="000000" w:themeColor="text1"/>
                <w:sz w:val="24"/>
                <w:szCs w:val="20"/>
                <w:lang w:val="en-US" w:eastAsia="zh-CN"/>
                <w14:textFill>
                  <w14:solidFill>
                    <w14:schemeClr w14:val="tx1"/>
                  </w14:solidFill>
                </w14:textFill>
              </w:rPr>
            </w:pPr>
            <w:r>
              <w:rPr>
                <w:rFonts w:hint="eastAsia"/>
                <w:bCs/>
                <w:color w:val="000000" w:themeColor="text1"/>
                <w:sz w:val="24"/>
                <w:szCs w:val="20"/>
                <w:lang w:eastAsia="zh-CN"/>
                <w14:textFill>
                  <w14:solidFill>
                    <w14:schemeClr w14:val="tx1"/>
                  </w14:solidFill>
                </w14:textFill>
              </w:rPr>
              <w:t>（</w:t>
            </w:r>
            <w:r>
              <w:rPr>
                <w:rFonts w:hint="eastAsia"/>
                <w:bCs/>
                <w:color w:val="000000" w:themeColor="text1"/>
                <w:sz w:val="24"/>
                <w:szCs w:val="20"/>
                <w:lang w:val="en-US" w:eastAsia="zh-CN"/>
                <w14:textFill>
                  <w14:solidFill>
                    <w14:schemeClr w14:val="tx1"/>
                  </w14:solidFill>
                </w14:textFill>
              </w:rPr>
              <w:t>1</w:t>
            </w:r>
            <w:r>
              <w:rPr>
                <w:rFonts w:hint="eastAsia"/>
                <w:bCs/>
                <w:color w:val="000000" w:themeColor="text1"/>
                <w:sz w:val="24"/>
                <w:szCs w:val="20"/>
                <w:lang w:eastAsia="zh-CN"/>
                <w14:textFill>
                  <w14:solidFill>
                    <w14:schemeClr w14:val="tx1"/>
                  </w14:solidFill>
                </w14:textFill>
              </w:rPr>
              <w:t>）</w:t>
            </w:r>
            <w:r>
              <w:rPr>
                <w:rFonts w:hint="eastAsia"/>
                <w:bCs/>
                <w:color w:val="000000" w:themeColor="text1"/>
                <w:sz w:val="24"/>
                <w:szCs w:val="20"/>
                <w:lang w:val="en-US" w:eastAsia="zh-CN"/>
                <w14:textFill>
                  <w14:solidFill>
                    <w14:schemeClr w14:val="tx1"/>
                  </w14:solidFill>
                </w14:textFill>
              </w:rPr>
              <w:t>基本概况</w:t>
            </w:r>
          </w:p>
          <w:p>
            <w:pPr>
              <w:adjustRightInd w:val="0"/>
              <w:spacing w:line="360" w:lineRule="auto"/>
              <w:ind w:firstLine="480" w:firstLineChars="200"/>
              <w:rPr>
                <w:bCs/>
                <w:color w:val="000000" w:themeColor="text1"/>
                <w:sz w:val="24"/>
                <w:szCs w:val="20"/>
                <w14:textFill>
                  <w14:solidFill>
                    <w14:schemeClr w14:val="tx1"/>
                  </w14:solidFill>
                </w14:textFill>
              </w:rPr>
            </w:pPr>
            <w:r>
              <w:rPr>
                <w:rFonts w:hint="eastAsia"/>
                <w:bCs/>
                <w:color w:val="000000" w:themeColor="text1"/>
                <w:sz w:val="24"/>
                <w:szCs w:val="20"/>
                <w14:textFill>
                  <w14:solidFill>
                    <w14:schemeClr w14:val="tx1"/>
                  </w14:solidFill>
                </w14:textFill>
              </w:rPr>
              <w:t>本项目为</w:t>
            </w:r>
            <w:r>
              <w:rPr>
                <w:rFonts w:hint="eastAsia"/>
                <w:bCs/>
                <w:color w:val="000000" w:themeColor="text1"/>
                <w:sz w:val="24"/>
                <w:szCs w:val="20"/>
                <w:lang w:val="en-GB"/>
                <w14:textFill>
                  <w14:solidFill>
                    <w14:schemeClr w14:val="tx1"/>
                  </w14:solidFill>
                </w14:textFill>
              </w:rPr>
              <w:t>柴达木盆地阿拉尔—苏干湖地区铀矿资源调查评价与勘查，</w:t>
            </w:r>
            <w:r>
              <w:rPr>
                <w:rFonts w:hint="eastAsia"/>
                <w:bCs/>
                <w:color w:val="000000" w:themeColor="text1"/>
                <w:sz w:val="24"/>
                <w:szCs w:val="20"/>
                <w:lang w:val="en-US" w:eastAsia="zh-CN"/>
                <w14:textFill>
                  <w14:solidFill>
                    <w14:schemeClr w14:val="tx1"/>
                  </w14:solidFill>
                </w14:textFill>
              </w:rPr>
              <w:t>勘查区</w:t>
            </w:r>
            <w:r>
              <w:rPr>
                <w:rFonts w:hint="eastAsia"/>
                <w:bCs/>
                <w:color w:val="000000" w:themeColor="text1"/>
                <w:sz w:val="24"/>
                <w:szCs w:val="20"/>
                <w14:textFill>
                  <w14:solidFill>
                    <w14:schemeClr w14:val="tx1"/>
                  </w14:solidFill>
                </w14:textFill>
              </w:rPr>
              <w:t>位于柴达木盆地，地跨</w:t>
            </w:r>
            <w:r>
              <w:rPr>
                <w:rFonts w:hint="eastAsia"/>
                <w:bCs/>
                <w:color w:val="000000" w:themeColor="text1"/>
                <w:sz w:val="24"/>
                <w:szCs w:val="20"/>
                <w:lang w:eastAsia="zh-CN"/>
                <w14:textFill>
                  <w14:solidFill>
                    <w14:schemeClr w14:val="tx1"/>
                  </w14:solidFill>
                </w14:textFill>
              </w:rPr>
              <w:t>青海省海西蒙古族藏族自治州</w:t>
            </w:r>
            <w:r>
              <w:rPr>
                <w:rFonts w:hint="eastAsia"/>
                <w:bCs/>
                <w:color w:val="000000" w:themeColor="text1"/>
                <w:sz w:val="24"/>
                <w:szCs w:val="20"/>
                <w14:textFill>
                  <w14:solidFill>
                    <w14:schemeClr w14:val="tx1"/>
                  </w14:solidFill>
                </w14:textFill>
              </w:rPr>
              <w:t>、新疆维吾尔自治区若羌县和</w:t>
            </w:r>
            <w:r>
              <w:rPr>
                <w:rFonts w:hint="eastAsia"/>
                <w:bCs/>
                <w:color w:val="000000" w:themeColor="text1"/>
                <w:sz w:val="24"/>
                <w:szCs w:val="20"/>
                <w:lang w:eastAsia="zh-CN"/>
                <w14:textFill>
                  <w14:solidFill>
                    <w14:schemeClr w14:val="tx1"/>
                  </w14:solidFill>
                </w14:textFill>
              </w:rPr>
              <w:t>甘肃省酒泉市阿克塞哈萨克族自治县</w:t>
            </w:r>
            <w:r>
              <w:rPr>
                <w:rFonts w:hint="eastAsia"/>
                <w:bCs/>
                <w:color w:val="000000" w:themeColor="text1"/>
                <w:sz w:val="24"/>
                <w:szCs w:val="20"/>
                <w14:textFill>
                  <w14:solidFill>
                    <w14:schemeClr w14:val="tx1"/>
                  </w14:solidFill>
                </w14:textFill>
              </w:rPr>
              <w:t>。</w:t>
            </w:r>
          </w:p>
          <w:p>
            <w:pPr>
              <w:pStyle w:val="3"/>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default" w:ascii="Times New Roman" w:hAnsi="Times New Roman" w:eastAsia="宋体" w:cs="Times New Roman"/>
                <w:b w:val="0"/>
                <w:color w:val="000000" w:themeColor="text1"/>
                <w:sz w:val="24"/>
                <w:szCs w:val="20"/>
                <w:lang w:val="en-US" w:eastAsia="zh-CN"/>
                <w14:textFill>
                  <w14:solidFill>
                    <w14:schemeClr w14:val="tx1"/>
                  </w14:solidFill>
                </w14:textFill>
              </w:rPr>
            </w:pPr>
            <w:r>
              <w:rPr>
                <w:rFonts w:hint="eastAsia" w:ascii="Times New Roman" w:hAnsi="Times New Roman" w:eastAsia="宋体" w:cs="Times New Roman"/>
                <w:b w:val="0"/>
                <w:color w:val="000000" w:themeColor="text1"/>
                <w:sz w:val="24"/>
                <w:szCs w:val="20"/>
                <w:lang w:val="en-US" w:eastAsia="zh-CN"/>
                <w14:textFill>
                  <w14:solidFill>
                    <w14:schemeClr w14:val="tx1"/>
                  </w14:solidFill>
                </w14:textFill>
              </w:rPr>
              <w:t>（2）建设内容</w:t>
            </w:r>
          </w:p>
          <w:p>
            <w:pPr>
              <w:pStyle w:val="3"/>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default"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pP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本项目</w:t>
            </w:r>
            <w:r>
              <w:rPr>
                <w:rFonts w:hint="eastAsia" w:ascii="Times New Roman" w:hAnsi="Times New Roman" w:eastAsia="宋体" w:cs="Times New Roman"/>
                <w:b w:val="0"/>
                <w:bCs/>
                <w:color w:val="000000" w:themeColor="text1"/>
                <w:kern w:val="2"/>
                <w:sz w:val="24"/>
                <w:szCs w:val="20"/>
                <w:lang w:val="en-GB" w:eastAsia="zh-CN" w:bidi="ar-SA"/>
                <w14:textFill>
                  <w14:solidFill>
                    <w14:schemeClr w14:val="tx1"/>
                  </w14:solidFill>
                </w14:textFill>
              </w:rPr>
              <w:t>工作</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时间</w:t>
            </w:r>
            <w:r>
              <w:rPr>
                <w:rFonts w:hint="eastAsia" w:ascii="Times New Roman" w:hAnsi="Times New Roman" w:eastAsia="宋体" w:cs="Times New Roman"/>
                <w:b w:val="0"/>
                <w:bCs/>
                <w:color w:val="000000" w:themeColor="text1"/>
                <w:kern w:val="2"/>
                <w:sz w:val="24"/>
                <w:szCs w:val="20"/>
                <w:lang w:val="en-GB" w:eastAsia="zh-CN" w:bidi="ar-SA"/>
                <w14:textFill>
                  <w14:solidFill>
                    <w14:schemeClr w14:val="tx1"/>
                  </w14:solidFill>
                </w14:textFill>
              </w:rPr>
              <w:t>为2022-2026年，2022年工作量为28000m，拟设钻孔</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46</w:t>
            </w:r>
            <w:r>
              <w:rPr>
                <w:rFonts w:hint="eastAsia" w:ascii="Times New Roman" w:hAnsi="Times New Roman" w:eastAsia="宋体" w:cs="Times New Roman"/>
                <w:b w:val="0"/>
                <w:bCs/>
                <w:color w:val="000000" w:themeColor="text1"/>
                <w:kern w:val="2"/>
                <w:sz w:val="24"/>
                <w:szCs w:val="20"/>
                <w:lang w:val="en-GB" w:eastAsia="zh-CN" w:bidi="ar-SA"/>
                <w14:textFill>
                  <w14:solidFill>
                    <w14:schemeClr w14:val="tx1"/>
                  </w14:solidFill>
                </w14:textFill>
              </w:rPr>
              <w:t>个；</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2023-2026年该勘查区内预估钻探工作量148000m，钻孔238个。</w:t>
            </w:r>
          </w:p>
          <w:p>
            <w:pPr>
              <w:pStyle w:val="4"/>
              <w:tabs>
                <w:tab w:val="left" w:pos="905"/>
              </w:tabs>
              <w:spacing w:line="360" w:lineRule="auto"/>
              <w:ind w:left="0" w:firstLine="0"/>
              <w:jc w:val="left"/>
              <w:rPr>
                <w:rFonts w:ascii="Times New Roman" w:hAnsi="Times New Roman" w:cs="Times New Roman"/>
                <w:color w:val="000000" w:themeColor="text1"/>
                <w:lang w:val="en-US"/>
                <w14:textFill>
                  <w14:solidFill>
                    <w14:schemeClr w14:val="tx1"/>
                  </w14:solidFill>
                </w14:textFill>
              </w:rPr>
            </w:pPr>
            <w:r>
              <w:rPr>
                <w:rFonts w:ascii="Times New Roman" w:hAnsi="Times New Roman" w:cs="Times New Roman"/>
                <w:color w:val="000000" w:themeColor="text1"/>
                <w:lang w:val="en-US"/>
                <w14:textFill>
                  <w14:solidFill>
                    <w14:schemeClr w14:val="tx1"/>
                  </w14:solidFill>
                </w14:textFill>
              </w:rPr>
              <w:t>1.</w:t>
            </w:r>
            <w:r>
              <w:rPr>
                <w:rFonts w:hint="eastAsia" w:ascii="Times New Roman" w:hAnsi="Times New Roman" w:cs="Times New Roman"/>
                <w:color w:val="000000" w:themeColor="text1"/>
                <w:lang w:val="en-US"/>
                <w14:textFill>
                  <w14:solidFill>
                    <w14:schemeClr w14:val="tx1"/>
                  </w14:solidFill>
                </w14:textFill>
              </w:rPr>
              <w:t>2分析判断相关情况</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（1）产业政策符合性分析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本项目</w:t>
            </w:r>
            <w:r>
              <w:rPr>
                <w:color w:val="000000" w:themeColor="text1"/>
                <w:sz w:val="24"/>
                <w14:textFill>
                  <w14:solidFill>
                    <w14:schemeClr w14:val="tx1"/>
                  </w14:solidFill>
                </w14:textFill>
              </w:rPr>
              <w:t>未列入《青海省国家重点生态功能区产业准入负面清单（试行）》</w:t>
            </w:r>
            <w:r>
              <w:rPr>
                <w:rFonts w:hint="eastAsia"/>
                <w:color w:val="000000" w:themeColor="text1"/>
                <w:sz w:val="24"/>
                <w14:textFill>
                  <w14:solidFill>
                    <w14:schemeClr w14:val="tx1"/>
                  </w14:solidFill>
                </w14:textFill>
              </w:rPr>
              <w:t>、《甘肃省</w:t>
            </w:r>
            <w:r>
              <w:rPr>
                <w:color w:val="000000" w:themeColor="text1"/>
                <w:sz w:val="24"/>
                <w14:textFill>
                  <w14:solidFill>
                    <w14:schemeClr w14:val="tx1"/>
                  </w14:solidFill>
                </w14:textFill>
              </w:rPr>
              <w:t>国家重点生态功能区产业准入负面清单（试行）</w:t>
            </w:r>
            <w:r>
              <w:rPr>
                <w:rFonts w:hint="eastAsia"/>
                <w:color w:val="000000" w:themeColor="text1"/>
                <w:sz w:val="24"/>
                <w14:textFill>
                  <w14:solidFill>
                    <w14:schemeClr w14:val="tx1"/>
                  </w14:solidFill>
                </w14:textFill>
              </w:rPr>
              <w:t>》、《新疆维吾尔自治区28个国家重点生态功能区县(市)产业准入负面清单（试行）》以及《新疆维吾尔自治区17个新增纳入国家重点生态功能区县(市)产业准入负面清单（试行）》。</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本项目属《产业结构调整指导目录（2019年本）》中“鼓励类”（见表1.2-1），符合国家产业政策。</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w:t>
            </w:r>
            <w:r>
              <w:rPr>
                <w:color w:val="000000" w:themeColor="text1"/>
                <w:sz w:val="24"/>
                <w14:textFill>
                  <w14:solidFill>
                    <w14:schemeClr w14:val="tx1"/>
                  </w14:solidFill>
                </w14:textFill>
              </w:rPr>
              <w:t>与相关区划、规划符合性分析</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本项目符合《青海省主体功能区规划》、</w:t>
            </w:r>
            <w:r>
              <w:rPr>
                <w:rFonts w:hint="eastAsia"/>
                <w:color w:val="000000" w:themeColor="text1"/>
                <w:sz w:val="24"/>
                <w14:textFill>
                  <w14:solidFill>
                    <w14:schemeClr w14:val="tx1"/>
                  </w14:solidFill>
                </w14:textFill>
              </w:rPr>
              <w:t>《甘肃省主体功能区</w:t>
            </w:r>
            <w:r>
              <w:rPr>
                <w:rFonts w:hint="eastAsia"/>
                <w:color w:val="000000" w:themeColor="text1"/>
                <w:sz w:val="24"/>
                <w:lang w:val="en-US" w:eastAsia="zh-CN"/>
                <w14:textFill>
                  <w14:solidFill>
                    <w14:schemeClr w14:val="tx1"/>
                  </w14:solidFill>
                </w14:textFill>
              </w:rPr>
              <w:t>规划</w:t>
            </w:r>
            <w:r>
              <w:rPr>
                <w:rFonts w:hint="eastAsia"/>
                <w:color w:val="000000" w:themeColor="text1"/>
                <w:sz w:val="24"/>
                <w14:textFill>
                  <w14:solidFill>
                    <w14:schemeClr w14:val="tx1"/>
                  </w14:solidFill>
                </w14:textFill>
              </w:rPr>
              <w:t>》、《新疆维吾尔自治区主体功能区</w:t>
            </w:r>
            <w:r>
              <w:rPr>
                <w:rFonts w:hint="eastAsia"/>
                <w:color w:val="000000" w:themeColor="text1"/>
                <w:sz w:val="24"/>
                <w:lang w:val="en-US" w:eastAsia="zh-CN"/>
                <w14:textFill>
                  <w14:solidFill>
                    <w14:schemeClr w14:val="tx1"/>
                  </w14:solidFill>
                </w14:textFill>
              </w:rPr>
              <w:t>规划</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《青海省矿产资源总体规划（2016-2020）》</w:t>
            </w:r>
            <w:r>
              <w:rPr>
                <w:rFonts w:hint="eastAsia"/>
                <w:color w:val="000000" w:themeColor="text1"/>
                <w:sz w:val="24"/>
                <w14:textFill>
                  <w14:solidFill>
                    <w14:schemeClr w14:val="tx1"/>
                  </w14:solidFill>
                </w14:textFill>
              </w:rPr>
              <w:t>、</w:t>
            </w:r>
            <w:r>
              <w:rPr>
                <w:rFonts w:hint="eastAsia" w:ascii="宋体" w:hAnsi="宋体" w:cs="宋体"/>
                <w:color w:val="000000" w:themeColor="text1"/>
                <w:kern w:val="0"/>
                <w:sz w:val="24"/>
                <w:lang w:bidi="ar"/>
                <w14:textFill>
                  <w14:solidFill>
                    <w14:schemeClr w14:val="tx1"/>
                  </w14:solidFill>
                </w14:textFill>
              </w:rPr>
              <w:t>《甘肃省矿产资源总体规划（</w:t>
            </w:r>
            <w:r>
              <w:rPr>
                <w:rFonts w:ascii="TimesNewRomanPSMT" w:hAnsi="TimesNewRomanPSMT" w:eastAsia="TimesNewRomanPSMT" w:cs="TimesNewRomanPSMT"/>
                <w:color w:val="000000" w:themeColor="text1"/>
                <w:kern w:val="0"/>
                <w:sz w:val="24"/>
                <w:lang w:bidi="ar"/>
                <w14:textFill>
                  <w14:solidFill>
                    <w14:schemeClr w14:val="tx1"/>
                  </w14:solidFill>
                </w14:textFill>
              </w:rPr>
              <w:t>2016-2020</w:t>
            </w:r>
            <w:r>
              <w:rPr>
                <w:rFonts w:hint="eastAsia" w:ascii="宋体" w:hAnsi="宋体" w:cs="宋体"/>
                <w:color w:val="000000" w:themeColor="text1"/>
                <w:kern w:val="0"/>
                <w:sz w:val="24"/>
                <w:lang w:bidi="ar"/>
                <w14:textFill>
                  <w14:solidFill>
                    <w14:schemeClr w14:val="tx1"/>
                  </w14:solidFill>
                </w14:textFill>
              </w:rPr>
              <w:t>）》、</w:t>
            </w:r>
            <w:r>
              <w:rPr>
                <w:rFonts w:hint="eastAsia"/>
                <w:bCs/>
                <w:color w:val="000000" w:themeColor="text1"/>
                <w:sz w:val="24"/>
                <w14:textFill>
                  <w14:solidFill>
                    <w14:schemeClr w14:val="tx1"/>
                  </w14:solidFill>
                </w14:textFill>
              </w:rPr>
              <w:t>《新疆维吾尔自治区矿产资源总体规划（2016-2020）》、</w:t>
            </w:r>
            <w:r>
              <w:rPr>
                <w:rFonts w:hint="eastAsia"/>
                <w:color w:val="000000" w:themeColor="text1"/>
                <w:sz w:val="24"/>
                <w14:textFill>
                  <w14:solidFill>
                    <w14:schemeClr w14:val="tx1"/>
                  </w14:solidFill>
                </w14:textFill>
              </w:rPr>
              <w:t>《青海省“三线一单”生态环境分区管控的通知》、《甘肃省“三线一单”生态环境分区管控的通知》、《新疆维吾尔自治区“三线一单”生态环境分区管控的通知》。</w:t>
            </w:r>
          </w:p>
          <w:p>
            <w:pPr>
              <w:pStyle w:val="4"/>
              <w:tabs>
                <w:tab w:val="left" w:pos="905"/>
              </w:tabs>
              <w:spacing w:line="360" w:lineRule="auto"/>
              <w:ind w:left="0" w:firstLine="0"/>
              <w:jc w:val="left"/>
              <w:rPr>
                <w:rFonts w:ascii="Times New Roman" w:hAnsi="Times New Roman" w:cs="Times New Roman"/>
                <w:color w:val="000000" w:themeColor="text1"/>
                <w:lang w:val="en-US"/>
                <w14:textFill>
                  <w14:solidFill>
                    <w14:schemeClr w14:val="tx1"/>
                  </w14:solidFill>
                </w14:textFill>
              </w:rPr>
            </w:pPr>
            <w:r>
              <w:rPr>
                <w:rFonts w:ascii="Times New Roman" w:hAnsi="Times New Roman" w:cs="Times New Roman"/>
                <w:color w:val="000000" w:themeColor="text1"/>
                <w:lang w:val="en-US"/>
                <w14:textFill>
                  <w14:solidFill>
                    <w14:schemeClr w14:val="tx1"/>
                  </w14:solidFill>
                </w14:textFill>
              </w:rPr>
              <w:t>1.</w:t>
            </w:r>
            <w:r>
              <w:rPr>
                <w:rFonts w:hint="eastAsia" w:ascii="Times New Roman" w:hAnsi="Times New Roman" w:cs="Times New Roman"/>
                <w:color w:val="000000" w:themeColor="text1"/>
                <w:lang w:val="en-US"/>
                <w14:textFill>
                  <w14:solidFill>
                    <w14:schemeClr w14:val="tx1"/>
                  </w14:solidFill>
                </w14:textFill>
              </w:rPr>
              <w:t>3区域环境质量现状</w:t>
            </w:r>
          </w:p>
          <w:p>
            <w:pPr>
              <w:keepNext/>
              <w:keepLines/>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（1）环境空气质量</w:t>
            </w:r>
          </w:p>
          <w:p>
            <w:pPr>
              <w:pStyle w:val="19"/>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海西蒙古族藏族自治州和酒泉市20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年环境空气质量均满足《环境空气质量标准》（GB3095-2012）中二级标准限值。</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"https://baike.baidu.com/item/%E5%B7%B4%E9%9F%B3%E9%83%AD%E6%A5%9E%E8%92%99%E5%8F%A4%E8%87%AA%E6%B2%BB%E5%B7%9E/5310284" \t "https://baike.baidu.com/item/%E8%8B%A5%E7%BE%8C%E5%8E%BF/_blank"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巴音郭楞蒙古自治州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年环境空气质量PM</w:t>
            </w:r>
            <w:r>
              <w:rPr>
                <w:rFonts w:hint="eastAsia"/>
                <w:color w:val="000000" w:themeColor="text1"/>
                <w:sz w:val="24"/>
                <w:vertAlign w:val="subscript"/>
                <w14:textFill>
                  <w14:solidFill>
                    <w14:schemeClr w14:val="tx1"/>
                  </w14:solidFill>
                </w14:textFill>
              </w:rPr>
              <w:t>10</w:t>
            </w:r>
            <w:r>
              <w:rPr>
                <w:rFonts w:hint="eastAsia"/>
                <w:color w:val="000000" w:themeColor="text1"/>
                <w:sz w:val="24"/>
                <w14:textFill>
                  <w14:solidFill>
                    <w14:schemeClr w14:val="tx1"/>
                  </w14:solidFill>
                </w14:textFill>
              </w:rPr>
              <w:t>年平均浓度超过《环境空气质量标准》（GB3095-2012）中二级标准限值。根据《环境影响评价技术导则 大气环境》（HJ2.2-2018），海西蒙古族藏族自治州和酒泉市属于环境空气质量达标区；</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"https://baike.baidu.com/item/%E5%B7%B4%E9%9F%B3%E9%83%AD%E6%A5%9E%E8%92%99%E5%8F%A4%E8%87%AA%E6%B2%BB%E5%B7%9E/5310284" \t "https://baike.baidu.com/item/%E8%8B%A5%E7%BE%8C%E5%8E%BF/_blank" </w:instrText>
            </w:r>
            <w:r>
              <w:rPr>
                <w:color w:val="000000" w:themeColor="text1"/>
                <w14:textFill>
                  <w14:solidFill>
                    <w14:schemeClr w14:val="tx1"/>
                  </w14:solidFill>
                </w14:textFill>
              </w:rPr>
              <w:fldChar w:fldCharType="separate"/>
            </w:r>
            <w:r>
              <w:rPr>
                <w:rFonts w:hint="eastAsia"/>
                <w:color w:val="000000" w:themeColor="text1"/>
                <w:sz w:val="24"/>
                <w14:textFill>
                  <w14:solidFill>
                    <w14:schemeClr w14:val="tx1"/>
                  </w14:solidFill>
                </w14:textFill>
              </w:rPr>
              <w:t>巴音郭楞蒙古自治州</w:t>
            </w:r>
            <w:r>
              <w:rPr>
                <w:rFonts w:hint="eastAsia"/>
                <w:color w:val="000000" w:themeColor="text1"/>
                <w:sz w:val="24"/>
                <w14:textFill>
                  <w14:solidFill>
                    <w14:schemeClr w14:val="tx1"/>
                  </w14:solidFill>
                </w14:textFill>
              </w:rPr>
              <w:fldChar w:fldCharType="end"/>
            </w:r>
            <w:r>
              <w:rPr>
                <w:rFonts w:hint="eastAsia"/>
                <w:color w:val="000000" w:themeColor="text1"/>
                <w:sz w:val="24"/>
                <w14:textFill>
                  <w14:solidFill>
                    <w14:schemeClr w14:val="tx1"/>
                  </w14:solidFill>
                </w14:textFill>
              </w:rPr>
              <w:t>属于环境空气质量不达标区。</w:t>
            </w:r>
          </w:p>
          <w:p>
            <w:pPr>
              <w:keepNext/>
              <w:keepLines/>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2</w:t>
            </w:r>
            <w:r>
              <w:rPr>
                <w:color w:val="000000" w:themeColor="text1"/>
                <w:sz w:val="24"/>
                <w14:textFill>
                  <w14:solidFill>
                    <w14:schemeClr w14:val="tx1"/>
                  </w14:solidFill>
                </w14:textFill>
              </w:rPr>
              <w:t>）环境</w:t>
            </w:r>
            <w:r>
              <w:rPr>
                <w:rFonts w:hint="eastAsia"/>
                <w:color w:val="000000" w:themeColor="text1"/>
                <w:sz w:val="24"/>
                <w14:textFill>
                  <w14:solidFill>
                    <w14:schemeClr w14:val="tx1"/>
                  </w14:solidFill>
                </w14:textFill>
              </w:rPr>
              <w:t>噪声</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年青海省生态环境状况公报》、《2020年甘肃省生态环境状况公报》、《2020年新疆维吾尔自治区生态环境状况公报》，</w:t>
            </w:r>
            <w:r>
              <w:rPr>
                <w:rFonts w:hint="eastAsia"/>
                <w:color w:val="000000" w:themeColor="text1"/>
                <w:sz w:val="24"/>
                <w:szCs w:val="24"/>
                <w:lang w:val="en-US" w:eastAsia="zh-CN"/>
                <w14:textFill>
                  <w14:solidFill>
                    <w14:schemeClr w14:val="tx1"/>
                  </w14:solidFill>
                </w14:textFill>
              </w:rPr>
              <w:t>各</w:t>
            </w:r>
            <w:r>
              <w:rPr>
                <w:rFonts w:hint="eastAsia"/>
                <w:color w:val="000000" w:themeColor="text1"/>
                <w:sz w:val="24"/>
                <w:szCs w:val="24"/>
                <w:lang w:eastAsia="zh-CN"/>
                <w14:textFill>
                  <w14:solidFill>
                    <w14:schemeClr w14:val="tx1"/>
                  </w14:solidFill>
                </w14:textFill>
              </w:rPr>
              <w:t>功能区声环境质量保持稳定。</w:t>
            </w:r>
          </w:p>
          <w:p>
            <w:pPr>
              <w:keepNext/>
              <w:keepLines/>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辐射环境</w:t>
            </w:r>
          </w:p>
          <w:p>
            <w:pPr>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根据</w:t>
            </w:r>
            <w:r>
              <w:rPr>
                <w:rFonts w:ascii="Times New Roman" w:hAnsi="Times New Roman" w:cs="Times New Roman"/>
                <w:color w:val="000000" w:themeColor="text1"/>
                <w:sz w:val="24"/>
                <w:szCs w:val="24"/>
                <w:lang w:eastAsia="zh-CN"/>
                <w14:textFill>
                  <w14:solidFill>
                    <w14:schemeClr w14:val="tx1"/>
                  </w14:solidFill>
                </w14:textFill>
              </w:rPr>
              <w:t>《中国环境天然放射性水平》（2015版）</w:t>
            </w:r>
            <w:r>
              <w:rPr>
                <w:rFonts w:hint="eastAsia" w:ascii="Times New Roman" w:hAnsi="Times New Roman" w:cs="Times New Roman"/>
                <w:color w:val="000000" w:themeColor="text1"/>
                <w:sz w:val="24"/>
                <w:szCs w:val="24"/>
                <w:lang w:eastAsia="zh-CN"/>
                <w14:textFill>
                  <w14:solidFill>
                    <w14:schemeClr w14:val="tx1"/>
                  </w14:solidFill>
                </w14:textFill>
              </w:rPr>
              <w:t>中</w:t>
            </w:r>
            <w:r>
              <w:rPr>
                <w:rFonts w:hint="eastAsia"/>
                <w:color w:val="000000" w:themeColor="text1"/>
                <w:sz w:val="24"/>
                <w:lang w:eastAsia="zh-CN"/>
                <w14:textFill>
                  <w14:solidFill>
                    <w14:schemeClr w14:val="tx1"/>
                  </w14:solidFill>
                </w14:textFill>
              </w:rPr>
              <w:t>天然贯穿辐射剂量率、地表水和农村井水中U</w:t>
            </w:r>
            <w:r>
              <w:rPr>
                <w:rFonts w:hint="eastAsia"/>
                <w:color w:val="000000" w:themeColor="text1"/>
                <w:sz w:val="24"/>
                <w:vertAlign w:val="subscript"/>
                <w:lang w:eastAsia="zh-CN"/>
                <w14:textFill>
                  <w14:solidFill>
                    <w14:schemeClr w14:val="tx1"/>
                  </w14:solidFill>
                </w14:textFill>
              </w:rPr>
              <w:t>天然</w:t>
            </w:r>
            <w:r>
              <w:rPr>
                <w:rFonts w:hint="eastAsia"/>
                <w:color w:val="000000" w:themeColor="text1"/>
                <w:sz w:val="24"/>
                <w:lang w:eastAsia="zh-CN"/>
                <w14:textFill>
                  <w14:solidFill>
                    <w14:schemeClr w14:val="tx1"/>
                  </w14:solidFill>
                </w14:textFill>
              </w:rPr>
              <w:t>、</w:t>
            </w:r>
            <w:r>
              <w:rPr>
                <w:rFonts w:hint="eastAsia"/>
                <w:color w:val="000000" w:themeColor="text1"/>
                <w:sz w:val="24"/>
                <w:vertAlign w:val="superscript"/>
                <w:lang w:eastAsia="zh-CN"/>
                <w14:textFill>
                  <w14:solidFill>
                    <w14:schemeClr w14:val="tx1"/>
                  </w14:solidFill>
                </w14:textFill>
              </w:rPr>
              <w:t>226</w:t>
            </w:r>
            <w:r>
              <w:rPr>
                <w:rFonts w:hint="eastAsia"/>
                <w:color w:val="000000" w:themeColor="text1"/>
                <w:sz w:val="24"/>
                <w:lang w:eastAsia="zh-CN"/>
                <w14:textFill>
                  <w14:solidFill>
                    <w14:schemeClr w14:val="tx1"/>
                  </w14:solidFill>
                </w14:textFill>
              </w:rPr>
              <w:t>Ra浓度、土壤中</w:t>
            </w:r>
            <w:r>
              <w:rPr>
                <w:rFonts w:hint="eastAsia"/>
                <w:color w:val="000000" w:themeColor="text1"/>
                <w:sz w:val="24"/>
                <w:vertAlign w:val="superscript"/>
                <w:lang w:eastAsia="zh-CN"/>
                <w14:textFill>
                  <w14:solidFill>
                    <w14:schemeClr w14:val="tx1"/>
                  </w14:solidFill>
                </w14:textFill>
              </w:rPr>
              <w:t>238</w:t>
            </w:r>
            <w:r>
              <w:rPr>
                <w:rFonts w:hint="eastAsia"/>
                <w:color w:val="000000" w:themeColor="text1"/>
                <w:sz w:val="24"/>
                <w:lang w:eastAsia="zh-CN"/>
                <w14:textFill>
                  <w14:solidFill>
                    <w14:schemeClr w14:val="tx1"/>
                  </w14:solidFill>
                </w14:textFill>
              </w:rPr>
              <w:t>U、</w:t>
            </w:r>
            <w:r>
              <w:rPr>
                <w:rFonts w:hint="eastAsia"/>
                <w:color w:val="000000" w:themeColor="text1"/>
                <w:sz w:val="24"/>
                <w:vertAlign w:val="superscript"/>
                <w:lang w:eastAsia="zh-CN"/>
                <w14:textFill>
                  <w14:solidFill>
                    <w14:schemeClr w14:val="tx1"/>
                  </w14:solidFill>
                </w14:textFill>
              </w:rPr>
              <w:t>226</w:t>
            </w:r>
            <w:r>
              <w:rPr>
                <w:rFonts w:hint="eastAsia"/>
                <w:color w:val="000000" w:themeColor="text1"/>
                <w:sz w:val="24"/>
                <w:lang w:eastAsia="zh-CN"/>
                <w14:textFill>
                  <w14:solidFill>
                    <w14:schemeClr w14:val="tx1"/>
                  </w14:solidFill>
                </w14:textFill>
              </w:rPr>
              <w:t>Ra数据可知，</w:t>
            </w:r>
            <w:r>
              <w:rPr>
                <w:rFonts w:ascii="Times New Roman" w:hAnsi="Times New Roman" w:cs="Times New Roman"/>
                <w:color w:val="000000" w:themeColor="text1"/>
                <w:sz w:val="24"/>
                <w:szCs w:val="24"/>
                <w:lang w:eastAsia="zh-CN"/>
                <w14:textFill>
                  <w14:solidFill>
                    <w14:schemeClr w14:val="tx1"/>
                  </w14:solidFill>
                </w14:textFill>
              </w:rPr>
              <w:t>项目所在区域</w:t>
            </w:r>
            <w:r>
              <w:rPr>
                <w:rFonts w:hint="eastAsia" w:ascii="Times New Roman" w:hAnsi="Times New Roman" w:cs="Times New Roman"/>
                <w:color w:val="000000" w:themeColor="text1"/>
                <w:sz w:val="24"/>
                <w:szCs w:val="24"/>
                <w:lang w:eastAsia="zh-CN"/>
                <w14:textFill>
                  <w14:solidFill>
                    <w14:schemeClr w14:val="tx1"/>
                  </w14:solidFill>
                </w14:textFill>
              </w:rPr>
              <w:t>内</w:t>
            </w:r>
            <w:r>
              <w:rPr>
                <w:rFonts w:ascii="Times New Roman" w:hAnsi="Times New Roman" w:cs="Times New Roman"/>
                <w:color w:val="000000" w:themeColor="text1"/>
                <w:sz w:val="24"/>
                <w:szCs w:val="24"/>
                <w:lang w:eastAsia="zh-CN"/>
                <w14:textFill>
                  <w14:solidFill>
                    <w14:schemeClr w14:val="tx1"/>
                  </w14:solidFill>
                </w14:textFill>
              </w:rPr>
              <w:t>辐射环境质量现状良好</w:t>
            </w:r>
            <w:r>
              <w:rPr>
                <w:rFonts w:hint="eastAsia"/>
                <w:color w:val="000000" w:themeColor="text1"/>
                <w:sz w:val="24"/>
                <w:lang w:eastAsia="zh-CN"/>
                <w14:textFill>
                  <w14:solidFill>
                    <w14:schemeClr w14:val="tx1"/>
                  </w14:solidFill>
                </w14:textFill>
              </w:rPr>
              <w:t>。</w:t>
            </w:r>
          </w:p>
          <w:p>
            <w:pPr>
              <w:keepNext/>
              <w:keepLines/>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生态</w:t>
            </w:r>
            <w:r>
              <w:rPr>
                <w:rFonts w:hint="eastAsia"/>
                <w:color w:val="000000" w:themeColor="text1"/>
                <w:sz w:val="24"/>
                <w14:textFill>
                  <w14:solidFill>
                    <w14:schemeClr w14:val="tx1"/>
                  </w14:solidFill>
                </w14:textFill>
              </w:rPr>
              <w:t>环境</w:t>
            </w:r>
          </w:p>
          <w:p>
            <w:pPr>
              <w:pStyle w:val="4"/>
              <w:tabs>
                <w:tab w:val="left" w:pos="905"/>
              </w:tabs>
              <w:spacing w:line="360" w:lineRule="auto"/>
              <w:ind w:left="0" w:firstLine="480" w:firstLineChars="200"/>
              <w:jc w:val="left"/>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根据《青海省生态功能区划》、《甘肃省生态功能区划》和《新疆维吾尔自治区生态功能区划》，</w:t>
            </w:r>
            <w:r>
              <w:rPr>
                <w:rFonts w:hint="eastAsia" w:ascii="Times New Roman" w:hAnsi="Times New Roman"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涉青海区域属柴达木盆地荒漠防风固沙生态功能区和阿尔金山南麓荒漠草原生态功能区；涉及甘肃区域属柴达木盆地荒漠生态区（柴达木盆地北部山地高寒荒漠草原生态亚区、阿尔金山荒漠生态亚区）；涉及新疆维吾尔自治区区域属东昆仑山及山间盆地湿地与生物多样性保护生态功能区。</w:t>
            </w:r>
          </w:p>
          <w:p>
            <w:pPr>
              <w:pStyle w:val="4"/>
              <w:tabs>
                <w:tab w:val="left" w:pos="905"/>
              </w:tabs>
              <w:spacing w:line="360" w:lineRule="auto"/>
              <w:ind w:left="0" w:firstLine="0"/>
              <w:jc w:val="left"/>
              <w:rPr>
                <w:rFonts w:ascii="Times New Roman" w:hAnsi="Times New Roman" w:cs="Times New Roman"/>
                <w:color w:val="000000" w:themeColor="text1"/>
                <w:lang w:val="en-US"/>
                <w14:textFill>
                  <w14:solidFill>
                    <w14:schemeClr w14:val="tx1"/>
                  </w14:solidFill>
                </w14:textFill>
              </w:rPr>
            </w:pPr>
            <w:r>
              <w:rPr>
                <w:rFonts w:ascii="Times New Roman" w:hAnsi="Times New Roman" w:cs="Times New Roman"/>
                <w:color w:val="000000" w:themeColor="text1"/>
                <w:lang w:val="en-US"/>
                <w14:textFill>
                  <w14:solidFill>
                    <w14:schemeClr w14:val="tx1"/>
                  </w14:solidFill>
                </w14:textFill>
              </w:rPr>
              <w:t>1.</w:t>
            </w:r>
            <w:r>
              <w:rPr>
                <w:rFonts w:hint="eastAsia" w:ascii="Times New Roman" w:hAnsi="Times New Roman" w:cs="Times New Roman"/>
                <w:color w:val="000000" w:themeColor="text1"/>
                <w:lang w:val="en-US"/>
                <w14:textFill>
                  <w14:solidFill>
                    <w14:schemeClr w14:val="tx1"/>
                  </w14:solidFill>
                </w14:textFill>
              </w:rPr>
              <w:t>4主要环境影响分析及相关污染防治措施</w:t>
            </w:r>
          </w:p>
          <w:p>
            <w:pPr>
              <w:pStyle w:val="3"/>
              <w:spacing w:before="0" w:after="0" w:line="360" w:lineRule="auto"/>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1.4.1水环境影响分析及污染防治措施</w:t>
            </w:r>
          </w:p>
          <w:p>
            <w:pPr>
              <w:widowControl/>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施工期的废水主要来自项目部</w:t>
            </w:r>
            <w:r>
              <w:rPr>
                <w:rFonts w:hint="eastAsia"/>
                <w:color w:val="000000" w:themeColor="text1"/>
                <w:sz w:val="24"/>
                <w:lang w:val="en-US" w:eastAsia="zh-CN"/>
                <w14:textFill>
                  <w14:solidFill>
                    <w14:schemeClr w14:val="tx1"/>
                  </w14:solidFill>
                </w14:textFill>
              </w:rPr>
              <w:t>和</w:t>
            </w:r>
            <w:r>
              <w:rPr>
                <w:rFonts w:hint="eastAsia"/>
                <w:color w:val="000000" w:themeColor="text1"/>
                <w:sz w:val="24"/>
                <w14:textFill>
                  <w14:solidFill>
                    <w14:schemeClr w14:val="tx1"/>
                  </w14:solidFill>
                </w14:textFill>
              </w:rPr>
              <w:t>钻探人员生活污水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钻井施工中的钻井泥浆废水、设备冲洗废水。项目部依托周边村庄现有旱厕，生活洗漱污水用于抑尘；钻探施工区的生活区设旱厕，生活洗漱污水用于抑尘。钻井泥浆池中的上清液循环使用，过程需补充一定消耗水量，废水全部循环，不外排。设备冲洗废水进入泥浆池沉淀自然干化，不外排</w:t>
            </w:r>
            <w:r>
              <w:rPr>
                <w:rFonts w:hint="eastAsia"/>
                <w:color w:val="000000" w:themeColor="text1"/>
                <w:sz w:val="24"/>
                <w:lang w:eastAsia="zh-CN"/>
                <w14:textFill>
                  <w14:solidFill>
                    <w14:schemeClr w14:val="tx1"/>
                  </w14:solidFill>
                </w14:textFill>
              </w:rPr>
              <w:t>。</w:t>
            </w:r>
          </w:p>
          <w:p>
            <w:pPr>
              <w:widowControl/>
              <w:spacing w:line="360" w:lineRule="auto"/>
              <w:ind w:firstLine="480" w:firstLineChars="200"/>
              <w:rPr>
                <w:color w:val="000000" w:themeColor="text1"/>
                <w:sz w:val="24"/>
                <w:szCs w:val="28"/>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综上所述，废水全部综合利用，不外排，不会对地表水环境产生影响。</w:t>
            </w:r>
          </w:p>
          <w:p>
            <w:pPr>
              <w:pStyle w:val="3"/>
              <w:spacing w:before="0" w:after="0" w:line="360" w:lineRule="auto"/>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1.4.2</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大气环境</w:t>
            </w:r>
            <w:r>
              <w:rPr>
                <w:rFonts w:hint="eastAsia" w:ascii="Times New Roman" w:hAnsi="Times New Roman" w:eastAsia="宋体" w:cs="Times New Roman"/>
                <w:color w:val="000000" w:themeColor="text1"/>
                <w:sz w:val="24"/>
                <w:szCs w:val="24"/>
                <w14:textFill>
                  <w14:solidFill>
                    <w14:schemeClr w14:val="tx1"/>
                  </w14:solidFill>
                </w14:textFill>
              </w:rPr>
              <w:t>影响分析及污染防治措施</w:t>
            </w:r>
          </w:p>
          <w:p>
            <w:pPr>
              <w:spacing w:line="360" w:lineRule="auto"/>
              <w:ind w:firstLine="480" w:firstLineChars="200"/>
              <w:rPr>
                <w:color w:val="000000" w:themeColor="text1"/>
                <w:sz w:val="24"/>
                <w:lang w:eastAsia="zh-CN"/>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施工扬尘主要产生在钻前场地平整、土方开挖、开辟临时道路等环节，及材料运输过程中的道路扬尘，属于无组织排放。</w:t>
            </w:r>
            <w:r>
              <w:rPr>
                <w:rFonts w:hint="eastAsia"/>
                <w:color w:val="000000" w:themeColor="text1"/>
                <w:sz w:val="24"/>
                <w:lang w:eastAsia="zh-CN"/>
                <w14:textFill>
                  <w14:solidFill>
                    <w14:schemeClr w14:val="tx1"/>
                  </w14:solidFill>
                </w14:textFill>
              </w:rPr>
              <w:t>项目工期较短，其产生的影响相对较小；柴油机工作时产生废气主要污染物为颗粒物、NO</w:t>
            </w:r>
            <w:r>
              <w:rPr>
                <w:rFonts w:hint="eastAsia"/>
                <w:color w:val="000000" w:themeColor="text1"/>
                <w:sz w:val="24"/>
                <w:vertAlign w:val="subscript"/>
                <w:lang w:eastAsia="zh-CN"/>
                <w14:textFill>
                  <w14:solidFill>
                    <w14:schemeClr w14:val="tx1"/>
                  </w14:solidFill>
                </w14:textFill>
              </w:rPr>
              <w:t>x</w:t>
            </w:r>
            <w:r>
              <w:rPr>
                <w:rFonts w:hint="eastAsia"/>
                <w:color w:val="000000" w:themeColor="text1"/>
                <w:sz w:val="24"/>
                <w:lang w:eastAsia="zh-CN"/>
                <w14:textFill>
                  <w14:solidFill>
                    <w14:schemeClr w14:val="tx1"/>
                  </w14:solidFill>
                </w14:textFill>
              </w:rPr>
              <w:t>、SO</w:t>
            </w:r>
            <w:r>
              <w:rPr>
                <w:rFonts w:hint="eastAsia"/>
                <w:color w:val="000000" w:themeColor="text1"/>
                <w:sz w:val="24"/>
                <w:vertAlign w:val="subscript"/>
                <w:lang w:eastAsia="zh-CN"/>
                <w14:textFill>
                  <w14:solidFill>
                    <w14:schemeClr w14:val="tx1"/>
                  </w14:solidFill>
                </w14:textFill>
              </w:rPr>
              <w:t>2</w:t>
            </w:r>
            <w:r>
              <w:rPr>
                <w:rFonts w:hint="eastAsia"/>
                <w:color w:val="000000" w:themeColor="text1"/>
                <w:sz w:val="24"/>
                <w:lang w:eastAsia="zh-CN"/>
                <w14:textFill>
                  <w14:solidFill>
                    <w14:schemeClr w14:val="tx1"/>
                  </w14:solidFill>
                </w14:textFill>
              </w:rPr>
              <w:t>、CO、总烃等，为无组织、分散排放。本项目选择符合环保要求的柴油机，每个钻孔用到柴油机的时间仅为15天左右，所在地地势较为开阔，周围没有密集的建筑物与居民区，有利于大气污染物扩散，随着钻井工作的结束，柴油机排放的废气对环境空气的影响会逐渐消失，因此该项目钻井柴油机械废气对周围环境影响不大。</w:t>
            </w:r>
          </w:p>
          <w:p>
            <w:pPr>
              <w:pStyle w:val="3"/>
              <w:spacing w:before="0" w:after="0" w:line="360" w:lineRule="auto"/>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1.4.3</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噪声</w:t>
            </w:r>
            <w:r>
              <w:rPr>
                <w:rFonts w:hint="eastAsia" w:ascii="Times New Roman" w:hAnsi="Times New Roman" w:eastAsia="宋体" w:cs="Times New Roman"/>
                <w:color w:val="000000" w:themeColor="text1"/>
                <w:sz w:val="24"/>
                <w:szCs w:val="24"/>
                <w14:textFill>
                  <w14:solidFill>
                    <w14:schemeClr w14:val="tx1"/>
                  </w14:solidFill>
                </w14:textFill>
              </w:rPr>
              <w:t>影响分析及污染防治措施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钻井噪声主要来源于钻机、钻机自带柴油机、柴油发电机、泥浆泵等连续性噪声，噪声源强在90~95dB(A)，主要措施是柴油发电机自带消音装置，在柴油机、发电机、泥浆泵等设备下加减振垫料，在钻井过程中平稳操作，避免产生非正常的噪声。钻探施工时间较短，伴随施工结束，影响消失，采取评价中的噪声控制措施后，钻井噪声对声环境的影响可得到有效控制。</w:t>
            </w:r>
          </w:p>
          <w:p>
            <w:pPr>
              <w:pStyle w:val="3"/>
              <w:spacing w:before="0" w:after="0" w:line="360" w:lineRule="auto"/>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1.4.4固体废物环境影响分析及污染防治措施</w:t>
            </w:r>
          </w:p>
          <w:p>
            <w:pPr>
              <w:spacing w:line="360" w:lineRule="auto"/>
              <w:ind w:firstLine="480" w:firstLineChars="200"/>
              <w:rPr>
                <w:color w:val="000000" w:themeColor="text1"/>
                <w:sz w:val="24"/>
                <w14:textFill>
                  <w14:solidFill>
                    <w14:schemeClr w14:val="tx1"/>
                  </w14:solidFill>
                </w14:textFill>
              </w:rPr>
            </w:pPr>
            <w:r>
              <w:rPr>
                <w:rFonts w:hint="eastAsia" w:ascii="宋体" w:cs="宋体"/>
                <w:color w:val="000000" w:themeColor="text1"/>
                <w:kern w:val="0"/>
                <w:sz w:val="24"/>
                <w14:textFill>
                  <w14:solidFill>
                    <w14:schemeClr w14:val="tx1"/>
                  </w14:solidFill>
                </w14:textFill>
              </w:rPr>
              <w:t>根据工程分析，本项目固体废物主要为</w:t>
            </w:r>
            <w:r>
              <w:rPr>
                <w:rFonts w:hint="eastAsia"/>
                <w:color w:val="000000" w:themeColor="text1"/>
                <w:sz w:val="24"/>
                <w14:textFill>
                  <w14:solidFill>
                    <w14:schemeClr w14:val="tx1"/>
                  </w14:solidFill>
                </w14:textFill>
              </w:rPr>
              <w:t>剥离表土、</w:t>
            </w:r>
            <w:r>
              <w:rPr>
                <w:rFonts w:hint="eastAsia" w:ascii="宋体" w:cs="宋体"/>
                <w:color w:val="000000" w:themeColor="text1"/>
                <w:kern w:val="0"/>
                <w:sz w:val="24"/>
                <w14:textFill>
                  <w14:solidFill>
                    <w14:schemeClr w14:val="tx1"/>
                  </w14:solidFill>
                </w14:textFill>
              </w:rPr>
              <w:t>钻井泥浆、岩芯、施工人员生活垃圾</w:t>
            </w:r>
            <w:r>
              <w:rPr>
                <w:rFonts w:hint="eastAsia"/>
                <w:color w:val="000000" w:themeColor="text1"/>
                <w:sz w:val="24"/>
                <w14:textFill>
                  <w14:solidFill>
                    <w14:schemeClr w14:val="tx1"/>
                  </w14:solidFill>
                </w14:textFill>
              </w:rPr>
              <w:t>以及废机油。</w:t>
            </w:r>
          </w:p>
          <w:p>
            <w:pPr>
              <w:spacing w:line="360" w:lineRule="auto"/>
              <w:ind w:firstLine="480" w:firstLineChars="200"/>
              <w:rPr>
                <w:rFonts w:hint="eastAsia" w:ascii="宋体" w:hAnsi="Times New Roman" w:eastAsia="宋体" w:cs="宋体"/>
                <w:color w:val="000000" w:themeColor="text1"/>
                <w:kern w:val="0"/>
                <w:sz w:val="24"/>
                <w:lang w:eastAsia="zh-CN"/>
                <w14:textFill>
                  <w14:solidFill>
                    <w14:schemeClr w14:val="tx1"/>
                  </w14:solidFill>
                </w14:textFill>
              </w:rPr>
            </w:pPr>
            <w:r>
              <w:rPr>
                <w:rFonts w:hint="eastAsia" w:ascii="宋体" w:hAnsi="Times New Roman" w:eastAsia="宋体" w:cs="宋体"/>
                <w:color w:val="000000" w:themeColor="text1"/>
                <w:kern w:val="0"/>
                <w:sz w:val="24"/>
                <w:lang w:eastAsia="zh-CN"/>
                <w14:textFill>
                  <w14:solidFill>
                    <w14:schemeClr w14:val="tx1"/>
                  </w14:solidFill>
                </w14:textFill>
              </w:rPr>
              <w:t>表土就近堆放于钻孔平台附近，待封孔后用于场地恢复。废弃泥浆自然蒸发后于防渗泥浆池填埋，并进行生态恢复。钻井过程中岩芯全部集中放置在岩芯箱内，施工结束后，矿段岩芯全部取样，送实验室进行分析；非矿段岩芯集中在岩芯池填埋，岩芯池铺设HDPE防渗膜。</w:t>
            </w:r>
            <w:r>
              <w:rPr>
                <w:rFonts w:hint="eastAsia" w:ascii="宋体" w:hAnsi="Times New Roman" w:eastAsia="宋体" w:cs="宋体"/>
                <w:color w:val="000000" w:themeColor="text1"/>
                <w:kern w:val="0"/>
                <w:sz w:val="24"/>
                <w:lang w:val="en-GB" w:eastAsia="zh-CN"/>
                <w14:textFill>
                  <w14:solidFill>
                    <w14:schemeClr w14:val="tx1"/>
                  </w14:solidFill>
                </w14:textFill>
              </w:rPr>
              <w:t>对产生的废油</w:t>
            </w:r>
            <w:r>
              <w:rPr>
                <w:rFonts w:hint="eastAsia" w:ascii="宋体" w:hAnsi="Times New Roman" w:eastAsia="宋体" w:cs="宋体"/>
                <w:color w:val="000000" w:themeColor="text1"/>
                <w:kern w:val="0"/>
                <w:sz w:val="24"/>
                <w:lang w:eastAsia="zh-CN"/>
                <w14:textFill>
                  <w14:solidFill>
                    <w14:schemeClr w14:val="tx1"/>
                  </w14:solidFill>
                </w14:textFill>
              </w:rPr>
              <w:t>物</w:t>
            </w:r>
            <w:r>
              <w:rPr>
                <w:rFonts w:hint="eastAsia" w:ascii="宋体" w:hAnsi="Times New Roman" w:eastAsia="宋体" w:cs="宋体"/>
                <w:color w:val="000000" w:themeColor="text1"/>
                <w:kern w:val="0"/>
                <w:sz w:val="24"/>
                <w:lang w:val="en-GB" w:eastAsia="zh-CN"/>
                <w14:textFill>
                  <w14:solidFill>
                    <w14:schemeClr w14:val="tx1"/>
                  </w14:solidFill>
                </w14:textFill>
              </w:rPr>
              <w:t>采用专用收集桶集中收集，</w:t>
            </w:r>
            <w:r>
              <w:rPr>
                <w:rFonts w:hint="eastAsia" w:ascii="宋体" w:hAnsi="Times New Roman" w:eastAsia="宋体" w:cs="宋体"/>
                <w:color w:val="000000" w:themeColor="text1"/>
                <w:kern w:val="0"/>
                <w:sz w:val="24"/>
                <w:lang w:eastAsia="zh-CN"/>
                <w14:textFill>
                  <w14:solidFill>
                    <w14:schemeClr w14:val="tx1"/>
                  </w14:solidFill>
                </w14:textFill>
              </w:rPr>
              <w:t>经收集后交有资质单位进行处置。钻探勘查区生活垃圾用垃圾袋带回项目部，项目部设垃圾桶进行收集，定期送往乡镇垃圾堆放点，由当地环卫部门清理处置。</w:t>
            </w:r>
          </w:p>
          <w:p>
            <w:pPr>
              <w:pStyle w:val="3"/>
              <w:spacing w:before="0" w:after="0" w:line="360" w:lineRule="auto"/>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1.4.5土壤、地下水环境影响分析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根据《环境影响评价技术导则 地下水环境》（HJ610-2016），本项目属于附录A中 C地质勘查 24、矿产资源地质勘查（包括</w:t>
            </w:r>
            <w:r>
              <w:rPr>
                <w:rFonts w:hint="eastAsia"/>
                <w:color w:val="000000" w:themeColor="text1"/>
                <w:sz w:val="24"/>
                <w:lang w:eastAsia="zh-CN"/>
                <w14:textFill>
                  <w14:solidFill>
                    <w14:schemeClr w14:val="tx1"/>
                  </w14:solidFill>
                </w14:textFill>
              </w:rPr>
              <w:t>勘查</w:t>
            </w:r>
            <w:r>
              <w:rPr>
                <w:rFonts w:hint="eastAsia"/>
                <w:color w:val="000000" w:themeColor="text1"/>
                <w:sz w:val="24"/>
                <w14:textFill>
                  <w14:solidFill>
                    <w14:schemeClr w14:val="tx1"/>
                  </w14:solidFill>
                </w14:textFill>
              </w:rPr>
              <w:t>活动），地下水环境影响评价项目类别是IV类；根据《环境影响评价技术导则 土壤环境（试行）》（HJ964-2018），本项目属于附录A中其他行业，土壤环境影响评价项目类别是IV类。所以，本次不开展土壤、地下水环境影响评价。</w:t>
            </w:r>
          </w:p>
          <w:p>
            <w:pPr>
              <w:pStyle w:val="3"/>
              <w:spacing w:before="0" w:after="0" w:line="360" w:lineRule="auto"/>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1.4.6辐射环境影响分析</w:t>
            </w:r>
          </w:p>
          <w:p>
            <w:pPr>
              <w:spacing w:line="360" w:lineRule="auto"/>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钻探施工活动中无液态放射性流出物产生，本项目钻孔孔径较小，且采用湿法钻探，氡及其子体释放量极少，施工时间较短，</w:t>
            </w:r>
            <w:r>
              <w:rPr>
                <w:color w:val="000000" w:themeColor="text1"/>
                <w:sz w:val="24"/>
                <w14:textFill>
                  <w14:solidFill>
                    <w14:schemeClr w14:val="tx1"/>
                  </w14:solidFill>
                </w14:textFill>
              </w:rPr>
              <w:t>居民区</w:t>
            </w:r>
            <w:r>
              <w:rPr>
                <w:rFonts w:hint="eastAsia"/>
                <w:color w:val="000000" w:themeColor="text1"/>
                <w:sz w:val="24"/>
                <w14:textFill>
                  <w14:solidFill>
                    <w14:schemeClr w14:val="tx1"/>
                  </w14:solidFill>
                </w14:textFill>
              </w:rPr>
              <w:t>位于</w:t>
            </w:r>
            <w:r>
              <w:rPr>
                <w:color w:val="000000" w:themeColor="text1"/>
                <w:sz w:val="24"/>
                <w14:textFill>
                  <w14:solidFill>
                    <w14:schemeClr w14:val="tx1"/>
                  </w14:solidFill>
                </w14:textFill>
              </w:rPr>
              <w:t>钻探区域</w:t>
            </w:r>
            <w:r>
              <w:rPr>
                <w:rFonts w:hint="eastAsia"/>
                <w:color w:val="000000" w:themeColor="text1"/>
                <w:sz w:val="24"/>
                <w14:textFill>
                  <w14:solidFill>
                    <w14:schemeClr w14:val="tx1"/>
                  </w14:solidFill>
                </w14:textFill>
              </w:rPr>
              <w:t>5</w:t>
            </w:r>
            <w:r>
              <w:rPr>
                <w:color w:val="000000" w:themeColor="text1"/>
                <w:sz w:val="24"/>
                <w14:textFill>
                  <w14:solidFill>
                    <w14:schemeClr w14:val="tx1"/>
                  </w14:solidFill>
                </w14:textFill>
              </w:rPr>
              <w:t>0m外</w:t>
            </w:r>
            <w:r>
              <w:rPr>
                <w:rFonts w:hint="eastAsia"/>
                <w:color w:val="000000" w:themeColor="text1"/>
                <w:sz w:val="24"/>
                <w14:textFill>
                  <w14:solidFill>
                    <w14:schemeClr w14:val="tx1"/>
                  </w14:solidFill>
                </w14:textFill>
              </w:rPr>
              <w:t>，在钻孔附近空气稀释和氡气自发衰变（</w:t>
            </w:r>
            <w:r>
              <w:rPr>
                <w:color w:val="000000" w:themeColor="text1"/>
                <w:sz w:val="24"/>
                <w14:textFill>
                  <w14:solidFill>
                    <w14:schemeClr w14:val="tx1"/>
                  </w14:solidFill>
                </w14:textFill>
              </w:rPr>
              <w:t>半衰期3.825d</w:t>
            </w:r>
            <w:r>
              <w:rPr>
                <w:rFonts w:hint="eastAsia"/>
                <w:color w:val="000000" w:themeColor="text1"/>
                <w:sz w:val="24"/>
                <w14:textFill>
                  <w14:solidFill>
                    <w14:schemeClr w14:val="tx1"/>
                  </w14:solidFill>
                </w14:textFill>
              </w:rPr>
              <w:t>）作用下，钻探区域50m外环境空气中氡浓度已降至环境本底水平，对公众不产生附加剂量</w:t>
            </w:r>
            <w:r>
              <w:rPr>
                <w:color w:val="000000" w:themeColor="text1"/>
                <w:sz w:val="24"/>
                <w14:textFill>
                  <w14:solidFill>
                    <w14:schemeClr w14:val="tx1"/>
                  </w14:solidFill>
                </w14:textFill>
              </w:rPr>
              <w:t>。</w:t>
            </w:r>
          </w:p>
          <w:p>
            <w:pPr>
              <w:pStyle w:val="3"/>
              <w:spacing w:before="0" w:after="0" w:line="360" w:lineRule="auto"/>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1.4.7环境风险影响分析</w:t>
            </w:r>
          </w:p>
          <w:p>
            <w:pPr>
              <w:spacing w:line="360" w:lineRule="auto"/>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本项目的环境风险防范类型主要为柴油的泄漏、火灾爆炸产生的伴生或次生污染物的环境风险。在采取必要的环境风险防范措施的前提下，项目的环境风险能够得到有效控制，环境风险可接受。</w:t>
            </w:r>
          </w:p>
          <w:p>
            <w:pPr>
              <w:pStyle w:val="3"/>
              <w:spacing w:before="0" w:after="0" w:line="360" w:lineRule="auto"/>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1.4.8生态环境影响分析</w:t>
            </w:r>
          </w:p>
          <w:p>
            <w:pPr>
              <w:spacing w:line="360" w:lineRule="auto"/>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本项目钻井位置不占用</w:t>
            </w:r>
            <w:r>
              <w:rPr>
                <w:rFonts w:hint="eastAsia"/>
                <w:color w:val="000000" w:themeColor="text1"/>
                <w:kern w:val="0"/>
                <w:sz w:val="24"/>
                <w:lang w:val="en-US" w:eastAsia="zh-CN"/>
                <w14:textFill>
                  <w14:solidFill>
                    <w14:schemeClr w14:val="tx1"/>
                  </w14:solidFill>
                </w14:textFill>
              </w:rPr>
              <w:t>勘查区内的</w:t>
            </w:r>
            <w:r>
              <w:rPr>
                <w:rFonts w:hint="eastAsia"/>
                <w:color w:val="000000" w:themeColor="text1"/>
                <w:kern w:val="0"/>
                <w:sz w:val="24"/>
                <w14:textFill>
                  <w14:solidFill>
                    <w14:schemeClr w14:val="tx1"/>
                  </w14:solidFill>
                </w14:textFill>
              </w:rPr>
              <w:t>自然保护区、世界文化自然遗产、风景名胜区、森林公园、地质公园、湿地公园、水源地等生态敏感区，不涉及基本农田，且均为临时占地。项目由于施工期短，施工期结束后恢复生态，对生态环境影响较小。</w:t>
            </w:r>
          </w:p>
          <w:p>
            <w:pPr>
              <w:spacing w:line="360" w:lineRule="auto"/>
              <w:rPr>
                <w:rFonts w:eastAsia="黑体"/>
                <w:color w:val="000000" w:themeColor="text1"/>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2、</w:t>
            </w:r>
            <w:r>
              <w:rPr>
                <w:rFonts w:eastAsia="黑体"/>
                <w:color w:val="000000" w:themeColor="text1"/>
                <w:sz w:val="28"/>
                <w:szCs w:val="28"/>
                <w14:textFill>
                  <w14:solidFill>
                    <w14:schemeClr w14:val="tx1"/>
                  </w14:solidFill>
                </w14:textFill>
              </w:rPr>
              <w:t>总结论</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的建设符合国家和地方政策，污染物产生途径和产生量相对较少，采取合理、可靠的防治措施后，可使污染物排放得到有效控制；工程采取的污染物防治和生态保护措施可行，对周围环境影响较小。因此，从环境保护角度来看，本项目是可行的。</w:t>
            </w:r>
          </w:p>
          <w:p>
            <w:pPr>
              <w:spacing w:line="360" w:lineRule="auto"/>
              <w:rPr>
                <w:rFonts w:eastAsia="黑体"/>
                <w:color w:val="000000" w:themeColor="text1"/>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3、</w:t>
            </w:r>
            <w:r>
              <w:rPr>
                <w:rFonts w:eastAsia="黑体"/>
                <w:color w:val="000000" w:themeColor="text1"/>
                <w:sz w:val="28"/>
                <w:szCs w:val="28"/>
                <w14:textFill>
                  <w14:solidFill>
                    <w14:schemeClr w14:val="tx1"/>
                  </w14:solidFill>
                </w14:textFill>
              </w:rPr>
              <w:t>建议和要求</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）严格按照施工设计方案要求，现场注意文明施工，安全施工，合理安排施工时间和限制施工范围，加强生态保护。</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w:t>
            </w:r>
            <w:r>
              <w:rPr>
                <w:rFonts w:hint="eastAsia"/>
                <w:color w:val="000000" w:themeColor="text1"/>
                <w:sz w:val="24"/>
                <w14:textFill>
                  <w14:solidFill>
                    <w14:schemeClr w14:val="tx1"/>
                  </w14:solidFill>
                </w14:textFill>
              </w:rPr>
              <w:t>）严格落实钻井泥浆、生活废水处理等环保措施，减少污染物排放，降低对周围环境的影响。</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）施工作业应采取有效的生态保护措施保护动植物，减少对生态环境的影响。</w:t>
            </w:r>
          </w:p>
          <w:p>
            <w:pPr>
              <w:spacing w:line="400" w:lineRule="atLeast"/>
              <w:ind w:firstLine="480" w:firstLineChars="200"/>
              <w:rPr>
                <w:rFonts w:ascii="宋体" w:hAnsi="Calibri" w:cs="宋体"/>
                <w:color w:val="000000" w:themeColor="text1"/>
                <w:sz w:val="24"/>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pStyle w:val="10"/>
        <w:spacing w:line="360" w:lineRule="auto"/>
        <w:jc w:val="center"/>
        <w:rPr>
          <w:rFonts w:ascii="方正小标宋_GBK" w:hAnsi="黑体"/>
          <w:color w:val="000000" w:themeColor="text1"/>
          <w:sz w:val="32"/>
          <w:szCs w:val="32"/>
          <w14:textFill>
            <w14:solidFill>
              <w14:schemeClr w14:val="tx1"/>
            </w14:solidFill>
          </w14:textFill>
        </w:rPr>
      </w:pPr>
      <w:r>
        <w:rPr>
          <w:rFonts w:ascii="方正小标宋_GBK" w:hAnsi="方正小标宋_GBK"/>
          <w:color w:val="000000" w:themeColor="text1"/>
          <w:sz w:val="32"/>
          <w:szCs w:val="32"/>
          <w14:textFill>
            <w14:solidFill>
              <w14:schemeClr w14:val="tx1"/>
            </w14:solidFill>
          </w14:textFill>
        </w:rPr>
        <w:t>建设项目污染物排放量汇总表</w:t>
      </w:r>
    </w:p>
    <w:tbl>
      <w:tblPr>
        <w:tblStyle w:val="12"/>
        <w:tblW w:w="0" w:type="auto"/>
        <w:tblInd w:w="8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88"/>
        <w:gridCol w:w="1417"/>
        <w:gridCol w:w="1701"/>
        <w:gridCol w:w="1276"/>
        <w:gridCol w:w="1701"/>
        <w:gridCol w:w="1559"/>
        <w:gridCol w:w="1761"/>
        <w:gridCol w:w="1959"/>
        <w:gridCol w:w="82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12" w:space="0"/>
              <w:left w:val="single" w:color="auto" w:sz="12" w:space="0"/>
              <w:bottom w:val="single" w:color="auto" w:sz="4" w:space="0"/>
              <w:right w:val="single" w:color="auto" w:sz="4" w:space="0"/>
              <w:tl2br w:val="single" w:color="auto" w:sz="4" w:space="0"/>
            </w:tcBorders>
            <w:tcMar>
              <w:top w:w="0" w:type="dxa"/>
              <w:left w:w="28" w:type="dxa"/>
              <w:bottom w:w="0" w:type="dxa"/>
              <w:right w:w="28" w:type="dxa"/>
            </w:tcMar>
            <w:vAlign w:val="center"/>
          </w:tcPr>
          <w:p>
            <w:pPr>
              <w:pStyle w:val="25"/>
              <w:jc w:val="right"/>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项目</w:t>
            </w:r>
          </w:p>
          <w:p>
            <w:pPr>
              <w:pStyle w:val="25"/>
              <w:jc w:val="both"/>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分类</w:t>
            </w:r>
          </w:p>
        </w:tc>
        <w:tc>
          <w:tcPr>
            <w:tcW w:w="1417"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5"/>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污染物名称</w:t>
            </w:r>
          </w:p>
        </w:tc>
        <w:tc>
          <w:tcPr>
            <w:tcW w:w="170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5"/>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现有工程</w:t>
            </w:r>
          </w:p>
          <w:p>
            <w:pPr>
              <w:pStyle w:val="25"/>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①</w:t>
            </w:r>
          </w:p>
        </w:tc>
        <w:tc>
          <w:tcPr>
            <w:tcW w:w="1276"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5"/>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现有工程</w:t>
            </w:r>
          </w:p>
          <w:p>
            <w:pPr>
              <w:pStyle w:val="25"/>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许可排放量</w:t>
            </w:r>
          </w:p>
          <w:p>
            <w:pPr>
              <w:pStyle w:val="25"/>
              <w:rPr>
                <w:rFonts w:ascii="Times New Roman" w:hAnsi="Times New Roman" w:eastAsia="宋体" w:cs="Times New Roman"/>
                <w:color w:val="000000" w:themeColor="text1"/>
                <w:kern w:val="0"/>
                <w:sz w:val="21"/>
                <w:szCs w:val="21"/>
                <w14:textFill>
                  <w14:solidFill>
                    <w14:schemeClr w14:val="tx1"/>
                  </w14:solidFill>
                </w14:textFill>
              </w:rPr>
            </w:pPr>
            <w:r>
              <w:rPr>
                <w:rFonts w:hint="eastAsia" w:ascii="宋体" w:hAnsi="宋体" w:eastAsia="宋体" w:cs="宋体"/>
                <w:color w:val="000000" w:themeColor="text1"/>
                <w:spacing w:val="-6"/>
                <w:kern w:val="21"/>
                <w:sz w:val="21"/>
                <w:szCs w:val="21"/>
                <w14:textFill>
                  <w14:solidFill>
                    <w14:schemeClr w14:val="tx1"/>
                  </w14:solidFill>
                </w14:textFill>
              </w:rPr>
              <w:t>②</w:t>
            </w:r>
          </w:p>
        </w:tc>
        <w:tc>
          <w:tcPr>
            <w:tcW w:w="170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5"/>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在建工程</w:t>
            </w:r>
          </w:p>
          <w:p>
            <w:pPr>
              <w:pStyle w:val="25"/>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③</w:t>
            </w:r>
          </w:p>
        </w:tc>
        <w:tc>
          <w:tcPr>
            <w:tcW w:w="1559"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5"/>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本项目</w:t>
            </w:r>
          </w:p>
          <w:p>
            <w:pPr>
              <w:pStyle w:val="25"/>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④</w:t>
            </w:r>
          </w:p>
        </w:tc>
        <w:tc>
          <w:tcPr>
            <w:tcW w:w="176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5"/>
              <w:rPr>
                <w:rFonts w:ascii="Times New Roman" w:hAnsi="Times New Roman" w:eastAsia="宋体" w:cs="Times New Roman"/>
                <w:color w:val="000000" w:themeColor="text1"/>
                <w:spacing w:val="-16"/>
                <w:kern w:val="21"/>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以新带老削减量</w:t>
            </w:r>
          </w:p>
          <w:p>
            <w:pPr>
              <w:pStyle w:val="25"/>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（新建项目不填）</w:t>
            </w:r>
            <w:r>
              <w:rPr>
                <w:rFonts w:hint="eastAsia" w:ascii="宋体" w:hAnsi="宋体" w:eastAsia="宋体" w:cs="宋体"/>
                <w:color w:val="000000" w:themeColor="text1"/>
                <w:spacing w:val="-16"/>
                <w:kern w:val="21"/>
                <w:sz w:val="21"/>
                <w:szCs w:val="21"/>
                <w14:textFill>
                  <w14:solidFill>
                    <w14:schemeClr w14:val="tx1"/>
                  </w14:solidFill>
                </w14:textFill>
              </w:rPr>
              <w:t>⑤</w:t>
            </w:r>
          </w:p>
        </w:tc>
        <w:tc>
          <w:tcPr>
            <w:tcW w:w="1959"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5"/>
              <w:rPr>
                <w:rFonts w:ascii="Times New Roman" w:hAnsi="Times New Roman" w:eastAsia="宋体" w:cs="Times New Roman"/>
                <w:color w:val="000000" w:themeColor="text1"/>
                <w:spacing w:val="-16"/>
                <w:kern w:val="21"/>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本项目建成后</w:t>
            </w:r>
          </w:p>
          <w:p>
            <w:pPr>
              <w:pStyle w:val="25"/>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全厂排放量（固体废物产生量）</w:t>
            </w:r>
            <w:r>
              <w:rPr>
                <w:rFonts w:hint="eastAsia" w:ascii="宋体" w:hAnsi="宋体" w:eastAsia="宋体" w:cs="宋体"/>
                <w:color w:val="000000" w:themeColor="text1"/>
                <w:spacing w:val="-16"/>
                <w:kern w:val="21"/>
                <w:sz w:val="21"/>
                <w:szCs w:val="21"/>
                <w14:textFill>
                  <w14:solidFill>
                    <w14:schemeClr w14:val="tx1"/>
                  </w14:solidFill>
                </w14:textFill>
              </w:rPr>
              <w:t>⑥</w:t>
            </w:r>
          </w:p>
        </w:tc>
        <w:tc>
          <w:tcPr>
            <w:tcW w:w="826" w:type="dxa"/>
            <w:tcBorders>
              <w:top w:val="single" w:color="auto" w:sz="12" w:space="0"/>
              <w:left w:val="single" w:color="auto" w:sz="4" w:space="0"/>
              <w:bottom w:val="single" w:color="auto" w:sz="4" w:space="0"/>
              <w:right w:val="single" w:color="auto" w:sz="12" w:space="0"/>
            </w:tcBorders>
            <w:tcMar>
              <w:top w:w="0" w:type="dxa"/>
              <w:left w:w="28" w:type="dxa"/>
              <w:bottom w:w="0" w:type="dxa"/>
              <w:right w:w="28" w:type="dxa"/>
            </w:tcMar>
            <w:vAlign w:val="center"/>
          </w:tcPr>
          <w:p>
            <w:pPr>
              <w:pStyle w:val="25"/>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变化量</w:t>
            </w:r>
          </w:p>
          <w:p>
            <w:pPr>
              <w:pStyle w:val="25"/>
              <w:rPr>
                <w:rFonts w:ascii="Times New Roman" w:hAnsi="Times New Roman" w:eastAsia="宋体" w:cs="Times New Roman"/>
                <w:color w:val="000000" w:themeColor="text1"/>
                <w:kern w:val="0"/>
                <w:sz w:val="21"/>
                <w:szCs w:val="21"/>
                <w14:textFill>
                  <w14:solidFill>
                    <w14:schemeClr w14:val="tx1"/>
                  </w14:solidFill>
                </w14:textFill>
              </w:rPr>
            </w:pPr>
            <w:r>
              <w:rPr>
                <w:rFonts w:hint="eastAsia" w:ascii="宋体" w:hAnsi="宋体" w:eastAsia="宋体" w:cs="宋体"/>
                <w:color w:val="000000" w:themeColor="text1"/>
                <w:spacing w:val="-6"/>
                <w:kern w:val="21"/>
                <w:sz w:val="21"/>
                <w:szCs w:val="21"/>
                <w14:textFill>
                  <w14:solidFill>
                    <w14:schemeClr w14:val="tx1"/>
                  </w14:solidFill>
                </w14:textFill>
              </w:rPr>
              <w:t>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restart"/>
            <w:tcBorders>
              <w:top w:val="single" w:color="auto" w:sz="4" w:space="0"/>
              <w:left w:val="single" w:color="auto" w:sz="12"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废气</w:t>
            </w:r>
          </w:p>
        </w:tc>
        <w:tc>
          <w:tcPr>
            <w:tcW w:w="1417"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颗粒物</w:t>
            </w: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0.45</w:t>
            </w:r>
            <w:r>
              <w:rPr>
                <w:rFonts w:hint="eastAsia"/>
                <w:color w:val="000000" w:themeColor="text1"/>
                <w:szCs w:val="21"/>
                <w:lang w:val="en-US" w:eastAsia="zh-CN"/>
                <w14:textFill>
                  <w14:solidFill>
                    <w14:schemeClr w14:val="tx1"/>
                  </w14:solidFill>
                </w14:textFill>
              </w:rPr>
              <w:t>2</w:t>
            </w:r>
            <w:r>
              <w:rPr>
                <w:color w:val="000000" w:themeColor="text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0.45</w:t>
            </w:r>
            <w:r>
              <w:rPr>
                <w:rFonts w:hint="eastAsia"/>
                <w:color w:val="000000" w:themeColor="text1"/>
                <w:szCs w:val="21"/>
                <w:lang w:val="en-US" w:eastAsia="zh-CN"/>
                <w14:textFill>
                  <w14:solidFill>
                    <w14:schemeClr w14:val="tx1"/>
                  </w14:solidFill>
                </w14:textFill>
              </w:rPr>
              <w:t>2</w:t>
            </w:r>
            <w:r>
              <w:rPr>
                <w:color w:val="000000" w:themeColor="text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SO</w:t>
            </w:r>
            <w:r>
              <w:rPr>
                <w:rFonts w:ascii="Times New Roman" w:hAnsi="Times New Roman" w:eastAsia="宋体" w:cs="Times New Roman"/>
                <w:color w:val="000000" w:themeColor="text1"/>
                <w:kern w:val="21"/>
                <w:sz w:val="21"/>
                <w:szCs w:val="21"/>
                <w:vertAlign w:val="subscript"/>
                <w14:textFill>
                  <w14:solidFill>
                    <w14:schemeClr w14:val="tx1"/>
                  </w14:solidFill>
                </w14:textFill>
              </w:rPr>
              <w:t>2</w:t>
            </w: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2.534t</w:t>
            </w:r>
          </w:p>
        </w:tc>
        <w:tc>
          <w:tcPr>
            <w:tcW w:w="176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2.534t</w:t>
            </w:r>
          </w:p>
        </w:tc>
        <w:tc>
          <w:tcPr>
            <w:tcW w:w="826" w:type="dxa"/>
            <w:tcBorders>
              <w:top w:val="single" w:color="auto" w:sz="4" w:space="0"/>
              <w:left w:val="single" w:color="auto" w:sz="4" w:space="0"/>
              <w:bottom w:val="single" w:color="auto" w:sz="4" w:space="0"/>
              <w:right w:val="single" w:color="auto" w:sz="12"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NO</w:t>
            </w:r>
            <w:r>
              <w:rPr>
                <w:rFonts w:hint="eastAsia" w:ascii="Times New Roman" w:hAnsi="Times New Roman" w:eastAsia="宋体" w:cs="Times New Roman"/>
                <w:color w:val="000000" w:themeColor="text1"/>
                <w:kern w:val="21"/>
                <w:sz w:val="21"/>
                <w:szCs w:val="21"/>
                <w:vertAlign w:val="subscript"/>
                <w14:textFill>
                  <w14:solidFill>
                    <w14:schemeClr w14:val="tx1"/>
                  </w14:solidFill>
                </w14:textFill>
              </w:rPr>
              <w:t>X</w:t>
            </w: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1.62</w:t>
            </w:r>
            <w:r>
              <w:rPr>
                <w:rFonts w:hint="eastAsia"/>
                <w:color w:val="000000" w:themeColor="text1"/>
                <w:szCs w:val="21"/>
                <w:lang w:val="en-US" w:eastAsia="zh-CN"/>
                <w14:textFill>
                  <w14:solidFill>
                    <w14:schemeClr w14:val="tx1"/>
                  </w14:solidFill>
                </w14:textFill>
              </w:rPr>
              <w:t>2</w:t>
            </w:r>
            <w:r>
              <w:rPr>
                <w:color w:val="000000" w:themeColor="text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1.62</w:t>
            </w:r>
            <w:r>
              <w:rPr>
                <w:rFonts w:hint="eastAsia"/>
                <w:color w:val="000000" w:themeColor="text1"/>
                <w:szCs w:val="21"/>
                <w:lang w:val="en-US" w:eastAsia="zh-CN"/>
                <w14:textFill>
                  <w14:solidFill>
                    <w14:schemeClr w14:val="tx1"/>
                  </w14:solidFill>
                </w14:textFill>
              </w:rPr>
              <w:t>2</w:t>
            </w:r>
            <w:r>
              <w:rPr>
                <w:color w:val="000000" w:themeColor="text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CO</w:t>
            </w: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0.95</w:t>
            </w:r>
            <w:r>
              <w:rPr>
                <w:rFonts w:hint="eastAsia"/>
                <w:color w:val="000000" w:themeColor="text1"/>
                <w:szCs w:val="21"/>
                <w:lang w:val="en-US" w:eastAsia="zh-CN"/>
                <w14:textFill>
                  <w14:solidFill>
                    <w14:schemeClr w14:val="tx1"/>
                  </w14:solidFill>
                </w14:textFill>
              </w:rPr>
              <w:t>0</w:t>
            </w:r>
            <w:r>
              <w:rPr>
                <w:color w:val="000000" w:themeColor="text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0.95</w:t>
            </w:r>
            <w:r>
              <w:rPr>
                <w:rFonts w:hint="eastAsia"/>
                <w:color w:val="000000" w:themeColor="text1"/>
                <w:szCs w:val="21"/>
                <w:lang w:val="en-US" w:eastAsia="zh-CN"/>
                <w14:textFill>
                  <w14:solidFill>
                    <w14:schemeClr w14:val="tx1"/>
                  </w14:solidFill>
                </w14:textFill>
              </w:rPr>
              <w:t>0</w:t>
            </w:r>
            <w:r>
              <w:rPr>
                <w:color w:val="000000" w:themeColor="text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widowControl/>
              <w:spacing w:beforeAutospacing="1" w:afterAutospacing="1"/>
              <w:jc w:val="left"/>
              <w:rPr>
                <w:color w:val="000000" w:themeColor="text1"/>
                <w:kern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总烃</w:t>
            </w: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0.943t</w:t>
            </w:r>
          </w:p>
        </w:tc>
        <w:tc>
          <w:tcPr>
            <w:tcW w:w="176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color w:val="000000" w:themeColor="text1"/>
                <w:kern w:val="21"/>
                <w:szCs w:val="21"/>
                <w14:textFill>
                  <w14:solidFill>
                    <w14:schemeClr w14:val="tx1"/>
                  </w14:solidFill>
                </w14:textFill>
              </w:rPr>
            </w:pPr>
            <w:r>
              <w:rPr>
                <w:color w:val="000000" w:themeColor="text1"/>
                <w:szCs w:val="21"/>
                <w14:textFill>
                  <w14:solidFill>
                    <w14:schemeClr w14:val="tx1"/>
                  </w14:solidFill>
                </w14:textFill>
              </w:rPr>
              <w:t>0.943t</w:t>
            </w:r>
          </w:p>
        </w:tc>
        <w:tc>
          <w:tcPr>
            <w:tcW w:w="826" w:type="dxa"/>
            <w:tcBorders>
              <w:top w:val="single" w:color="auto" w:sz="4" w:space="0"/>
              <w:left w:val="single" w:color="auto" w:sz="4" w:space="0"/>
              <w:bottom w:val="single" w:color="auto" w:sz="4" w:space="0"/>
              <w:right w:val="single" w:color="auto" w:sz="12"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4" w:space="0"/>
              <w:left w:val="single" w:color="auto" w:sz="12"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废水</w:t>
            </w:r>
          </w:p>
        </w:tc>
        <w:tc>
          <w:tcPr>
            <w:tcW w:w="1417"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w:t>
            </w: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w:t>
            </w:r>
          </w:p>
        </w:tc>
        <w:tc>
          <w:tcPr>
            <w:tcW w:w="176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w:t>
            </w:r>
          </w:p>
        </w:tc>
        <w:tc>
          <w:tcPr>
            <w:tcW w:w="826" w:type="dxa"/>
            <w:tcBorders>
              <w:top w:val="single" w:color="auto" w:sz="4" w:space="0"/>
              <w:left w:val="single" w:color="auto" w:sz="4" w:space="0"/>
              <w:bottom w:val="single" w:color="auto" w:sz="4" w:space="0"/>
              <w:right w:val="single" w:color="auto" w:sz="12"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restart"/>
            <w:tcBorders>
              <w:top w:val="single" w:color="auto" w:sz="4" w:space="0"/>
              <w:left w:val="single" w:color="auto" w:sz="12"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一般工业</w:t>
            </w:r>
          </w:p>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固体废物</w:t>
            </w:r>
          </w:p>
        </w:tc>
        <w:tc>
          <w:tcPr>
            <w:tcW w:w="1417"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泥浆</w:t>
            </w: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927.08t</w:t>
            </w:r>
          </w:p>
        </w:tc>
        <w:tc>
          <w:tcPr>
            <w:tcW w:w="176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927.08t</w:t>
            </w:r>
          </w:p>
        </w:tc>
        <w:tc>
          <w:tcPr>
            <w:tcW w:w="826" w:type="dxa"/>
            <w:tcBorders>
              <w:top w:val="single" w:color="auto" w:sz="4" w:space="0"/>
              <w:left w:val="single" w:color="auto" w:sz="4" w:space="0"/>
              <w:bottom w:val="single" w:color="auto" w:sz="4" w:space="0"/>
              <w:right w:val="single" w:color="auto" w:sz="12"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岩芯</w:t>
            </w: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686.4t</w:t>
            </w:r>
          </w:p>
        </w:tc>
        <w:tc>
          <w:tcPr>
            <w:tcW w:w="1761"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686.4t</w:t>
            </w:r>
          </w:p>
        </w:tc>
        <w:tc>
          <w:tcPr>
            <w:tcW w:w="826" w:type="dxa"/>
            <w:tcBorders>
              <w:top w:val="single" w:color="auto" w:sz="4" w:space="0"/>
              <w:left w:val="single" w:color="auto" w:sz="4" w:space="0"/>
              <w:bottom w:val="single" w:color="auto" w:sz="4" w:space="0"/>
              <w:right w:val="single" w:color="auto" w:sz="12"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4" w:space="0"/>
              <w:left w:val="single" w:color="auto" w:sz="12" w:space="0"/>
              <w:bottom w:val="single" w:color="auto" w:sz="12"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危险废物</w:t>
            </w:r>
          </w:p>
        </w:tc>
        <w:tc>
          <w:tcPr>
            <w:tcW w:w="1417" w:type="dxa"/>
            <w:tcBorders>
              <w:top w:val="single" w:color="auto" w:sz="4" w:space="0"/>
              <w:left w:val="single" w:color="auto" w:sz="4" w:space="0"/>
              <w:bottom w:val="single" w:color="auto" w:sz="12"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废矿物油</w:t>
            </w:r>
          </w:p>
        </w:tc>
        <w:tc>
          <w:tcPr>
            <w:tcW w:w="1701" w:type="dxa"/>
            <w:tcBorders>
              <w:top w:val="single" w:color="auto" w:sz="4" w:space="0"/>
              <w:left w:val="single" w:color="auto" w:sz="4" w:space="0"/>
              <w:bottom w:val="single" w:color="auto" w:sz="12"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12"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12"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12"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1.136t</w:t>
            </w:r>
          </w:p>
        </w:tc>
        <w:tc>
          <w:tcPr>
            <w:tcW w:w="1761" w:type="dxa"/>
            <w:tcBorders>
              <w:top w:val="single" w:color="auto" w:sz="4" w:space="0"/>
              <w:left w:val="single" w:color="auto" w:sz="4" w:space="0"/>
              <w:bottom w:val="single" w:color="auto" w:sz="12"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12" w:space="0"/>
              <w:right w:val="single" w:color="auto" w:sz="4"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1.136t</w:t>
            </w:r>
          </w:p>
        </w:tc>
        <w:tc>
          <w:tcPr>
            <w:tcW w:w="826" w:type="dxa"/>
            <w:tcBorders>
              <w:top w:val="single" w:color="auto" w:sz="4" w:space="0"/>
              <w:left w:val="single" w:color="auto" w:sz="4" w:space="0"/>
              <w:bottom w:val="single" w:color="auto" w:sz="12" w:space="0"/>
              <w:right w:val="single" w:color="auto" w:sz="12" w:space="0"/>
            </w:tcBorders>
            <w:vAlign w:val="center"/>
          </w:tcPr>
          <w:p>
            <w:pPr>
              <w:pStyle w:val="25"/>
              <w:rPr>
                <w:rFonts w:ascii="Times New Roman" w:hAnsi="Times New Roman" w:eastAsia="宋体" w:cs="Times New Roman"/>
                <w:color w:val="000000" w:themeColor="text1"/>
                <w:kern w:val="21"/>
                <w:sz w:val="21"/>
                <w:szCs w:val="21"/>
                <w14:textFill>
                  <w14:solidFill>
                    <w14:schemeClr w14:val="tx1"/>
                  </w14:solidFill>
                </w14:textFill>
              </w:rPr>
            </w:pPr>
          </w:p>
        </w:tc>
      </w:tr>
    </w:tbl>
    <w:p>
      <w:pPr>
        <w:pStyle w:val="25"/>
        <w:spacing w:line="360" w:lineRule="auto"/>
        <w:jc w:val="both"/>
        <w:rPr>
          <w:rFonts w:ascii="宋体" w:hAnsi="宋体" w:cs="Times New Roman"/>
          <w:color w:val="000000" w:themeColor="text1"/>
          <w:spacing w:val="-6"/>
          <w:kern w:val="21"/>
          <w:sz w:val="21"/>
          <w:szCs w:val="21"/>
          <w14:textFill>
            <w14:solidFill>
              <w14:schemeClr w14:val="tx1"/>
            </w14:solidFill>
          </w14:textFill>
        </w:rPr>
      </w:pPr>
      <w:r>
        <w:rPr>
          <w:rFonts w:hint="eastAsia" w:hAnsi="宋体"/>
          <w:color w:val="000000" w:themeColor="text1"/>
          <w:kern w:val="21"/>
          <w:sz w:val="21"/>
          <w:szCs w:val="21"/>
          <w14:textFill>
            <w14:solidFill>
              <w14:schemeClr w14:val="tx1"/>
            </w14:solidFill>
          </w14:textFill>
        </w:rPr>
        <w:t>注：</w:t>
      </w:r>
      <w:r>
        <w:rPr>
          <w:rFonts w:hint="eastAsia" w:hAnsi="宋体"/>
          <w:color w:val="000000" w:themeColor="text1"/>
          <w:sz w:val="21"/>
          <w:szCs w:val="21"/>
          <w14:textFill>
            <w14:solidFill>
              <w14:schemeClr w14:val="tx1"/>
            </w14:solidFill>
          </w14:textFill>
        </w:rPr>
        <w:t>⑥</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①</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③</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④</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⑤</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⑦</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⑥</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①</w:t>
      </w:r>
    </w:p>
    <w:p>
      <w:pPr>
        <w:rPr>
          <w:color w:val="000000" w:themeColor="text1"/>
          <w14:textFill>
            <w14:solidFill>
              <w14:schemeClr w14:val="tx1"/>
            </w14:solidFill>
          </w14:textFill>
        </w:rPr>
      </w:pPr>
    </w:p>
    <w:p>
      <w:pPr>
        <w:rPr>
          <w:color w:val="000000" w:themeColor="text1"/>
          <w14:textFill>
            <w14:solidFill>
              <w14:schemeClr w14:val="tx1"/>
            </w14:solidFill>
          </w14:textFill>
        </w:rPr>
      </w:pPr>
    </w:p>
    <w:sectPr>
      <w:pgSz w:w="16838" w:h="11906" w:orient="landscape"/>
      <w:pgMar w:top="1080" w:right="1440" w:bottom="1080" w:left="144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汉鼎简书宋">
    <w:altName w:val="宋体"/>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华文行楷">
    <w:panose1 w:val="02010800040101010101"/>
    <w:charset w:val="86"/>
    <w:family w:val="auto"/>
    <w:pitch w:val="default"/>
    <w:sig w:usb0="00000001" w:usb1="080F0000" w:usb2="0000000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TimesNewRomanPSMT">
    <w:altName w:val="Times New Roman"/>
    <w:panose1 w:val="00000000000000000000"/>
    <w:charset w:val="00"/>
    <w:family w:val="auto"/>
    <w:pitch w:val="default"/>
    <w:sig w:usb0="00000000" w:usb1="00000000" w:usb2="00000000" w:usb3="00000000" w:csb0="00000000" w:csb1="00000000"/>
  </w:font>
  <w:font w:name="等线">
    <w:panose1 w:val="02010600030101010101"/>
    <w:charset w:val="86"/>
    <w:family w:val="auto"/>
    <w:pitch w:val="default"/>
    <w:sig w:usb0="A00002BF" w:usb1="38CF7CFA" w:usb2="00000016" w:usb3="00000000" w:csb0="0004000F" w:csb1="00000000"/>
  </w:font>
  <w:font w:name="Wingdings 2">
    <w:panose1 w:val="05020102010507070707"/>
    <w:charset w:val="02"/>
    <w:family w:val="roman"/>
    <w:pitch w:val="default"/>
    <w:sig w:usb0="00000000" w:usb1="00000000" w:usb2="00000000" w:usb3="00000000" w:csb0="80000000" w:csb1="00000000"/>
  </w:font>
  <w:font w:name="Cambria Math">
    <w:panose1 w:val="02040503050406030204"/>
    <w:charset w:val="00"/>
    <w:family w:val="roman"/>
    <w:pitch w:val="default"/>
    <w:sig w:usb0="E00006FF" w:usb1="420024FF" w:usb2="02000000" w:usb3="00000000" w:csb0="2000019F" w:csb1="00000000"/>
  </w:font>
  <w:font w:name="方正小标宋_GBK">
    <w:altName w:val="微软雅黑"/>
    <w:panose1 w:val="00000000000000000000"/>
    <w:charset w:val="00"/>
    <w:family w:val="auto"/>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Wingdings 2">
    <w:panose1 w:val="05020102010507070707"/>
    <w:charset w:val="00"/>
    <w:family w:val="auto"/>
    <w:pitch w:val="default"/>
    <w:sig w:usb0="00000000" w:usb1="00000000" w:usb2="00000000" w:usb3="00000000" w:csb0="80000000" w:csb1="00000000"/>
  </w:font>
  <w:font w:name="华文宋体">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sz w:val="21"/>
        <w:szCs w:val="21"/>
      </w:rPr>
      <w:id w:val="768580829"/>
    </w:sdtPr>
    <w:sdtEndPr>
      <w:rPr>
        <w:sz w:val="21"/>
        <w:szCs w:val="21"/>
      </w:rPr>
    </w:sdtEndPr>
    <w:sdtContent>
      <w:p>
        <w:pPr>
          <w:pStyle w:val="7"/>
          <w:pBdr>
            <w:top w:val="thickThinSmallGap" w:color="auto" w:sz="24" w:space="1"/>
          </w:pBdr>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2</w:t>
        </w:r>
        <w:r>
          <w:rPr>
            <w:sz w:val="21"/>
            <w:szCs w:val="21"/>
          </w:rP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thinThickSmallGap" w:color="auto" w:sz="24" w:space="1"/>
      </w:pBdr>
      <w:jc w:val="center"/>
      <w:rPr>
        <w:rFonts w:hint="eastAsia" w:eastAsia="宋体"/>
        <w:sz w:val="21"/>
        <w:lang w:eastAsia="zh-CN"/>
      </w:rPr>
    </w:pPr>
    <w:bookmarkStart w:id="32" w:name="_Hlk69389267"/>
    <w:bookmarkStart w:id="33" w:name="_Hlk69389268"/>
    <w:r>
      <w:rPr>
        <w:rFonts w:hint="eastAsia"/>
        <w:sz w:val="21"/>
      </w:rPr>
      <w:t>柴达木盆地阿拉尔—苏干湖地区铀矿资源调查评价与勘查</w:t>
    </w:r>
    <w:bookmarkEnd w:id="32"/>
    <w:bookmarkEnd w:id="33"/>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9D4AEDB"/>
    <w:multiLevelType w:val="singleLevel"/>
    <w:tmpl w:val="B9D4AEDB"/>
    <w:lvl w:ilvl="0" w:tentative="0">
      <w:start w:val="7"/>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43B6193"/>
    <w:rsid w:val="001D4758"/>
    <w:rsid w:val="00495D0F"/>
    <w:rsid w:val="004C4E3D"/>
    <w:rsid w:val="005C5316"/>
    <w:rsid w:val="007130B5"/>
    <w:rsid w:val="0074287F"/>
    <w:rsid w:val="007956CD"/>
    <w:rsid w:val="007B1388"/>
    <w:rsid w:val="00807944"/>
    <w:rsid w:val="009A3B0D"/>
    <w:rsid w:val="009A423D"/>
    <w:rsid w:val="00A14A83"/>
    <w:rsid w:val="00A5281F"/>
    <w:rsid w:val="00A5508E"/>
    <w:rsid w:val="00A77F21"/>
    <w:rsid w:val="00B12FFA"/>
    <w:rsid w:val="00B510F0"/>
    <w:rsid w:val="00B63660"/>
    <w:rsid w:val="00C564D5"/>
    <w:rsid w:val="00D163E6"/>
    <w:rsid w:val="00D82774"/>
    <w:rsid w:val="00DC759F"/>
    <w:rsid w:val="00EF429C"/>
    <w:rsid w:val="00F62BEC"/>
    <w:rsid w:val="00F64CF1"/>
    <w:rsid w:val="00FA5F27"/>
    <w:rsid w:val="00FE3948"/>
    <w:rsid w:val="011A7E9F"/>
    <w:rsid w:val="0188004C"/>
    <w:rsid w:val="01A15753"/>
    <w:rsid w:val="01A75D4F"/>
    <w:rsid w:val="01B84E2C"/>
    <w:rsid w:val="01E82F1D"/>
    <w:rsid w:val="0217125C"/>
    <w:rsid w:val="0225176F"/>
    <w:rsid w:val="02593CFB"/>
    <w:rsid w:val="0259682F"/>
    <w:rsid w:val="02A41FF1"/>
    <w:rsid w:val="02AA69AA"/>
    <w:rsid w:val="02B424F3"/>
    <w:rsid w:val="02D3260A"/>
    <w:rsid w:val="033346A9"/>
    <w:rsid w:val="03E25AE7"/>
    <w:rsid w:val="04801BEC"/>
    <w:rsid w:val="04961C09"/>
    <w:rsid w:val="04961C9F"/>
    <w:rsid w:val="04AA3137"/>
    <w:rsid w:val="04AB332C"/>
    <w:rsid w:val="04CA7006"/>
    <w:rsid w:val="04FA51E9"/>
    <w:rsid w:val="04FB04C0"/>
    <w:rsid w:val="058D1D95"/>
    <w:rsid w:val="05BE10A1"/>
    <w:rsid w:val="06041655"/>
    <w:rsid w:val="06607543"/>
    <w:rsid w:val="06BE4D08"/>
    <w:rsid w:val="06C600D7"/>
    <w:rsid w:val="078D3F67"/>
    <w:rsid w:val="07B06EF9"/>
    <w:rsid w:val="080E65F7"/>
    <w:rsid w:val="080F5BD3"/>
    <w:rsid w:val="08272EE8"/>
    <w:rsid w:val="088D6954"/>
    <w:rsid w:val="09047824"/>
    <w:rsid w:val="097B3D86"/>
    <w:rsid w:val="0A3321A1"/>
    <w:rsid w:val="0A4B0D3A"/>
    <w:rsid w:val="0B1F1433"/>
    <w:rsid w:val="0B5D26A9"/>
    <w:rsid w:val="0B5F55AD"/>
    <w:rsid w:val="0B9F52B7"/>
    <w:rsid w:val="0BD7403C"/>
    <w:rsid w:val="0C486FA7"/>
    <w:rsid w:val="0C8A5AD9"/>
    <w:rsid w:val="0CE97319"/>
    <w:rsid w:val="0CEC1921"/>
    <w:rsid w:val="0D2A5E99"/>
    <w:rsid w:val="0D6872A6"/>
    <w:rsid w:val="0D79712C"/>
    <w:rsid w:val="0D993C57"/>
    <w:rsid w:val="0DE85CA4"/>
    <w:rsid w:val="0E177107"/>
    <w:rsid w:val="0E325B64"/>
    <w:rsid w:val="0E841AB6"/>
    <w:rsid w:val="0E8E183B"/>
    <w:rsid w:val="0F2B24FB"/>
    <w:rsid w:val="0F49535E"/>
    <w:rsid w:val="0FAD617D"/>
    <w:rsid w:val="0FD2536F"/>
    <w:rsid w:val="0FE30A90"/>
    <w:rsid w:val="0FF83647"/>
    <w:rsid w:val="0FFE7A83"/>
    <w:rsid w:val="101823A3"/>
    <w:rsid w:val="10291D95"/>
    <w:rsid w:val="103A5FFA"/>
    <w:rsid w:val="108678AF"/>
    <w:rsid w:val="108C7324"/>
    <w:rsid w:val="11420BC4"/>
    <w:rsid w:val="114D2313"/>
    <w:rsid w:val="11570ABF"/>
    <w:rsid w:val="11632CF7"/>
    <w:rsid w:val="119F5747"/>
    <w:rsid w:val="11C80465"/>
    <w:rsid w:val="12212CA2"/>
    <w:rsid w:val="12A85316"/>
    <w:rsid w:val="12D26084"/>
    <w:rsid w:val="12DD7349"/>
    <w:rsid w:val="1304655A"/>
    <w:rsid w:val="13181508"/>
    <w:rsid w:val="133E5CD0"/>
    <w:rsid w:val="137845C1"/>
    <w:rsid w:val="13797DBF"/>
    <w:rsid w:val="137E4E85"/>
    <w:rsid w:val="13835C81"/>
    <w:rsid w:val="14070525"/>
    <w:rsid w:val="14245641"/>
    <w:rsid w:val="14832ED4"/>
    <w:rsid w:val="14B13E00"/>
    <w:rsid w:val="15266994"/>
    <w:rsid w:val="159D5A50"/>
    <w:rsid w:val="15AA0CCE"/>
    <w:rsid w:val="15FC4528"/>
    <w:rsid w:val="16041A66"/>
    <w:rsid w:val="16051669"/>
    <w:rsid w:val="165E37AE"/>
    <w:rsid w:val="1662391D"/>
    <w:rsid w:val="166E6578"/>
    <w:rsid w:val="16CD2C44"/>
    <w:rsid w:val="16D12CD0"/>
    <w:rsid w:val="17341EB4"/>
    <w:rsid w:val="180F57B3"/>
    <w:rsid w:val="181B798C"/>
    <w:rsid w:val="186C3616"/>
    <w:rsid w:val="194D1C18"/>
    <w:rsid w:val="199D2220"/>
    <w:rsid w:val="19B20634"/>
    <w:rsid w:val="19E56CCA"/>
    <w:rsid w:val="1A12012B"/>
    <w:rsid w:val="1AB5271F"/>
    <w:rsid w:val="1AEF5BDA"/>
    <w:rsid w:val="1B6F4465"/>
    <w:rsid w:val="1B806D12"/>
    <w:rsid w:val="1BA20415"/>
    <w:rsid w:val="1BBE32B1"/>
    <w:rsid w:val="1CB70C72"/>
    <w:rsid w:val="1CFB7D12"/>
    <w:rsid w:val="1D934A2C"/>
    <w:rsid w:val="1D9D5404"/>
    <w:rsid w:val="1DED6310"/>
    <w:rsid w:val="1DFD2D8D"/>
    <w:rsid w:val="1E117288"/>
    <w:rsid w:val="1E573F4D"/>
    <w:rsid w:val="1E8E267F"/>
    <w:rsid w:val="1F575241"/>
    <w:rsid w:val="1FA32237"/>
    <w:rsid w:val="20272E6B"/>
    <w:rsid w:val="20714AE8"/>
    <w:rsid w:val="20AC79B2"/>
    <w:rsid w:val="20D6053C"/>
    <w:rsid w:val="214D20B4"/>
    <w:rsid w:val="2150399C"/>
    <w:rsid w:val="217159FC"/>
    <w:rsid w:val="219A30BC"/>
    <w:rsid w:val="21AE250B"/>
    <w:rsid w:val="21B10E65"/>
    <w:rsid w:val="21BB70B0"/>
    <w:rsid w:val="21BF6912"/>
    <w:rsid w:val="21C5669B"/>
    <w:rsid w:val="21CF13D7"/>
    <w:rsid w:val="21D17F14"/>
    <w:rsid w:val="21E503C4"/>
    <w:rsid w:val="22267FD0"/>
    <w:rsid w:val="222E78DB"/>
    <w:rsid w:val="225C47DE"/>
    <w:rsid w:val="22871DC1"/>
    <w:rsid w:val="22C40C28"/>
    <w:rsid w:val="23AE316C"/>
    <w:rsid w:val="24A558DB"/>
    <w:rsid w:val="24FA3D36"/>
    <w:rsid w:val="25041644"/>
    <w:rsid w:val="253B4313"/>
    <w:rsid w:val="255122D7"/>
    <w:rsid w:val="261A3F50"/>
    <w:rsid w:val="26642DA0"/>
    <w:rsid w:val="26700956"/>
    <w:rsid w:val="26AB6263"/>
    <w:rsid w:val="26C150ED"/>
    <w:rsid w:val="26C823CF"/>
    <w:rsid w:val="270D4EB8"/>
    <w:rsid w:val="27444C13"/>
    <w:rsid w:val="27C26798"/>
    <w:rsid w:val="28044B4E"/>
    <w:rsid w:val="28271B9F"/>
    <w:rsid w:val="283F7E97"/>
    <w:rsid w:val="286A6A6A"/>
    <w:rsid w:val="28860261"/>
    <w:rsid w:val="2891016B"/>
    <w:rsid w:val="28B45C58"/>
    <w:rsid w:val="28E43B8F"/>
    <w:rsid w:val="291E3B54"/>
    <w:rsid w:val="2952317D"/>
    <w:rsid w:val="29780BA1"/>
    <w:rsid w:val="29845FA5"/>
    <w:rsid w:val="299B3DAD"/>
    <w:rsid w:val="29B31F1C"/>
    <w:rsid w:val="2A267F40"/>
    <w:rsid w:val="2A2B6896"/>
    <w:rsid w:val="2A3175B3"/>
    <w:rsid w:val="2A3516E2"/>
    <w:rsid w:val="2A7133A4"/>
    <w:rsid w:val="2A801D06"/>
    <w:rsid w:val="2A9A3790"/>
    <w:rsid w:val="2AB2233D"/>
    <w:rsid w:val="2AC002A3"/>
    <w:rsid w:val="2AF80B99"/>
    <w:rsid w:val="2B0440B7"/>
    <w:rsid w:val="2B074607"/>
    <w:rsid w:val="2B3044C4"/>
    <w:rsid w:val="2B5256D7"/>
    <w:rsid w:val="2C480A58"/>
    <w:rsid w:val="2C58490D"/>
    <w:rsid w:val="2C6B62BE"/>
    <w:rsid w:val="2C6C2468"/>
    <w:rsid w:val="2C8B58A9"/>
    <w:rsid w:val="2CB24006"/>
    <w:rsid w:val="2CD730B7"/>
    <w:rsid w:val="2D461C33"/>
    <w:rsid w:val="2D591DE9"/>
    <w:rsid w:val="2D68609C"/>
    <w:rsid w:val="2D7711C1"/>
    <w:rsid w:val="2DB041A7"/>
    <w:rsid w:val="2EBB692B"/>
    <w:rsid w:val="2ECA1C79"/>
    <w:rsid w:val="2ECF5002"/>
    <w:rsid w:val="2ED27697"/>
    <w:rsid w:val="2F47172D"/>
    <w:rsid w:val="2F504D01"/>
    <w:rsid w:val="2F572445"/>
    <w:rsid w:val="2F5D4610"/>
    <w:rsid w:val="2FF33706"/>
    <w:rsid w:val="3008125F"/>
    <w:rsid w:val="3016715B"/>
    <w:rsid w:val="30332876"/>
    <w:rsid w:val="306E4897"/>
    <w:rsid w:val="306F032E"/>
    <w:rsid w:val="30C9052A"/>
    <w:rsid w:val="3122398E"/>
    <w:rsid w:val="312262E1"/>
    <w:rsid w:val="31287F68"/>
    <w:rsid w:val="31340151"/>
    <w:rsid w:val="31953F27"/>
    <w:rsid w:val="31A367E8"/>
    <w:rsid w:val="31E11D30"/>
    <w:rsid w:val="320668EB"/>
    <w:rsid w:val="32227FEC"/>
    <w:rsid w:val="32453DAA"/>
    <w:rsid w:val="324B2A88"/>
    <w:rsid w:val="32572DBD"/>
    <w:rsid w:val="329B625D"/>
    <w:rsid w:val="32AB0A36"/>
    <w:rsid w:val="33412CB1"/>
    <w:rsid w:val="33433BBA"/>
    <w:rsid w:val="338E4197"/>
    <w:rsid w:val="33A90B99"/>
    <w:rsid w:val="33BF1769"/>
    <w:rsid w:val="33D515CA"/>
    <w:rsid w:val="33F11498"/>
    <w:rsid w:val="34002D58"/>
    <w:rsid w:val="34593D31"/>
    <w:rsid w:val="345B6403"/>
    <w:rsid w:val="34F7556D"/>
    <w:rsid w:val="3574346C"/>
    <w:rsid w:val="357A11F8"/>
    <w:rsid w:val="358473D1"/>
    <w:rsid w:val="35B875A0"/>
    <w:rsid w:val="35D416F7"/>
    <w:rsid w:val="35E02CBB"/>
    <w:rsid w:val="360C6362"/>
    <w:rsid w:val="361109FB"/>
    <w:rsid w:val="365F241F"/>
    <w:rsid w:val="36745011"/>
    <w:rsid w:val="367F2E1A"/>
    <w:rsid w:val="36D50F42"/>
    <w:rsid w:val="36E05C97"/>
    <w:rsid w:val="36F22CCC"/>
    <w:rsid w:val="37361C20"/>
    <w:rsid w:val="373F5B31"/>
    <w:rsid w:val="375612F4"/>
    <w:rsid w:val="37835C8F"/>
    <w:rsid w:val="37A22F0A"/>
    <w:rsid w:val="37CA682B"/>
    <w:rsid w:val="37FE29D9"/>
    <w:rsid w:val="380B6FF6"/>
    <w:rsid w:val="38382657"/>
    <w:rsid w:val="385810F0"/>
    <w:rsid w:val="38FC436B"/>
    <w:rsid w:val="397C1D3F"/>
    <w:rsid w:val="399825C9"/>
    <w:rsid w:val="399E705B"/>
    <w:rsid w:val="3A2E7EA8"/>
    <w:rsid w:val="3A342D49"/>
    <w:rsid w:val="3A455988"/>
    <w:rsid w:val="3A573108"/>
    <w:rsid w:val="3A573E09"/>
    <w:rsid w:val="3A6A2147"/>
    <w:rsid w:val="3A6A7367"/>
    <w:rsid w:val="3B180E65"/>
    <w:rsid w:val="3B4A4587"/>
    <w:rsid w:val="3B4F1B96"/>
    <w:rsid w:val="3B577E16"/>
    <w:rsid w:val="3BA973EB"/>
    <w:rsid w:val="3BD92432"/>
    <w:rsid w:val="3C1D4FDF"/>
    <w:rsid w:val="3C4F416F"/>
    <w:rsid w:val="3C810D94"/>
    <w:rsid w:val="3CA6059D"/>
    <w:rsid w:val="3CA65FBF"/>
    <w:rsid w:val="3CA76A2C"/>
    <w:rsid w:val="3CC966E2"/>
    <w:rsid w:val="3D4761A1"/>
    <w:rsid w:val="3D6C27B6"/>
    <w:rsid w:val="3D88151B"/>
    <w:rsid w:val="3DBC44D7"/>
    <w:rsid w:val="3E0D04DF"/>
    <w:rsid w:val="3E1B077A"/>
    <w:rsid w:val="3EB01A33"/>
    <w:rsid w:val="3EB07E78"/>
    <w:rsid w:val="3ED27FAD"/>
    <w:rsid w:val="3F58322B"/>
    <w:rsid w:val="40222E76"/>
    <w:rsid w:val="403F21EB"/>
    <w:rsid w:val="403F5C99"/>
    <w:rsid w:val="40525D74"/>
    <w:rsid w:val="4059711E"/>
    <w:rsid w:val="40BA4D77"/>
    <w:rsid w:val="40EB162C"/>
    <w:rsid w:val="410F0E48"/>
    <w:rsid w:val="416D4416"/>
    <w:rsid w:val="419B38BB"/>
    <w:rsid w:val="419F4491"/>
    <w:rsid w:val="420304AD"/>
    <w:rsid w:val="420C442A"/>
    <w:rsid w:val="427A41E1"/>
    <w:rsid w:val="43041A74"/>
    <w:rsid w:val="43416BCA"/>
    <w:rsid w:val="435F1B9A"/>
    <w:rsid w:val="43D63A89"/>
    <w:rsid w:val="44311D87"/>
    <w:rsid w:val="446140AC"/>
    <w:rsid w:val="44710C47"/>
    <w:rsid w:val="4486270F"/>
    <w:rsid w:val="44E6141D"/>
    <w:rsid w:val="44ED7E57"/>
    <w:rsid w:val="45252167"/>
    <w:rsid w:val="45372D1F"/>
    <w:rsid w:val="45D179F4"/>
    <w:rsid w:val="45D8410F"/>
    <w:rsid w:val="46593A57"/>
    <w:rsid w:val="467319B7"/>
    <w:rsid w:val="46784E16"/>
    <w:rsid w:val="46C23EA0"/>
    <w:rsid w:val="47017CEC"/>
    <w:rsid w:val="47376DE3"/>
    <w:rsid w:val="47706916"/>
    <w:rsid w:val="478064F1"/>
    <w:rsid w:val="47EE374E"/>
    <w:rsid w:val="482359BB"/>
    <w:rsid w:val="482D2DFD"/>
    <w:rsid w:val="4874365A"/>
    <w:rsid w:val="48B94127"/>
    <w:rsid w:val="48CD1414"/>
    <w:rsid w:val="48D93F74"/>
    <w:rsid w:val="48FF2F84"/>
    <w:rsid w:val="49C828DB"/>
    <w:rsid w:val="49D45088"/>
    <w:rsid w:val="4A1268DF"/>
    <w:rsid w:val="4A1741D8"/>
    <w:rsid w:val="4A3F43D6"/>
    <w:rsid w:val="4A920B44"/>
    <w:rsid w:val="4B7F33C6"/>
    <w:rsid w:val="4B886A81"/>
    <w:rsid w:val="4BAC158A"/>
    <w:rsid w:val="4BE367F2"/>
    <w:rsid w:val="4BE539FC"/>
    <w:rsid w:val="4C243823"/>
    <w:rsid w:val="4C5654CD"/>
    <w:rsid w:val="4C5F5E69"/>
    <w:rsid w:val="4C791B53"/>
    <w:rsid w:val="4CF62006"/>
    <w:rsid w:val="4CF962B9"/>
    <w:rsid w:val="4D197F46"/>
    <w:rsid w:val="4DC40E68"/>
    <w:rsid w:val="4DF0657F"/>
    <w:rsid w:val="4E065068"/>
    <w:rsid w:val="4E1421EA"/>
    <w:rsid w:val="4E2429BA"/>
    <w:rsid w:val="4E3709A7"/>
    <w:rsid w:val="4E5B59D2"/>
    <w:rsid w:val="4E6B289D"/>
    <w:rsid w:val="4E844C85"/>
    <w:rsid w:val="4E850CCF"/>
    <w:rsid w:val="4EBC0FB5"/>
    <w:rsid w:val="4EC73F25"/>
    <w:rsid w:val="4F4C6DDC"/>
    <w:rsid w:val="4F596976"/>
    <w:rsid w:val="4F7E4B29"/>
    <w:rsid w:val="4F985B7C"/>
    <w:rsid w:val="4F9F1CD8"/>
    <w:rsid w:val="4FB349BE"/>
    <w:rsid w:val="4FD114F4"/>
    <w:rsid w:val="4FD96772"/>
    <w:rsid w:val="4FEC6570"/>
    <w:rsid w:val="4FF73545"/>
    <w:rsid w:val="50157387"/>
    <w:rsid w:val="503110FC"/>
    <w:rsid w:val="504D4411"/>
    <w:rsid w:val="506362FA"/>
    <w:rsid w:val="50E507AA"/>
    <w:rsid w:val="51251094"/>
    <w:rsid w:val="512B1283"/>
    <w:rsid w:val="513407A7"/>
    <w:rsid w:val="51D20430"/>
    <w:rsid w:val="51D66176"/>
    <w:rsid w:val="51DC5BFC"/>
    <w:rsid w:val="520D6A9D"/>
    <w:rsid w:val="52291272"/>
    <w:rsid w:val="52BD5010"/>
    <w:rsid w:val="52DE3266"/>
    <w:rsid w:val="52F97AAC"/>
    <w:rsid w:val="54091305"/>
    <w:rsid w:val="545B7B9A"/>
    <w:rsid w:val="547D5883"/>
    <w:rsid w:val="5487715E"/>
    <w:rsid w:val="551E3715"/>
    <w:rsid w:val="55854B46"/>
    <w:rsid w:val="55954D96"/>
    <w:rsid w:val="55CF1ABF"/>
    <w:rsid w:val="55E56F3D"/>
    <w:rsid w:val="56380DBD"/>
    <w:rsid w:val="564761B2"/>
    <w:rsid w:val="56742BC5"/>
    <w:rsid w:val="569C52B5"/>
    <w:rsid w:val="56B56706"/>
    <w:rsid w:val="57147B00"/>
    <w:rsid w:val="5722027A"/>
    <w:rsid w:val="57451CFE"/>
    <w:rsid w:val="57765A46"/>
    <w:rsid w:val="5779575F"/>
    <w:rsid w:val="577A13BB"/>
    <w:rsid w:val="57AD685C"/>
    <w:rsid w:val="57BF0A24"/>
    <w:rsid w:val="57EB0F4D"/>
    <w:rsid w:val="580031CD"/>
    <w:rsid w:val="58346667"/>
    <w:rsid w:val="58AE3958"/>
    <w:rsid w:val="58B11F1A"/>
    <w:rsid w:val="58EC176B"/>
    <w:rsid w:val="591A2FE4"/>
    <w:rsid w:val="59387CB4"/>
    <w:rsid w:val="593D5584"/>
    <w:rsid w:val="59724CA8"/>
    <w:rsid w:val="597F534B"/>
    <w:rsid w:val="5A0C196D"/>
    <w:rsid w:val="5A1B0F8C"/>
    <w:rsid w:val="5A310D8E"/>
    <w:rsid w:val="5A444546"/>
    <w:rsid w:val="5A4868B8"/>
    <w:rsid w:val="5A587B58"/>
    <w:rsid w:val="5A59170D"/>
    <w:rsid w:val="5A6228CE"/>
    <w:rsid w:val="5A6D7D61"/>
    <w:rsid w:val="5A8466A0"/>
    <w:rsid w:val="5B8449A5"/>
    <w:rsid w:val="5B943175"/>
    <w:rsid w:val="5B9A0480"/>
    <w:rsid w:val="5BA25741"/>
    <w:rsid w:val="5C2F30D5"/>
    <w:rsid w:val="5C30730D"/>
    <w:rsid w:val="5C7861F0"/>
    <w:rsid w:val="5D027DA9"/>
    <w:rsid w:val="5D1B7EB7"/>
    <w:rsid w:val="5D2655A1"/>
    <w:rsid w:val="5D7E59B2"/>
    <w:rsid w:val="5DA4292F"/>
    <w:rsid w:val="5DA87282"/>
    <w:rsid w:val="5DAE38BB"/>
    <w:rsid w:val="5DB92EBF"/>
    <w:rsid w:val="5E2C33E1"/>
    <w:rsid w:val="5E3B09C5"/>
    <w:rsid w:val="5E670007"/>
    <w:rsid w:val="5F096124"/>
    <w:rsid w:val="5F147FCE"/>
    <w:rsid w:val="5F195A3F"/>
    <w:rsid w:val="5F96745D"/>
    <w:rsid w:val="5FC20C59"/>
    <w:rsid w:val="5FFA5C4D"/>
    <w:rsid w:val="60115256"/>
    <w:rsid w:val="60A43907"/>
    <w:rsid w:val="60AD6FB8"/>
    <w:rsid w:val="60FC54F1"/>
    <w:rsid w:val="613E75A2"/>
    <w:rsid w:val="61475F3A"/>
    <w:rsid w:val="6157614D"/>
    <w:rsid w:val="61750529"/>
    <w:rsid w:val="617C5CB2"/>
    <w:rsid w:val="61AF296B"/>
    <w:rsid w:val="61C44BFD"/>
    <w:rsid w:val="61D67DB9"/>
    <w:rsid w:val="625427D4"/>
    <w:rsid w:val="62632EC6"/>
    <w:rsid w:val="62B172CB"/>
    <w:rsid w:val="62BC3A54"/>
    <w:rsid w:val="62E12702"/>
    <w:rsid w:val="62F9540B"/>
    <w:rsid w:val="62FB6748"/>
    <w:rsid w:val="63ED6F91"/>
    <w:rsid w:val="643706C6"/>
    <w:rsid w:val="64694ECD"/>
    <w:rsid w:val="64FE3880"/>
    <w:rsid w:val="65223196"/>
    <w:rsid w:val="65D96100"/>
    <w:rsid w:val="65F579CD"/>
    <w:rsid w:val="65F913EB"/>
    <w:rsid w:val="66262473"/>
    <w:rsid w:val="665F3111"/>
    <w:rsid w:val="666B7413"/>
    <w:rsid w:val="6687399B"/>
    <w:rsid w:val="668F7B8B"/>
    <w:rsid w:val="66B71018"/>
    <w:rsid w:val="67002810"/>
    <w:rsid w:val="67080925"/>
    <w:rsid w:val="670B2B6C"/>
    <w:rsid w:val="675F081B"/>
    <w:rsid w:val="676D69A6"/>
    <w:rsid w:val="68480F10"/>
    <w:rsid w:val="684B2E90"/>
    <w:rsid w:val="68EE011D"/>
    <w:rsid w:val="693070EB"/>
    <w:rsid w:val="6941720C"/>
    <w:rsid w:val="69617A73"/>
    <w:rsid w:val="6A15483C"/>
    <w:rsid w:val="6A461A20"/>
    <w:rsid w:val="6A625CA7"/>
    <w:rsid w:val="6A6441D4"/>
    <w:rsid w:val="6A6E4AB4"/>
    <w:rsid w:val="6ACF3BFB"/>
    <w:rsid w:val="6B074277"/>
    <w:rsid w:val="6B18291F"/>
    <w:rsid w:val="6B5601D9"/>
    <w:rsid w:val="6BA96C38"/>
    <w:rsid w:val="6BE14EEC"/>
    <w:rsid w:val="6C024594"/>
    <w:rsid w:val="6C3D589B"/>
    <w:rsid w:val="6CF35367"/>
    <w:rsid w:val="6CF40DD4"/>
    <w:rsid w:val="6D2E6323"/>
    <w:rsid w:val="6D8034BE"/>
    <w:rsid w:val="6DCE30F8"/>
    <w:rsid w:val="6DCF5A00"/>
    <w:rsid w:val="6E154A94"/>
    <w:rsid w:val="6E2A738E"/>
    <w:rsid w:val="6EA51328"/>
    <w:rsid w:val="6EEA6055"/>
    <w:rsid w:val="6F09593D"/>
    <w:rsid w:val="6F595205"/>
    <w:rsid w:val="6F6358C9"/>
    <w:rsid w:val="6FB466D8"/>
    <w:rsid w:val="702358C2"/>
    <w:rsid w:val="707966AD"/>
    <w:rsid w:val="70C01651"/>
    <w:rsid w:val="70F24122"/>
    <w:rsid w:val="71164387"/>
    <w:rsid w:val="712C66ED"/>
    <w:rsid w:val="71554CE8"/>
    <w:rsid w:val="71633BEB"/>
    <w:rsid w:val="718528E3"/>
    <w:rsid w:val="71961292"/>
    <w:rsid w:val="71A1537A"/>
    <w:rsid w:val="71B15D76"/>
    <w:rsid w:val="71D64C54"/>
    <w:rsid w:val="722608F1"/>
    <w:rsid w:val="723B16BE"/>
    <w:rsid w:val="72561AEE"/>
    <w:rsid w:val="725A0FA3"/>
    <w:rsid w:val="72762346"/>
    <w:rsid w:val="7335768E"/>
    <w:rsid w:val="738634F9"/>
    <w:rsid w:val="73A8121A"/>
    <w:rsid w:val="73D934D5"/>
    <w:rsid w:val="741C4F4A"/>
    <w:rsid w:val="742049D7"/>
    <w:rsid w:val="74233CC2"/>
    <w:rsid w:val="743B6193"/>
    <w:rsid w:val="747F13A9"/>
    <w:rsid w:val="748B7172"/>
    <w:rsid w:val="74D72C52"/>
    <w:rsid w:val="74EB5B01"/>
    <w:rsid w:val="74F863BD"/>
    <w:rsid w:val="759E5C96"/>
    <w:rsid w:val="75B7214B"/>
    <w:rsid w:val="75C939A1"/>
    <w:rsid w:val="76022F8A"/>
    <w:rsid w:val="7697459A"/>
    <w:rsid w:val="76D7664A"/>
    <w:rsid w:val="76FE4A4E"/>
    <w:rsid w:val="772E6E01"/>
    <w:rsid w:val="776833CE"/>
    <w:rsid w:val="77AA6D01"/>
    <w:rsid w:val="77AD1D4F"/>
    <w:rsid w:val="77F22F3B"/>
    <w:rsid w:val="78000461"/>
    <w:rsid w:val="78202A3D"/>
    <w:rsid w:val="78234F31"/>
    <w:rsid w:val="78B43F5D"/>
    <w:rsid w:val="790B4758"/>
    <w:rsid w:val="7918305F"/>
    <w:rsid w:val="79521C90"/>
    <w:rsid w:val="795949D5"/>
    <w:rsid w:val="79F80BD0"/>
    <w:rsid w:val="79FB687C"/>
    <w:rsid w:val="7A0B3F0A"/>
    <w:rsid w:val="7A4D35EB"/>
    <w:rsid w:val="7A6C3ABC"/>
    <w:rsid w:val="7AB55606"/>
    <w:rsid w:val="7B3B35F8"/>
    <w:rsid w:val="7C115D5C"/>
    <w:rsid w:val="7CFA4D38"/>
    <w:rsid w:val="7D1C134B"/>
    <w:rsid w:val="7D3E4F8B"/>
    <w:rsid w:val="7D4B7DFD"/>
    <w:rsid w:val="7DAA7CBF"/>
    <w:rsid w:val="7DBD2183"/>
    <w:rsid w:val="7DDA6EB2"/>
    <w:rsid w:val="7E3563FA"/>
    <w:rsid w:val="7E4C7133"/>
    <w:rsid w:val="7E79667D"/>
    <w:rsid w:val="7F13618E"/>
    <w:rsid w:val="7F1467FF"/>
    <w:rsid w:val="7F9A4F4C"/>
    <w:rsid w:val="7FF57D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nhideWhenUsed="0" w:uiPriority="1"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qFormat/>
    <w:uiPriority w:val="1"/>
    <w:pPr>
      <w:ind w:left="861" w:hanging="421"/>
      <w:outlineLvl w:val="2"/>
    </w:pPr>
    <w:rPr>
      <w:rFonts w:ascii="宋体" w:hAnsi="宋体" w:cs="宋体"/>
      <w:b/>
      <w:bCs/>
      <w:sz w:val="24"/>
      <w:lang w:val="zh-CN" w:bidi="zh-CN"/>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1"/>
    <w:rPr>
      <w:rFonts w:ascii="宋体" w:hAnsi="宋体" w:cs="宋体"/>
      <w:sz w:val="24"/>
      <w:lang w:val="zh-CN" w:bidi="zh-CN"/>
    </w:rPr>
  </w:style>
  <w:style w:type="paragraph" w:styleId="5">
    <w:name w:val="Normal Indent"/>
    <w:basedOn w:val="1"/>
    <w:qFormat/>
    <w:uiPriority w:val="0"/>
    <w:pPr>
      <w:spacing w:line="460" w:lineRule="atLeast"/>
      <w:ind w:firstLine="420"/>
    </w:pPr>
    <w:rPr>
      <w:rFonts w:ascii="Arial" w:hAnsi="Arial" w:cs="Verdana"/>
      <w:b/>
      <w:sz w:val="24"/>
      <w:szCs w:val="20"/>
    </w:rPr>
  </w:style>
  <w:style w:type="paragraph" w:styleId="6">
    <w:name w:val="annotation text"/>
    <w:basedOn w:val="1"/>
    <w:link w:val="32"/>
    <w:qFormat/>
    <w:uiPriority w:val="0"/>
    <w:pPr>
      <w:jc w:val="left"/>
    </w:p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Body Text Indent 3"/>
    <w:basedOn w:val="1"/>
    <w:unhideWhenUsed/>
    <w:qFormat/>
    <w:uiPriority w:val="0"/>
    <w:pPr>
      <w:spacing w:after="120"/>
      <w:ind w:left="420" w:leftChars="200"/>
    </w:pPr>
    <w:rPr>
      <w:sz w:val="16"/>
      <w:szCs w:val="16"/>
    </w:rPr>
  </w:style>
  <w:style w:type="paragraph" w:styleId="10">
    <w:name w:val="Normal (Web)"/>
    <w:basedOn w:val="1"/>
    <w:unhideWhenUsed/>
    <w:qFormat/>
    <w:uiPriority w:val="99"/>
    <w:pPr>
      <w:spacing w:beforeAutospacing="1" w:afterAutospacing="1"/>
      <w:jc w:val="left"/>
    </w:pPr>
    <w:rPr>
      <w:kern w:val="0"/>
      <w:sz w:val="24"/>
    </w:rPr>
  </w:style>
  <w:style w:type="paragraph" w:styleId="11">
    <w:name w:val="annotation subject"/>
    <w:basedOn w:val="6"/>
    <w:next w:val="6"/>
    <w:link w:val="33"/>
    <w:qFormat/>
    <w:uiPriority w:val="0"/>
    <w:rPr>
      <w:b/>
      <w:bCs/>
    </w:rPr>
  </w:style>
  <w:style w:type="table" w:styleId="13">
    <w:name w:val="Table Grid"/>
    <w:basedOn w:val="12"/>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qFormat/>
    <w:uiPriority w:val="0"/>
    <w:rPr>
      <w:color w:val="0000FF"/>
      <w:u w:val="single"/>
    </w:rPr>
  </w:style>
  <w:style w:type="character" w:styleId="16">
    <w:name w:val="annotation reference"/>
    <w:basedOn w:val="14"/>
    <w:qFormat/>
    <w:uiPriority w:val="0"/>
    <w:rPr>
      <w:sz w:val="21"/>
      <w:szCs w:val="21"/>
    </w:rPr>
  </w:style>
  <w:style w:type="paragraph" w:customStyle="1" w:styleId="17">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18">
    <w:name w:val="Table Paragraph"/>
    <w:basedOn w:val="1"/>
    <w:qFormat/>
    <w:uiPriority w:val="0"/>
    <w:pPr>
      <w:autoSpaceDE w:val="0"/>
      <w:autoSpaceDN w:val="0"/>
      <w:adjustRightInd w:val="0"/>
      <w:jc w:val="left"/>
    </w:pPr>
    <w:rPr>
      <w:kern w:val="0"/>
      <w:sz w:val="24"/>
    </w:rPr>
  </w:style>
  <w:style w:type="paragraph" w:styleId="19">
    <w:name w:val="List Paragraph"/>
    <w:basedOn w:val="1"/>
    <w:qFormat/>
    <w:uiPriority w:val="34"/>
    <w:pPr>
      <w:ind w:firstLine="420" w:firstLineChars="200"/>
    </w:pPr>
  </w:style>
  <w:style w:type="character" w:customStyle="1" w:styleId="20">
    <w:name w:val="标题1"/>
    <w:qFormat/>
    <w:uiPriority w:val="0"/>
    <w:rPr>
      <w:rFonts w:ascii="宋体" w:hAnsi="宋体" w:eastAsia="汉鼎简书宋" w:cs="宋体"/>
      <w:sz w:val="24"/>
    </w:rPr>
  </w:style>
  <w:style w:type="paragraph" w:customStyle="1" w:styleId="21">
    <w:name w:val="列表段落1"/>
    <w:basedOn w:val="1"/>
    <w:qFormat/>
    <w:uiPriority w:val="0"/>
    <w:pPr>
      <w:ind w:firstLine="420" w:firstLineChars="200"/>
    </w:pPr>
    <w:rPr>
      <w:szCs w:val="21"/>
    </w:rPr>
  </w:style>
  <w:style w:type="paragraph" w:customStyle="1" w:styleId="22">
    <w:name w:val="xl48"/>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kern w:val="0"/>
      <w:szCs w:val="21"/>
    </w:rPr>
  </w:style>
  <w:style w:type="paragraph" w:customStyle="1" w:styleId="23">
    <w:name w:val="表格(张曦)"/>
    <w:basedOn w:val="1"/>
    <w:qFormat/>
    <w:uiPriority w:val="0"/>
    <w:pPr>
      <w:autoSpaceDE w:val="0"/>
      <w:autoSpaceDN w:val="0"/>
      <w:snapToGrid w:val="0"/>
      <w:jc w:val="center"/>
    </w:pPr>
    <w:rPr>
      <w:rFonts w:ascii="宋体" w:hAnsi="宋体" w:cs="宋体"/>
      <w:kern w:val="0"/>
      <w:szCs w:val="22"/>
      <w:lang w:eastAsia="en-US" w:bidi="en-US"/>
    </w:rPr>
  </w:style>
  <w:style w:type="paragraph" w:customStyle="1" w:styleId="24">
    <w:name w:val="无间隔1"/>
    <w:qFormat/>
    <w:uiPriority w:val="0"/>
    <w:pPr>
      <w:jc w:val="center"/>
    </w:pPr>
    <w:rPr>
      <w:rFonts w:ascii="Times New Roman" w:hAnsi="Times New Roman" w:eastAsiaTheme="minorEastAsia" w:cstheme="minorBidi"/>
      <w:sz w:val="21"/>
      <w:szCs w:val="22"/>
      <w:lang w:val="en-US" w:eastAsia="zh-CN" w:bidi="ar-SA"/>
    </w:rPr>
  </w:style>
  <w:style w:type="paragraph" w:customStyle="1" w:styleId="25">
    <w:name w:val="表格"/>
    <w:qFormat/>
    <w:uiPriority w:val="0"/>
    <w:pPr>
      <w:jc w:val="center"/>
    </w:pPr>
    <w:rPr>
      <w:rFonts w:asciiTheme="minorHAnsi" w:hAnsiTheme="minorHAnsi" w:eastAsiaTheme="minorEastAsia" w:cstheme="minorBidi"/>
      <w:kern w:val="2"/>
      <w:sz w:val="24"/>
      <w:szCs w:val="22"/>
      <w:lang w:val="en-US" w:eastAsia="zh-CN" w:bidi="ar-SA"/>
    </w:rPr>
  </w:style>
  <w:style w:type="paragraph" w:customStyle="1" w:styleId="26">
    <w:name w:val="A-正文"/>
    <w:basedOn w:val="1"/>
    <w:qFormat/>
    <w:uiPriority w:val="99"/>
    <w:pPr>
      <w:spacing w:line="400" w:lineRule="atLeast"/>
      <w:ind w:firstLine="200" w:firstLineChars="200"/>
    </w:pPr>
  </w:style>
  <w:style w:type="paragraph" w:customStyle="1" w:styleId="27">
    <w:name w:val="插图题注"/>
    <w:basedOn w:val="1"/>
    <w:qFormat/>
    <w:uiPriority w:val="0"/>
    <w:pPr>
      <w:adjustRightInd w:val="0"/>
      <w:snapToGrid w:val="0"/>
      <w:spacing w:line="360" w:lineRule="auto"/>
      <w:jc w:val="center"/>
    </w:pPr>
    <w:rPr>
      <w:rFonts w:ascii="仿宋" w:hAnsi="仿宋" w:eastAsia="仿宋"/>
      <w:b/>
      <w:bCs/>
      <w:color w:val="000000"/>
      <w:szCs w:val="21"/>
    </w:rPr>
  </w:style>
  <w:style w:type="character" w:customStyle="1" w:styleId="28">
    <w:name w:val="font11"/>
    <w:basedOn w:val="14"/>
    <w:qFormat/>
    <w:uiPriority w:val="0"/>
    <w:rPr>
      <w:rFonts w:hint="default" w:ascii="Times New Roman" w:hAnsi="Times New Roman" w:cs="Times New Roman"/>
      <w:color w:val="000000"/>
      <w:sz w:val="22"/>
      <w:szCs w:val="22"/>
      <w:u w:val="none"/>
    </w:rPr>
  </w:style>
  <w:style w:type="character" w:customStyle="1" w:styleId="29">
    <w:name w:val="font01"/>
    <w:basedOn w:val="14"/>
    <w:qFormat/>
    <w:uiPriority w:val="0"/>
    <w:rPr>
      <w:rFonts w:ascii="仿宋_GB2312" w:eastAsia="仿宋_GB2312" w:cs="仿宋_GB2312"/>
      <w:color w:val="000000"/>
      <w:sz w:val="22"/>
      <w:szCs w:val="22"/>
      <w:u w:val="none"/>
    </w:rPr>
  </w:style>
  <w:style w:type="character" w:customStyle="1" w:styleId="30">
    <w:name w:val="font41"/>
    <w:basedOn w:val="14"/>
    <w:qFormat/>
    <w:uiPriority w:val="0"/>
    <w:rPr>
      <w:rFonts w:hint="eastAsia" w:ascii="宋体" w:hAnsi="宋体" w:eastAsia="宋体" w:cs="宋体"/>
      <w:b/>
      <w:color w:val="000000"/>
      <w:sz w:val="18"/>
      <w:szCs w:val="18"/>
      <w:u w:val="none"/>
    </w:rPr>
  </w:style>
  <w:style w:type="character" w:customStyle="1" w:styleId="31">
    <w:name w:val="font51"/>
    <w:basedOn w:val="14"/>
    <w:qFormat/>
    <w:uiPriority w:val="0"/>
    <w:rPr>
      <w:rFonts w:hint="eastAsia" w:ascii="宋体" w:hAnsi="宋体" w:eastAsia="宋体" w:cs="宋体"/>
      <w:b/>
      <w:color w:val="000000"/>
      <w:sz w:val="18"/>
      <w:szCs w:val="18"/>
      <w:u w:val="none"/>
    </w:rPr>
  </w:style>
  <w:style w:type="character" w:customStyle="1" w:styleId="32">
    <w:name w:val="批注文字 字符"/>
    <w:basedOn w:val="14"/>
    <w:link w:val="6"/>
    <w:qFormat/>
    <w:uiPriority w:val="0"/>
    <w:rPr>
      <w:kern w:val="2"/>
      <w:sz w:val="21"/>
      <w:szCs w:val="24"/>
    </w:rPr>
  </w:style>
  <w:style w:type="character" w:customStyle="1" w:styleId="33">
    <w:name w:val="批注主题 字符"/>
    <w:basedOn w:val="32"/>
    <w:link w:val="11"/>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emf"/><Relationship Id="rId24" Type="http://schemas.openxmlformats.org/officeDocument/2006/relationships/oleObject" Target="embeddings/oleObject3.bin"/><Relationship Id="rId23" Type="http://schemas.openxmlformats.org/officeDocument/2006/relationships/image" Target="media/image16.emf"/><Relationship Id="rId22" Type="http://schemas.openxmlformats.org/officeDocument/2006/relationships/oleObject" Target="embeddings/oleObject2.bin"/><Relationship Id="rId21" Type="http://schemas.openxmlformats.org/officeDocument/2006/relationships/image" Target="media/image15.emf"/><Relationship Id="rId20" Type="http://schemas.openxmlformats.org/officeDocument/2006/relationships/oleObject" Target="embeddings/oleObject1.bin"/><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90</Pages>
  <Words>59633</Words>
  <Characters>68575</Characters>
  <Lines>608</Lines>
  <Paragraphs>171</Paragraphs>
  <TotalTime>5</TotalTime>
  <ScaleCrop>false</ScaleCrop>
  <LinksUpToDate>false</LinksUpToDate>
  <CharactersWithSpaces>68769</CharactersWithSpaces>
  <Application>WPS Office_11.1.0.9914_F1E327BC-269C-435d-A152-05C5408002CA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2022-02-15T08:19:00Z</dcterms:created>
  <dc:creator>晓琼</dc:creator>
  <cp:lastModifiedBy>晓琼</cp:lastModifiedBy>
  <dcterms:modified xsi:type="dcterms:W3CDTF">2022-03-22T02:21:04Z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2052-11.1.0.9914</vt:lpwstr>
  </property>
</Properties>
</file>