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AE6" w:rsidRDefault="0072598A">
      <w:pPr>
        <w:ind w:firstLineChars="0" w:firstLine="0"/>
        <w:rPr>
          <w:rFonts w:ascii="黑体" w:eastAsia="黑体" w:hAnsi="黑体" w:cs="黑体"/>
          <w:sz w:val="32"/>
          <w:szCs w:val="32"/>
        </w:rPr>
      </w:pPr>
      <w:bookmarkStart w:id="0" w:name="_GoBack"/>
      <w:bookmarkEnd w:id="0"/>
      <w:r>
        <w:rPr>
          <w:rFonts w:ascii="黑体" w:eastAsia="黑体" w:hAnsi="黑体" w:cs="黑体" w:hint="eastAsia"/>
          <w:sz w:val="32"/>
          <w:szCs w:val="32"/>
        </w:rPr>
        <w:t>附件</w:t>
      </w:r>
      <w:r>
        <w:rPr>
          <w:rFonts w:ascii="黑体" w:eastAsia="黑体" w:hAnsi="黑体" w:cs="黑体" w:hint="eastAsia"/>
          <w:sz w:val="32"/>
          <w:szCs w:val="32"/>
        </w:rPr>
        <w:t>2</w:t>
      </w:r>
    </w:p>
    <w:p w:rsidR="00506AE6" w:rsidRDefault="00506AE6">
      <w:pPr>
        <w:ind w:left="210"/>
      </w:pPr>
    </w:p>
    <w:p w:rsidR="00506AE6" w:rsidRDefault="00506AE6">
      <w:pPr>
        <w:ind w:left="210"/>
      </w:pPr>
    </w:p>
    <w:p w:rsidR="00506AE6" w:rsidRDefault="00506AE6">
      <w:pPr>
        <w:ind w:left="210"/>
      </w:pPr>
    </w:p>
    <w:p w:rsidR="00506AE6" w:rsidRDefault="00506AE6">
      <w:pPr>
        <w:ind w:left="210"/>
      </w:pPr>
    </w:p>
    <w:p w:rsidR="00506AE6" w:rsidRDefault="00506AE6">
      <w:pPr>
        <w:ind w:left="210"/>
      </w:pPr>
    </w:p>
    <w:p w:rsidR="00506AE6" w:rsidRDefault="00506AE6">
      <w:pPr>
        <w:ind w:left="210"/>
      </w:pPr>
    </w:p>
    <w:p w:rsidR="00506AE6" w:rsidRDefault="00506AE6">
      <w:pPr>
        <w:ind w:left="210"/>
      </w:pPr>
    </w:p>
    <w:p w:rsidR="00506AE6" w:rsidRDefault="00506AE6">
      <w:pPr>
        <w:ind w:left="210"/>
      </w:pPr>
    </w:p>
    <w:p w:rsidR="00506AE6" w:rsidRDefault="0072598A">
      <w:pPr>
        <w:pStyle w:val="aff1"/>
        <w:adjustRightInd w:val="0"/>
        <w:snapToGrid w:val="0"/>
        <w:spacing w:line="240" w:lineRule="auto"/>
        <w:ind w:firstLineChars="0" w:firstLine="0"/>
        <w:jc w:val="center"/>
        <w:rPr>
          <w:rFonts w:ascii="方正小标宋_GBK" w:eastAsia="方正小标宋_GBK" w:hAnsi="方正小标宋_GBK" w:cs="方正小标宋_GBK"/>
          <w:b w:val="0"/>
          <w:bCs w:val="0"/>
          <w:sz w:val="50"/>
          <w:szCs w:val="50"/>
        </w:rPr>
      </w:pPr>
      <w:bookmarkStart w:id="1" w:name="_Toc140045465"/>
      <w:bookmarkStart w:id="2" w:name="_Toc140045731"/>
      <w:bookmarkStart w:id="3" w:name="_Toc140434592"/>
      <w:bookmarkStart w:id="4" w:name="_Toc140047524"/>
      <w:bookmarkStart w:id="5" w:name="_Toc140626387"/>
      <w:bookmarkStart w:id="6" w:name="_Toc143025655"/>
      <w:bookmarkStart w:id="7" w:name="_Toc17858"/>
      <w:bookmarkStart w:id="8" w:name="_Toc140003016"/>
      <w:bookmarkStart w:id="9" w:name="_Toc12503"/>
      <w:bookmarkStart w:id="10" w:name="_Toc144282357"/>
      <w:bookmarkStart w:id="11" w:name="_Toc144239153"/>
      <w:bookmarkStart w:id="12" w:name="_Toc144282455"/>
      <w:bookmarkStart w:id="13" w:name="_Toc144682788"/>
      <w:bookmarkStart w:id="14" w:name="_Toc144721231"/>
      <w:bookmarkStart w:id="15" w:name="_Toc144233311"/>
      <w:bookmarkStart w:id="16" w:name="_Toc144725741"/>
      <w:bookmarkStart w:id="17" w:name="_Toc144678571"/>
      <w:bookmarkStart w:id="18" w:name="_Toc143456996"/>
      <w:bookmarkStart w:id="19" w:name="_Toc144365280"/>
      <w:bookmarkStart w:id="20" w:name="_Toc144240922"/>
      <w:bookmarkStart w:id="21" w:name="_Toc143864487"/>
      <w:r>
        <w:rPr>
          <w:rFonts w:ascii="方正小标宋_GBK" w:eastAsia="方正小标宋_GBK" w:hAnsi="方正小标宋_GBK" w:cs="方正小标宋_GBK" w:hint="eastAsia"/>
          <w:b w:val="0"/>
          <w:bCs w:val="0"/>
          <w:sz w:val="50"/>
          <w:szCs w:val="50"/>
        </w:rPr>
        <w:t>企业温室气体排放核算与</w:t>
      </w:r>
      <w:bookmarkEnd w:id="1"/>
      <w:bookmarkEnd w:id="2"/>
      <w:bookmarkEnd w:id="3"/>
      <w:bookmarkEnd w:id="4"/>
      <w:bookmarkEnd w:id="5"/>
      <w:bookmarkEnd w:id="6"/>
      <w:bookmarkEnd w:id="7"/>
      <w:bookmarkEnd w:id="8"/>
      <w:bookmarkEnd w:id="9"/>
      <w:r>
        <w:rPr>
          <w:rFonts w:ascii="方正小标宋_GBK" w:eastAsia="方正小标宋_GBK" w:hAnsi="方正小标宋_GBK" w:cs="方正小标宋_GBK" w:hint="eastAsia"/>
          <w:b w:val="0"/>
          <w:bCs w:val="0"/>
          <w:sz w:val="50"/>
          <w:szCs w:val="50"/>
        </w:rPr>
        <w:t>报告指南</w:t>
      </w:r>
    </w:p>
    <w:p w:rsidR="00506AE6" w:rsidRDefault="0072598A">
      <w:pPr>
        <w:pStyle w:val="aff1"/>
        <w:adjustRightInd w:val="0"/>
        <w:snapToGrid w:val="0"/>
        <w:spacing w:line="240" w:lineRule="auto"/>
        <w:ind w:firstLineChars="0" w:firstLine="0"/>
        <w:jc w:val="center"/>
        <w:rPr>
          <w:rFonts w:ascii="方正小标宋_GBK" w:eastAsia="方正小标宋_GBK" w:hAnsi="方正小标宋_GBK" w:cs="方正小标宋_GBK"/>
          <w:b w:val="0"/>
          <w:bCs w:val="0"/>
          <w:sz w:val="50"/>
          <w:szCs w:val="50"/>
        </w:rPr>
      </w:pPr>
      <w:r>
        <w:rPr>
          <w:rFonts w:ascii="方正小标宋_GBK" w:eastAsia="方正小标宋_GBK" w:hAnsi="方正小标宋_GBK" w:cs="方正小标宋_GBK" w:hint="eastAsia"/>
          <w:b w:val="0"/>
          <w:bCs w:val="0"/>
          <w:sz w:val="50"/>
          <w:szCs w:val="50"/>
        </w:rPr>
        <w:t>水</w:t>
      </w:r>
      <w:r>
        <w:rPr>
          <w:rFonts w:ascii="方正小标宋_GBK" w:eastAsia="方正小标宋_GBK" w:hAnsi="方正小标宋_GBK" w:cs="方正小标宋_GBK" w:hint="eastAsia"/>
          <w:b w:val="0"/>
          <w:bCs w:val="0"/>
          <w:sz w:val="50"/>
          <w:szCs w:val="50"/>
        </w:rPr>
        <w:t xml:space="preserve"> </w:t>
      </w:r>
      <w:r>
        <w:rPr>
          <w:rFonts w:ascii="方正小标宋_GBK" w:eastAsia="方正小标宋_GBK" w:hAnsi="方正小标宋_GBK" w:cs="方正小标宋_GBK" w:hint="eastAsia"/>
          <w:b w:val="0"/>
          <w:bCs w:val="0"/>
          <w:sz w:val="50"/>
          <w:szCs w:val="50"/>
        </w:rPr>
        <w:t>泥</w:t>
      </w:r>
      <w:r>
        <w:rPr>
          <w:rFonts w:ascii="方正小标宋_GBK" w:eastAsia="方正小标宋_GBK" w:hAnsi="方正小标宋_GBK" w:cs="方正小标宋_GBK" w:hint="eastAsia"/>
          <w:b w:val="0"/>
          <w:bCs w:val="0"/>
          <w:sz w:val="50"/>
          <w:szCs w:val="50"/>
        </w:rPr>
        <w:t xml:space="preserve"> </w:t>
      </w:r>
      <w:r>
        <w:rPr>
          <w:rFonts w:ascii="方正小标宋_GBK" w:eastAsia="方正小标宋_GBK" w:hAnsi="方正小标宋_GBK" w:cs="方正小标宋_GBK" w:hint="eastAsia"/>
          <w:b w:val="0"/>
          <w:bCs w:val="0"/>
          <w:sz w:val="50"/>
          <w:szCs w:val="50"/>
        </w:rPr>
        <w:t>熟</w:t>
      </w:r>
      <w:r>
        <w:rPr>
          <w:rFonts w:ascii="方正小标宋_GBK" w:eastAsia="方正小标宋_GBK" w:hAnsi="方正小标宋_GBK" w:cs="方正小标宋_GBK" w:hint="eastAsia"/>
          <w:b w:val="0"/>
          <w:bCs w:val="0"/>
          <w:sz w:val="50"/>
          <w:szCs w:val="50"/>
        </w:rPr>
        <w:t xml:space="preserve"> </w:t>
      </w:r>
      <w:r>
        <w:rPr>
          <w:rFonts w:ascii="方正小标宋_GBK" w:eastAsia="方正小标宋_GBK" w:hAnsi="方正小标宋_GBK" w:cs="方正小标宋_GBK" w:hint="eastAsia"/>
          <w:b w:val="0"/>
          <w:bCs w:val="0"/>
          <w:sz w:val="50"/>
          <w:szCs w:val="50"/>
        </w:rPr>
        <w:t>料</w:t>
      </w:r>
      <w:r>
        <w:rPr>
          <w:rFonts w:ascii="方正小标宋_GBK" w:eastAsia="方正小标宋_GBK" w:hAnsi="方正小标宋_GBK" w:cs="方正小标宋_GBK" w:hint="eastAsia"/>
          <w:b w:val="0"/>
          <w:bCs w:val="0"/>
          <w:sz w:val="50"/>
          <w:szCs w:val="50"/>
        </w:rPr>
        <w:t xml:space="preserve"> </w:t>
      </w:r>
      <w:r>
        <w:rPr>
          <w:rFonts w:ascii="方正小标宋_GBK" w:eastAsia="方正小标宋_GBK" w:hAnsi="方正小标宋_GBK" w:cs="方正小标宋_GBK" w:hint="eastAsia"/>
          <w:b w:val="0"/>
          <w:bCs w:val="0"/>
          <w:sz w:val="50"/>
          <w:szCs w:val="50"/>
        </w:rPr>
        <w:t>生</w:t>
      </w:r>
      <w:r>
        <w:rPr>
          <w:rFonts w:ascii="方正小标宋_GBK" w:eastAsia="方正小标宋_GBK" w:hAnsi="方正小标宋_GBK" w:cs="方正小标宋_GBK" w:hint="eastAsia"/>
          <w:b w:val="0"/>
          <w:bCs w:val="0"/>
          <w:sz w:val="50"/>
          <w:szCs w:val="50"/>
        </w:rPr>
        <w:t xml:space="preserve"> </w:t>
      </w:r>
      <w:r>
        <w:rPr>
          <w:rFonts w:ascii="方正小标宋_GBK" w:eastAsia="方正小标宋_GBK" w:hAnsi="方正小标宋_GBK" w:cs="方正小标宋_GBK" w:hint="eastAsia"/>
          <w:b w:val="0"/>
          <w:bCs w:val="0"/>
          <w:sz w:val="50"/>
          <w:szCs w:val="50"/>
        </w:rPr>
        <w:t>产</w:t>
      </w:r>
      <w:bookmarkEnd w:id="10"/>
      <w:bookmarkEnd w:id="11"/>
      <w:bookmarkEnd w:id="12"/>
      <w:bookmarkEnd w:id="13"/>
      <w:bookmarkEnd w:id="14"/>
      <w:bookmarkEnd w:id="15"/>
      <w:bookmarkEnd w:id="16"/>
      <w:bookmarkEnd w:id="17"/>
      <w:bookmarkEnd w:id="18"/>
      <w:bookmarkEnd w:id="19"/>
      <w:bookmarkEnd w:id="20"/>
      <w:bookmarkEnd w:id="21"/>
    </w:p>
    <w:p w:rsidR="00506AE6" w:rsidRDefault="0072598A" w:rsidP="004B3B0F">
      <w:pPr>
        <w:pStyle w:val="aff1"/>
        <w:adjustRightInd w:val="0"/>
        <w:snapToGrid w:val="0"/>
        <w:spacing w:beforeLines="80" w:before="249" w:line="240" w:lineRule="auto"/>
        <w:ind w:firstLineChars="0" w:firstLine="0"/>
        <w:jc w:val="center"/>
        <w:rPr>
          <w:rFonts w:ascii="楷体_GB2312" w:eastAsia="楷体_GB2312" w:hAnsi="楷体_GB2312" w:cs="楷体_GB2312"/>
          <w:b w:val="0"/>
          <w:bCs w:val="0"/>
          <w:sz w:val="36"/>
          <w:szCs w:val="36"/>
        </w:rPr>
      </w:pPr>
      <w:r>
        <w:rPr>
          <w:rFonts w:ascii="楷体_GB2312" w:eastAsia="楷体_GB2312" w:hAnsi="楷体_GB2312" w:cs="楷体_GB2312" w:hint="eastAsia"/>
          <w:b w:val="0"/>
          <w:bCs w:val="0"/>
          <w:spacing w:val="57"/>
          <w:sz w:val="36"/>
          <w:szCs w:val="36"/>
        </w:rPr>
        <w:t>（征求意见稿</w:t>
      </w:r>
      <w:r>
        <w:rPr>
          <w:rFonts w:ascii="楷体_GB2312" w:eastAsia="楷体_GB2312" w:hAnsi="楷体_GB2312" w:cs="楷体_GB2312" w:hint="eastAsia"/>
          <w:b w:val="0"/>
          <w:bCs w:val="0"/>
          <w:sz w:val="36"/>
          <w:szCs w:val="36"/>
        </w:rPr>
        <w:t>）</w:t>
      </w:r>
    </w:p>
    <w:p w:rsidR="00506AE6" w:rsidRDefault="00506AE6">
      <w:pPr>
        <w:ind w:left="210"/>
      </w:pPr>
    </w:p>
    <w:p w:rsidR="00506AE6" w:rsidRDefault="00506AE6">
      <w:pPr>
        <w:ind w:left="210"/>
        <w:sectPr w:rsidR="00506AE6">
          <w:headerReference w:type="even" r:id="rId9"/>
          <w:headerReference w:type="default" r:id="rId10"/>
          <w:footerReference w:type="even" r:id="rId11"/>
          <w:footerReference w:type="default" r:id="rId12"/>
          <w:headerReference w:type="first" r:id="rId13"/>
          <w:footerReference w:type="first" r:id="rId14"/>
          <w:pgSz w:w="11906" w:h="16838"/>
          <w:pgMar w:top="1702" w:right="1616" w:bottom="1814" w:left="1616" w:header="851" w:footer="1474" w:gutter="0"/>
          <w:pgNumType w:fmt="lowerRoman" w:start="1"/>
          <w:cols w:space="720"/>
          <w:docGrid w:type="lines" w:linePitch="312"/>
        </w:sectPr>
      </w:pPr>
    </w:p>
    <w:p w:rsidR="00506AE6" w:rsidRDefault="0072598A">
      <w:pPr>
        <w:pStyle w:val="affffff6"/>
        <w:keepNext w:val="0"/>
        <w:pageBreakBefore w:val="0"/>
        <w:widowControl w:val="0"/>
        <w:shd w:val="clear" w:color="auto" w:fill="auto"/>
        <w:spacing w:before="0" w:line="360" w:lineRule="exact"/>
        <w:outlineLvl w:val="9"/>
        <w:rPr>
          <w:rFonts w:ascii="Times New Roman"/>
        </w:rPr>
      </w:pPr>
      <w:bookmarkStart w:id="22" w:name="_Toc417319886"/>
      <w:bookmarkStart w:id="23" w:name="_Toc421022659"/>
      <w:bookmarkStart w:id="24" w:name="_Toc22114923"/>
      <w:bookmarkStart w:id="25" w:name="_Toc22204"/>
      <w:bookmarkStart w:id="26" w:name="_Toc144725743"/>
      <w:bookmarkStart w:id="27" w:name="_Toc144678573"/>
      <w:bookmarkStart w:id="28" w:name="_Toc140003018"/>
      <w:bookmarkStart w:id="29" w:name="_Toc140434594"/>
      <w:bookmarkStart w:id="30" w:name="_Toc11264"/>
      <w:bookmarkStart w:id="31" w:name="_Toc143456998"/>
      <w:bookmarkStart w:id="32" w:name="_Toc140045733"/>
      <w:bookmarkStart w:id="33" w:name="_Toc6465"/>
      <w:bookmarkStart w:id="34" w:name="_Toc140626389"/>
      <w:bookmarkStart w:id="35" w:name="_Toc144240924"/>
      <w:bookmarkStart w:id="36" w:name="_Toc144682790"/>
      <w:bookmarkStart w:id="37" w:name="_Toc22311"/>
      <w:bookmarkStart w:id="38" w:name="_Toc16778"/>
      <w:bookmarkStart w:id="39" w:name="_Toc144282457"/>
      <w:bookmarkStart w:id="40" w:name="_Toc6301"/>
      <w:bookmarkStart w:id="41" w:name="_Toc144239155"/>
      <w:bookmarkStart w:id="42" w:name="_Toc176"/>
      <w:bookmarkStart w:id="43" w:name="_Toc143864489"/>
      <w:bookmarkStart w:id="44" w:name="_Toc144282359"/>
      <w:bookmarkStart w:id="45" w:name="_Toc146223627"/>
      <w:bookmarkStart w:id="46" w:name="_Toc16047"/>
      <w:bookmarkStart w:id="47" w:name="_Toc3892"/>
      <w:bookmarkStart w:id="48" w:name="_Toc140047526"/>
      <w:bookmarkStart w:id="49" w:name="_Toc140045467"/>
      <w:bookmarkStart w:id="50" w:name="_Toc144233313"/>
      <w:bookmarkStart w:id="51" w:name="_Toc144365282"/>
      <w:bookmarkStart w:id="52" w:name="_Toc9408"/>
      <w:bookmarkStart w:id="53" w:name="_Toc22115140"/>
      <w:bookmarkStart w:id="54" w:name="_Toc144721233"/>
      <w:bookmarkStart w:id="55" w:name="_Toc146201688"/>
      <w:bookmarkStart w:id="56" w:name="_Toc24040"/>
      <w:bookmarkStart w:id="57" w:name="_Toc28476"/>
      <w:bookmarkStart w:id="58" w:name="_Toc11429"/>
      <w:bookmarkStart w:id="59" w:name="_Toc1452"/>
      <w:bookmarkStart w:id="60" w:name="_Toc1007837468"/>
      <w:r>
        <w:rPr>
          <w:rFonts w:ascii="Times New Roman" w:hint="eastAsia"/>
        </w:rPr>
        <w:lastRenderedPageBreak/>
        <w:t>目</w:t>
      </w:r>
      <w:bookmarkEnd w:id="22"/>
      <w:bookmarkEnd w:id="23"/>
      <w:r>
        <w:rPr>
          <w:rFonts w:ascii="Times New Roman"/>
        </w:rPr>
        <w:t>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Pr>
          <w:rFonts w:ascii="Times New Roman" w:hint="eastAsia"/>
        </w:rPr>
        <w:t>录</w:t>
      </w:r>
      <w:bookmarkEnd w:id="56"/>
      <w:bookmarkEnd w:id="57"/>
      <w:bookmarkEnd w:id="58"/>
      <w:bookmarkEnd w:id="59"/>
      <w:bookmarkEnd w:id="60"/>
    </w:p>
    <w:bookmarkStart w:id="61" w:name="_Toc417319888"/>
    <w:bookmarkStart w:id="62" w:name="_Toc421022661"/>
    <w:p w:rsidR="00506AE6" w:rsidRDefault="0072598A">
      <w:pPr>
        <w:pStyle w:val="10"/>
        <w:tabs>
          <w:tab w:val="right" w:leader="dot" w:pos="8674"/>
        </w:tabs>
        <w:ind w:firstLineChars="0" w:firstLine="0"/>
      </w:pPr>
      <w:r>
        <w:rPr>
          <w:rFonts w:ascii="黑体" w:eastAsia="黑体" w:hAnsi="黑体" w:cs="黑体" w:hint="eastAsia"/>
          <w:b w:val="0"/>
          <w:bCs w:val="0"/>
          <w:sz w:val="21"/>
          <w:szCs w:val="21"/>
        </w:rPr>
        <w:fldChar w:fldCharType="begin"/>
      </w:r>
      <w:r>
        <w:rPr>
          <w:rFonts w:ascii="黑体" w:eastAsia="黑体" w:hAnsi="黑体" w:cs="黑体" w:hint="eastAsia"/>
          <w:b w:val="0"/>
          <w:bCs w:val="0"/>
          <w:sz w:val="21"/>
          <w:szCs w:val="21"/>
        </w:rPr>
        <w:instrText xml:space="preserve"> TOC \o "1-1" \h \z \u </w:instrText>
      </w:r>
      <w:r>
        <w:rPr>
          <w:rFonts w:ascii="黑体" w:eastAsia="黑体" w:hAnsi="黑体" w:cs="黑体" w:hint="eastAsia"/>
          <w:b w:val="0"/>
          <w:bCs w:val="0"/>
          <w:sz w:val="21"/>
          <w:szCs w:val="21"/>
        </w:rPr>
        <w:fldChar w:fldCharType="separate"/>
      </w:r>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1313554008" w:history="1">
        <w:r>
          <w:rPr>
            <w:rFonts w:ascii="Times New Roman" w:eastAsia="黑体" w:hAnsi="Times New Roman" w:cs="Times New Roman"/>
            <w:b w:val="0"/>
            <w:bCs w:val="0"/>
            <w:sz w:val="21"/>
            <w:szCs w:val="21"/>
            <w:u w:val="single"/>
          </w:rPr>
          <w:t xml:space="preserve">1 </w:t>
        </w:r>
        <w:r>
          <w:rPr>
            <w:rFonts w:ascii="Times New Roman" w:eastAsia="黑体" w:hAnsi="Times New Roman" w:cs="Times New Roman"/>
            <w:b w:val="0"/>
            <w:bCs w:val="0"/>
            <w:sz w:val="21"/>
            <w:szCs w:val="21"/>
            <w:u w:val="single"/>
          </w:rPr>
          <w:t>适用范围</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_Toc1313554008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1</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1131969588" w:history="1">
        <w:r>
          <w:rPr>
            <w:rFonts w:ascii="Times New Roman" w:eastAsia="黑体" w:hAnsi="Times New Roman" w:cs="Times New Roman"/>
            <w:b w:val="0"/>
            <w:bCs w:val="0"/>
            <w:sz w:val="21"/>
            <w:szCs w:val="21"/>
            <w:u w:val="single"/>
          </w:rPr>
          <w:t xml:space="preserve">2 </w:t>
        </w:r>
        <w:r>
          <w:rPr>
            <w:rFonts w:ascii="Times New Roman" w:eastAsia="黑体" w:hAnsi="Times New Roman" w:cs="Times New Roman"/>
            <w:b w:val="0"/>
            <w:bCs w:val="0"/>
            <w:sz w:val="21"/>
            <w:szCs w:val="21"/>
            <w:u w:val="single"/>
          </w:rPr>
          <w:t>规范性引用文件</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_Toc1131969588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1</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706558802" w:history="1">
        <w:r>
          <w:rPr>
            <w:rFonts w:ascii="Times New Roman" w:eastAsia="黑体" w:hAnsi="Times New Roman" w:cs="Times New Roman"/>
            <w:b w:val="0"/>
            <w:bCs w:val="0"/>
            <w:sz w:val="21"/>
            <w:szCs w:val="21"/>
            <w:u w:val="single"/>
          </w:rPr>
          <w:t xml:space="preserve">3 </w:t>
        </w:r>
        <w:r>
          <w:rPr>
            <w:rFonts w:ascii="Times New Roman" w:eastAsia="黑体" w:hAnsi="Times New Roman" w:cs="Times New Roman"/>
            <w:b w:val="0"/>
            <w:bCs w:val="0"/>
            <w:sz w:val="21"/>
            <w:szCs w:val="21"/>
            <w:u w:val="single"/>
          </w:rPr>
          <w:t>术语和定义</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_Toc706558802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1</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1630979119" w:history="1">
        <w:r>
          <w:rPr>
            <w:rFonts w:ascii="Times New Roman" w:eastAsia="黑体" w:hAnsi="Times New Roman" w:cs="Times New Roman"/>
            <w:b w:val="0"/>
            <w:bCs w:val="0"/>
            <w:sz w:val="21"/>
            <w:szCs w:val="21"/>
            <w:u w:val="single"/>
          </w:rPr>
          <w:t xml:space="preserve">4 </w:t>
        </w:r>
        <w:r>
          <w:rPr>
            <w:rFonts w:ascii="Times New Roman" w:eastAsia="黑体" w:hAnsi="Times New Roman" w:cs="Times New Roman"/>
            <w:b w:val="0"/>
            <w:bCs w:val="0"/>
            <w:sz w:val="21"/>
            <w:szCs w:val="21"/>
            <w:u w:val="single"/>
          </w:rPr>
          <w:t>工作程序和内容</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_Toc1630979119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3</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1525633632" w:history="1">
        <w:r>
          <w:rPr>
            <w:rFonts w:ascii="Times New Roman" w:eastAsia="黑体" w:hAnsi="Times New Roman" w:cs="Times New Roman"/>
            <w:b w:val="0"/>
            <w:bCs w:val="0"/>
            <w:sz w:val="21"/>
            <w:szCs w:val="21"/>
            <w:u w:val="single"/>
          </w:rPr>
          <w:t xml:space="preserve">5 </w:t>
        </w:r>
        <w:r>
          <w:rPr>
            <w:rFonts w:ascii="Times New Roman" w:eastAsia="黑体" w:hAnsi="Times New Roman" w:cs="Times New Roman"/>
            <w:b w:val="0"/>
            <w:bCs w:val="0"/>
            <w:sz w:val="21"/>
            <w:szCs w:val="21"/>
            <w:u w:val="single"/>
          </w:rPr>
          <w:t>核算边界和排放源确定</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w:instrText>
        </w:r>
        <w:r>
          <w:rPr>
            <w:rFonts w:ascii="Times New Roman" w:eastAsia="黑体" w:hAnsi="Times New Roman" w:cs="Times New Roman"/>
            <w:b w:val="0"/>
            <w:bCs w:val="0"/>
            <w:sz w:val="21"/>
            <w:szCs w:val="21"/>
            <w:u w:val="single"/>
          </w:rPr>
          <w:instrText xml:space="preserve">REF _Toc1525633632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5</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601929258" w:history="1">
        <w:r>
          <w:rPr>
            <w:rFonts w:ascii="Times New Roman" w:eastAsia="黑体" w:hAnsi="Times New Roman" w:cs="Times New Roman"/>
            <w:b w:val="0"/>
            <w:bCs w:val="0"/>
            <w:sz w:val="21"/>
            <w:szCs w:val="21"/>
            <w:u w:val="single"/>
          </w:rPr>
          <w:t xml:space="preserve">6 </w:t>
        </w:r>
        <w:r>
          <w:rPr>
            <w:rFonts w:ascii="Times New Roman" w:eastAsia="黑体" w:hAnsi="Times New Roman" w:cs="Times New Roman"/>
            <w:b w:val="0"/>
            <w:bCs w:val="0"/>
            <w:sz w:val="21"/>
            <w:szCs w:val="21"/>
            <w:u w:val="single"/>
          </w:rPr>
          <w:t>熟料生产排放核算要求及排放量计算</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_Toc601929258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6</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1262530439" w:history="1">
        <w:r>
          <w:rPr>
            <w:rFonts w:ascii="Times New Roman" w:eastAsia="黑体" w:hAnsi="Times New Roman" w:cs="Times New Roman"/>
            <w:b w:val="0"/>
            <w:bCs w:val="0"/>
            <w:sz w:val="21"/>
            <w:szCs w:val="21"/>
            <w:u w:val="single"/>
          </w:rPr>
          <w:t xml:space="preserve">7 </w:t>
        </w:r>
        <w:r>
          <w:rPr>
            <w:rFonts w:ascii="Times New Roman" w:eastAsia="黑体" w:hAnsi="Times New Roman" w:cs="Times New Roman"/>
            <w:b w:val="0"/>
            <w:bCs w:val="0"/>
            <w:sz w:val="21"/>
            <w:szCs w:val="21"/>
            <w:u w:val="single"/>
          </w:rPr>
          <w:t>企业层级排放核算要求及排放量计算</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_Toc1262530439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11</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571866340" w:history="1">
        <w:r>
          <w:rPr>
            <w:rFonts w:ascii="Times New Roman" w:eastAsia="黑体" w:hAnsi="Times New Roman" w:cs="Times New Roman"/>
            <w:b w:val="0"/>
            <w:bCs w:val="0"/>
            <w:sz w:val="21"/>
            <w:szCs w:val="21"/>
            <w:u w:val="single"/>
          </w:rPr>
          <w:t xml:space="preserve">8 </w:t>
        </w:r>
        <w:r>
          <w:rPr>
            <w:rFonts w:ascii="Times New Roman" w:eastAsia="黑体" w:hAnsi="Times New Roman" w:cs="Times New Roman"/>
            <w:b w:val="0"/>
            <w:bCs w:val="0"/>
            <w:sz w:val="21"/>
            <w:szCs w:val="21"/>
            <w:u w:val="single"/>
          </w:rPr>
          <w:t>生产数据核算要求</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_Toc571866340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14</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240137901" w:history="1">
        <w:r>
          <w:rPr>
            <w:rFonts w:ascii="Times New Roman" w:eastAsia="黑体" w:hAnsi="Times New Roman" w:cs="Times New Roman"/>
            <w:b w:val="0"/>
            <w:bCs w:val="0"/>
            <w:sz w:val="21"/>
            <w:szCs w:val="21"/>
            <w:u w:val="single"/>
          </w:rPr>
          <w:t xml:space="preserve">9 </w:t>
        </w:r>
        <w:r>
          <w:rPr>
            <w:rFonts w:ascii="Times New Roman" w:eastAsia="黑体" w:hAnsi="Times New Roman" w:cs="Times New Roman"/>
            <w:b w:val="0"/>
            <w:bCs w:val="0"/>
            <w:sz w:val="21"/>
            <w:szCs w:val="21"/>
            <w:u w:val="single"/>
          </w:rPr>
          <w:t>数据质量控制方案要求</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_Toc240137901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15</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1727286645" w:history="1">
        <w:r>
          <w:rPr>
            <w:rFonts w:ascii="Times New Roman" w:eastAsia="黑体" w:hAnsi="Times New Roman" w:cs="Times New Roman"/>
            <w:b w:val="0"/>
            <w:bCs w:val="0"/>
            <w:sz w:val="21"/>
            <w:szCs w:val="21"/>
            <w:u w:val="single"/>
          </w:rPr>
          <w:t xml:space="preserve">10 </w:t>
        </w:r>
        <w:r>
          <w:rPr>
            <w:rFonts w:ascii="Times New Roman" w:eastAsia="黑体" w:hAnsi="Times New Roman" w:cs="Times New Roman"/>
            <w:b w:val="0"/>
            <w:bCs w:val="0"/>
            <w:sz w:val="21"/>
            <w:szCs w:val="21"/>
            <w:u w:val="single"/>
          </w:rPr>
          <w:t>数据质量管理要求</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_Toc1727286645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16</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1845950845" w:history="1">
        <w:r>
          <w:rPr>
            <w:rFonts w:ascii="Times New Roman" w:eastAsia="黑体" w:hAnsi="Times New Roman" w:cs="Times New Roman"/>
            <w:b w:val="0"/>
            <w:bCs w:val="0"/>
            <w:sz w:val="21"/>
            <w:szCs w:val="21"/>
            <w:u w:val="single"/>
          </w:rPr>
          <w:t xml:space="preserve">11 </w:t>
        </w:r>
        <w:r>
          <w:rPr>
            <w:rFonts w:ascii="Times New Roman" w:eastAsia="黑体" w:hAnsi="Times New Roman" w:cs="Times New Roman"/>
            <w:b w:val="0"/>
            <w:bCs w:val="0"/>
            <w:sz w:val="21"/>
            <w:szCs w:val="21"/>
            <w:u w:val="single"/>
          </w:rPr>
          <w:t>定期报告要求</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_Toc1845950845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17</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1545518979" w:history="1">
        <w:r>
          <w:rPr>
            <w:rFonts w:ascii="Times New Roman" w:eastAsia="黑体" w:hAnsi="Times New Roman" w:cs="Times New Roman"/>
            <w:b w:val="0"/>
            <w:bCs w:val="0"/>
            <w:sz w:val="21"/>
            <w:szCs w:val="21"/>
            <w:u w:val="single"/>
          </w:rPr>
          <w:t xml:space="preserve">12 </w:t>
        </w:r>
        <w:r>
          <w:rPr>
            <w:rFonts w:ascii="Times New Roman" w:eastAsia="黑体" w:hAnsi="Times New Roman" w:cs="Times New Roman"/>
            <w:b w:val="0"/>
            <w:bCs w:val="0"/>
            <w:sz w:val="21"/>
            <w:szCs w:val="21"/>
            <w:u w:val="single"/>
          </w:rPr>
          <w:t>信息公开格式要求</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_Toc1545518979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19</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1949299359" w:history="1">
        <w:r>
          <w:rPr>
            <w:rFonts w:ascii="Times New Roman" w:eastAsia="黑体" w:hAnsi="Times New Roman" w:cs="Times New Roman"/>
            <w:b w:val="0"/>
            <w:bCs w:val="0"/>
            <w:sz w:val="21"/>
            <w:szCs w:val="21"/>
            <w:u w:val="single"/>
          </w:rPr>
          <w:t>附录</w:t>
        </w:r>
        <w:r>
          <w:rPr>
            <w:rFonts w:ascii="Times New Roman" w:eastAsia="黑体" w:hAnsi="Times New Roman" w:cs="Times New Roman"/>
            <w:b w:val="0"/>
            <w:bCs w:val="0"/>
            <w:sz w:val="21"/>
            <w:szCs w:val="21"/>
            <w:u w:val="single"/>
          </w:rPr>
          <w:t xml:space="preserve">A </w:t>
        </w:r>
        <w:r>
          <w:rPr>
            <w:rFonts w:ascii="Times New Roman" w:eastAsia="黑体" w:hAnsi="Times New Roman" w:cs="Times New Roman"/>
            <w:b w:val="0"/>
            <w:bCs w:val="0"/>
            <w:sz w:val="21"/>
            <w:szCs w:val="21"/>
            <w:u w:val="single"/>
          </w:rPr>
          <w:t xml:space="preserve"> </w:t>
        </w:r>
        <w:r>
          <w:rPr>
            <w:rFonts w:ascii="Times New Roman" w:eastAsia="黑体" w:hAnsi="Times New Roman" w:cs="Times New Roman"/>
            <w:b w:val="0"/>
            <w:bCs w:val="0"/>
            <w:sz w:val="21"/>
            <w:szCs w:val="21"/>
            <w:u w:val="single"/>
          </w:rPr>
          <w:t>熟料库盘库方法</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_Toc1949299359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20</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44779354" w:history="1">
        <w:r>
          <w:rPr>
            <w:rFonts w:ascii="Times New Roman" w:eastAsia="黑体" w:hAnsi="Times New Roman" w:cs="Times New Roman"/>
            <w:b w:val="0"/>
            <w:bCs w:val="0"/>
            <w:sz w:val="21"/>
            <w:szCs w:val="21"/>
            <w:u w:val="single"/>
          </w:rPr>
          <w:t>附录</w:t>
        </w:r>
        <w:r>
          <w:rPr>
            <w:rFonts w:ascii="Times New Roman" w:eastAsia="黑体" w:hAnsi="Times New Roman" w:cs="Times New Roman"/>
            <w:b w:val="0"/>
            <w:bCs w:val="0"/>
            <w:sz w:val="21"/>
            <w:szCs w:val="21"/>
            <w:u w:val="single"/>
          </w:rPr>
          <w:t xml:space="preserve">B </w:t>
        </w:r>
        <w:r>
          <w:rPr>
            <w:rFonts w:ascii="Times New Roman" w:eastAsia="黑体" w:hAnsi="Times New Roman" w:cs="Times New Roman"/>
            <w:b w:val="0"/>
            <w:bCs w:val="0"/>
            <w:sz w:val="21"/>
            <w:szCs w:val="21"/>
            <w:u w:val="single"/>
          </w:rPr>
          <w:t xml:space="preserve"> </w:t>
        </w:r>
        <w:r>
          <w:rPr>
            <w:rFonts w:ascii="Times New Roman" w:eastAsia="黑体" w:hAnsi="Times New Roman" w:cs="Times New Roman"/>
            <w:b w:val="0"/>
            <w:bCs w:val="0"/>
            <w:sz w:val="21"/>
            <w:szCs w:val="21"/>
            <w:u w:val="single"/>
          </w:rPr>
          <w:t>常用化石燃料相关参数缺省值</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_Toc44779354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21</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1909933938" w:history="1">
        <w:r>
          <w:rPr>
            <w:rFonts w:ascii="Times New Roman" w:eastAsia="黑体" w:hAnsi="Times New Roman" w:cs="Times New Roman"/>
            <w:b w:val="0"/>
            <w:bCs w:val="0"/>
            <w:sz w:val="21"/>
            <w:szCs w:val="21"/>
            <w:u w:val="single"/>
          </w:rPr>
          <w:t>附录</w:t>
        </w:r>
        <w:r>
          <w:rPr>
            <w:rFonts w:ascii="Times New Roman" w:eastAsia="黑体" w:hAnsi="Times New Roman" w:cs="Times New Roman"/>
            <w:b w:val="0"/>
            <w:bCs w:val="0"/>
            <w:sz w:val="21"/>
            <w:szCs w:val="21"/>
            <w:u w:val="single"/>
          </w:rPr>
          <w:t xml:space="preserve">C </w:t>
        </w:r>
        <w:r>
          <w:rPr>
            <w:rFonts w:ascii="Times New Roman" w:eastAsia="黑体" w:hAnsi="Times New Roman" w:cs="Times New Roman"/>
            <w:b w:val="0"/>
            <w:bCs w:val="0"/>
            <w:sz w:val="21"/>
            <w:szCs w:val="21"/>
            <w:u w:val="single"/>
          </w:rPr>
          <w:t xml:space="preserve"> </w:t>
        </w:r>
        <w:r>
          <w:rPr>
            <w:rFonts w:ascii="Times New Roman" w:eastAsia="黑体" w:hAnsi="Times New Roman" w:cs="Times New Roman"/>
            <w:b w:val="0"/>
            <w:bCs w:val="0"/>
            <w:sz w:val="21"/>
            <w:szCs w:val="21"/>
            <w:u w:val="single"/>
          </w:rPr>
          <w:t>常用非碳酸盐替代原料对应的扣减系数</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_Toc1909933938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22</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1870110301" w:history="1">
        <w:r>
          <w:rPr>
            <w:rFonts w:ascii="Times New Roman" w:eastAsia="黑体" w:hAnsi="Times New Roman" w:cs="Times New Roman"/>
            <w:b w:val="0"/>
            <w:bCs w:val="0"/>
            <w:sz w:val="21"/>
            <w:szCs w:val="21"/>
            <w:u w:val="single"/>
          </w:rPr>
          <w:t>附录</w:t>
        </w:r>
        <w:r>
          <w:rPr>
            <w:rFonts w:ascii="Times New Roman" w:eastAsia="黑体" w:hAnsi="Times New Roman" w:cs="Times New Roman"/>
            <w:b w:val="0"/>
            <w:bCs w:val="0"/>
            <w:sz w:val="21"/>
            <w:szCs w:val="21"/>
            <w:u w:val="single"/>
          </w:rPr>
          <w:t xml:space="preserve">D </w:t>
        </w:r>
        <w:r>
          <w:rPr>
            <w:rFonts w:ascii="Times New Roman" w:eastAsia="黑体" w:hAnsi="Times New Roman" w:cs="Times New Roman"/>
            <w:b w:val="0"/>
            <w:bCs w:val="0"/>
            <w:sz w:val="21"/>
            <w:szCs w:val="21"/>
            <w:u w:val="single"/>
          </w:rPr>
          <w:t xml:space="preserve"> </w:t>
        </w:r>
        <w:r>
          <w:rPr>
            <w:rFonts w:ascii="Times New Roman" w:eastAsia="黑体" w:hAnsi="Times New Roman" w:cs="Times New Roman"/>
            <w:b w:val="0"/>
            <w:bCs w:val="0"/>
            <w:sz w:val="21"/>
            <w:szCs w:val="21"/>
            <w:u w:val="single"/>
          </w:rPr>
          <w:t>数据质量控制方案要求</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_Toc1870110301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23</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rPr>
          <w:rFonts w:ascii="Times New Roman" w:eastAsia="黑体" w:hAnsi="Times New Roman" w:cs="Times New Roman"/>
          <w:b w:val="0"/>
          <w:bCs w:val="0"/>
          <w:sz w:val="21"/>
          <w:szCs w:val="21"/>
          <w:u w:val="single"/>
        </w:rPr>
      </w:pPr>
      <w:hyperlink w:anchor="_Toc712847147" w:history="1">
        <w:r>
          <w:rPr>
            <w:rFonts w:ascii="Times New Roman" w:eastAsia="黑体" w:hAnsi="Times New Roman" w:cs="Times New Roman"/>
            <w:b w:val="0"/>
            <w:bCs w:val="0"/>
            <w:sz w:val="21"/>
            <w:szCs w:val="21"/>
            <w:u w:val="single"/>
          </w:rPr>
          <w:t>附录</w:t>
        </w:r>
        <w:r>
          <w:rPr>
            <w:rFonts w:ascii="Times New Roman" w:eastAsia="黑体" w:hAnsi="Times New Roman" w:cs="Times New Roman"/>
            <w:b w:val="0"/>
            <w:bCs w:val="0"/>
            <w:sz w:val="21"/>
            <w:szCs w:val="21"/>
            <w:u w:val="single"/>
          </w:rPr>
          <w:t xml:space="preserve">E </w:t>
        </w:r>
        <w:r>
          <w:rPr>
            <w:rFonts w:ascii="Times New Roman" w:eastAsia="黑体" w:hAnsi="Times New Roman" w:cs="Times New Roman"/>
            <w:b w:val="0"/>
            <w:bCs w:val="0"/>
            <w:sz w:val="21"/>
            <w:szCs w:val="21"/>
            <w:u w:val="single"/>
          </w:rPr>
          <w:t xml:space="preserve"> </w:t>
        </w:r>
        <w:r>
          <w:rPr>
            <w:rFonts w:ascii="Times New Roman" w:eastAsia="黑体" w:hAnsi="Times New Roman" w:cs="Times New Roman"/>
            <w:b w:val="0"/>
            <w:bCs w:val="0"/>
            <w:sz w:val="21"/>
            <w:szCs w:val="21"/>
            <w:u w:val="single"/>
          </w:rPr>
          <w:t>报告内容及格式要求</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_Toc712847147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30</w:t>
        </w:r>
        <w:r>
          <w:rPr>
            <w:rFonts w:ascii="Times New Roman" w:eastAsia="黑体" w:hAnsi="Times New Roman" w:cs="Times New Roman"/>
            <w:b w:val="0"/>
            <w:bCs w:val="0"/>
            <w:sz w:val="21"/>
            <w:szCs w:val="21"/>
            <w:u w:val="single"/>
          </w:rPr>
          <w:fldChar w:fldCharType="end"/>
        </w:r>
      </w:hyperlink>
    </w:p>
    <w:p w:rsidR="00506AE6" w:rsidRDefault="0072598A">
      <w:pPr>
        <w:pStyle w:val="10"/>
        <w:tabs>
          <w:tab w:val="right" w:leader="dot" w:pos="8674"/>
        </w:tabs>
        <w:spacing w:before="0" w:after="0"/>
      </w:pPr>
      <w:hyperlink w:anchor="_Toc1434787654" w:history="1">
        <w:r>
          <w:rPr>
            <w:rFonts w:ascii="Times New Roman" w:eastAsia="黑体" w:hAnsi="Times New Roman" w:cs="Times New Roman"/>
            <w:b w:val="0"/>
            <w:bCs w:val="0"/>
            <w:sz w:val="21"/>
            <w:szCs w:val="21"/>
            <w:u w:val="single"/>
          </w:rPr>
          <w:t>附录</w:t>
        </w:r>
        <w:r>
          <w:rPr>
            <w:rFonts w:ascii="Times New Roman" w:eastAsia="黑体" w:hAnsi="Times New Roman" w:cs="Times New Roman"/>
            <w:b w:val="0"/>
            <w:bCs w:val="0"/>
            <w:sz w:val="21"/>
            <w:szCs w:val="21"/>
            <w:u w:val="single"/>
          </w:rPr>
          <w:t xml:space="preserve">F </w:t>
        </w:r>
        <w:r>
          <w:rPr>
            <w:rFonts w:ascii="Times New Roman" w:eastAsia="黑体" w:hAnsi="Times New Roman" w:cs="Times New Roman"/>
            <w:b w:val="0"/>
            <w:bCs w:val="0"/>
            <w:sz w:val="21"/>
            <w:szCs w:val="21"/>
            <w:u w:val="single"/>
          </w:rPr>
          <w:t xml:space="preserve"> </w:t>
        </w:r>
        <w:r>
          <w:rPr>
            <w:rFonts w:ascii="Times New Roman" w:eastAsia="黑体" w:hAnsi="Times New Roman" w:cs="Times New Roman"/>
            <w:b w:val="0"/>
            <w:bCs w:val="0"/>
            <w:sz w:val="21"/>
            <w:szCs w:val="21"/>
            <w:u w:val="single"/>
          </w:rPr>
          <w:t>企业温室气体排放报告信息公开格式</w:t>
        </w:r>
        <w:r>
          <w:rPr>
            <w:rFonts w:ascii="Times New Roman" w:eastAsia="黑体" w:hAnsi="Times New Roman" w:cs="Times New Roman"/>
            <w:b w:val="0"/>
            <w:bCs w:val="0"/>
            <w:sz w:val="21"/>
            <w:szCs w:val="21"/>
            <w:u w:val="single"/>
          </w:rPr>
          <w:tab/>
        </w:r>
        <w:r>
          <w:rPr>
            <w:rFonts w:ascii="Times New Roman" w:eastAsia="黑体" w:hAnsi="Times New Roman" w:cs="Times New Roman"/>
            <w:b w:val="0"/>
            <w:bCs w:val="0"/>
            <w:sz w:val="21"/>
            <w:szCs w:val="21"/>
            <w:u w:val="single"/>
          </w:rPr>
          <w:fldChar w:fldCharType="begin"/>
        </w:r>
        <w:r>
          <w:rPr>
            <w:rFonts w:ascii="Times New Roman" w:eastAsia="黑体" w:hAnsi="Times New Roman" w:cs="Times New Roman"/>
            <w:b w:val="0"/>
            <w:bCs w:val="0"/>
            <w:sz w:val="21"/>
            <w:szCs w:val="21"/>
            <w:u w:val="single"/>
          </w:rPr>
          <w:instrText xml:space="preserve"> PAGEREF _Toc143478</w:instrText>
        </w:r>
        <w:r>
          <w:rPr>
            <w:rFonts w:ascii="Times New Roman" w:eastAsia="黑体" w:hAnsi="Times New Roman" w:cs="Times New Roman"/>
            <w:b w:val="0"/>
            <w:bCs w:val="0"/>
            <w:sz w:val="21"/>
            <w:szCs w:val="21"/>
            <w:u w:val="single"/>
          </w:rPr>
          <w:instrText xml:space="preserve">7654 </w:instrText>
        </w:r>
        <w:r>
          <w:rPr>
            <w:rFonts w:ascii="Times New Roman" w:eastAsia="黑体" w:hAnsi="Times New Roman" w:cs="Times New Roman"/>
            <w:b w:val="0"/>
            <w:bCs w:val="0"/>
            <w:sz w:val="21"/>
            <w:szCs w:val="21"/>
            <w:u w:val="single"/>
          </w:rPr>
          <w:fldChar w:fldCharType="separate"/>
        </w:r>
        <w:r>
          <w:rPr>
            <w:rFonts w:ascii="Times New Roman" w:eastAsia="黑体" w:hAnsi="Times New Roman" w:cs="Times New Roman"/>
            <w:b w:val="0"/>
            <w:bCs w:val="0"/>
            <w:sz w:val="21"/>
            <w:szCs w:val="21"/>
            <w:u w:val="single"/>
          </w:rPr>
          <w:t>47</w:t>
        </w:r>
        <w:r>
          <w:rPr>
            <w:rFonts w:ascii="Times New Roman" w:eastAsia="黑体" w:hAnsi="Times New Roman" w:cs="Times New Roman"/>
            <w:b w:val="0"/>
            <w:bCs w:val="0"/>
            <w:sz w:val="21"/>
            <w:szCs w:val="21"/>
            <w:u w:val="single"/>
          </w:rPr>
          <w:fldChar w:fldCharType="end"/>
        </w:r>
      </w:hyperlink>
    </w:p>
    <w:p w:rsidR="00506AE6" w:rsidRDefault="0072598A">
      <w:pPr>
        <w:widowControl/>
        <w:ind w:left="210"/>
        <w:rPr>
          <w:sz w:val="32"/>
          <w:szCs w:val="32"/>
        </w:rPr>
        <w:sectPr w:rsidR="00506AE6">
          <w:footerReference w:type="default" r:id="rId15"/>
          <w:pgSz w:w="11906" w:h="16838"/>
          <w:pgMar w:top="1702" w:right="1616" w:bottom="1814" w:left="1616" w:header="851" w:footer="1474" w:gutter="0"/>
          <w:pgNumType w:fmt="upperRoman" w:start="1"/>
          <w:cols w:space="720"/>
          <w:docGrid w:type="lines" w:linePitch="312"/>
        </w:sectPr>
      </w:pPr>
      <w:r>
        <w:rPr>
          <w:rFonts w:ascii="黑体" w:eastAsia="黑体" w:hAnsi="黑体" w:cs="黑体" w:hint="eastAsia"/>
          <w:szCs w:val="21"/>
        </w:rPr>
        <w:fldChar w:fldCharType="end"/>
      </w:r>
    </w:p>
    <w:p w:rsidR="00506AE6" w:rsidRDefault="0072598A">
      <w:pPr>
        <w:pStyle w:val="affa"/>
        <w:tabs>
          <w:tab w:val="clear" w:pos="-420"/>
          <w:tab w:val="clear" w:pos="0"/>
        </w:tabs>
        <w:spacing w:line="360" w:lineRule="exact"/>
        <w:ind w:firstLineChars="0" w:firstLine="0"/>
        <w:jc w:val="center"/>
        <w:rPr>
          <w:rFonts w:eastAsia="黑体"/>
          <w:sz w:val="32"/>
          <w:szCs w:val="32"/>
        </w:rPr>
      </w:pPr>
      <w:r>
        <w:rPr>
          <w:rFonts w:eastAsia="黑体" w:hint="eastAsia"/>
          <w:sz w:val="32"/>
          <w:szCs w:val="32"/>
        </w:rPr>
        <w:lastRenderedPageBreak/>
        <w:t>企业温室气体排放核算与报告指南</w:t>
      </w:r>
      <w:r>
        <w:rPr>
          <w:rFonts w:eastAsia="黑体" w:hint="eastAsia"/>
          <w:sz w:val="32"/>
          <w:szCs w:val="32"/>
        </w:rPr>
        <w:t xml:space="preserve"> </w:t>
      </w:r>
      <w:r>
        <w:rPr>
          <w:rFonts w:eastAsia="黑体" w:hint="eastAsia"/>
          <w:sz w:val="32"/>
          <w:szCs w:val="32"/>
        </w:rPr>
        <w:t>水泥熟料生产</w:t>
      </w:r>
    </w:p>
    <w:p w:rsidR="00506AE6" w:rsidRDefault="0072598A">
      <w:pPr>
        <w:pStyle w:val="a3"/>
        <w:spacing w:before="312" w:after="312" w:line="360" w:lineRule="exact"/>
        <w:ind w:left="0"/>
        <w:outlineLvl w:val="0"/>
        <w:rPr>
          <w:rFonts w:ascii="Times New Roman"/>
          <w:szCs w:val="21"/>
        </w:rPr>
      </w:pPr>
      <w:bookmarkStart w:id="63" w:name="_Toc10974"/>
      <w:bookmarkStart w:id="64" w:name="_Toc1313554008"/>
      <w:bookmarkStart w:id="65" w:name="_Toc140045469"/>
      <w:bookmarkStart w:id="66" w:name="_Toc401654653"/>
      <w:bookmarkStart w:id="67" w:name="_Toc420693814"/>
      <w:bookmarkStart w:id="68" w:name="_Toc401669892"/>
      <w:bookmarkStart w:id="69" w:name="_Toc159419079"/>
      <w:bookmarkStart w:id="70" w:name="_Toc22115142"/>
      <w:bookmarkStart w:id="71" w:name="_Toc146201689"/>
      <w:bookmarkStart w:id="72" w:name="_Toc140003019"/>
      <w:bookmarkEnd w:id="61"/>
      <w:bookmarkEnd w:id="62"/>
      <w:r>
        <w:rPr>
          <w:rFonts w:ascii="Times New Roman" w:hint="eastAsia"/>
          <w:szCs w:val="21"/>
        </w:rPr>
        <w:t>适用范围</w:t>
      </w:r>
      <w:bookmarkEnd w:id="63"/>
      <w:bookmarkEnd w:id="64"/>
      <w:bookmarkEnd w:id="65"/>
      <w:bookmarkEnd w:id="66"/>
      <w:bookmarkEnd w:id="67"/>
      <w:bookmarkEnd w:id="68"/>
      <w:bookmarkEnd w:id="69"/>
      <w:bookmarkEnd w:id="70"/>
      <w:bookmarkEnd w:id="71"/>
      <w:bookmarkEnd w:id="72"/>
    </w:p>
    <w:p w:rsidR="00506AE6" w:rsidRDefault="0072598A">
      <w:r>
        <w:rPr>
          <w:rFonts w:hint="eastAsia"/>
        </w:rPr>
        <w:t>本文件规定了水泥行业企业的熟料生产和企业层级的温室气体排放核算边界和排放源确定、熟料生产排放核算要求及排放量计算、企业层级排放核算要求及排放量计算、生产数据核算要求、数据质量控制方案要求、数据质量管理要求、定期报告要求和信息公开格式要求等。</w:t>
      </w:r>
    </w:p>
    <w:p w:rsidR="00506AE6" w:rsidRDefault="0072598A">
      <w:r>
        <w:rPr>
          <w:rFonts w:hint="eastAsia"/>
        </w:rPr>
        <w:t>本文件适用于纳入全国碳排放权交易市场的水泥行业企业的熟料生产和企业层级的温室气体排放核算和报告。如果水泥熟料生产企业存在纳入全国碳排放权交易市场的发电设施或其他产品生产设施，且生产活动存在温室气体排放，则应按照适用的核算与报告指南进行核算与报告。其他未纳入全国碳排放权交易市场的水泥行业企业温室气体排放核算与报告可参照本文件。</w:t>
      </w:r>
    </w:p>
    <w:p w:rsidR="00506AE6" w:rsidRDefault="0072598A">
      <w:pPr>
        <w:pStyle w:val="a3"/>
        <w:spacing w:before="312" w:after="312" w:line="360" w:lineRule="exact"/>
        <w:ind w:left="0"/>
        <w:outlineLvl w:val="0"/>
        <w:rPr>
          <w:rFonts w:ascii="Times New Roman"/>
        </w:rPr>
      </w:pPr>
      <w:bookmarkStart w:id="73" w:name="_Toc146201690"/>
      <w:bookmarkStart w:id="74" w:name="_Toc140003020"/>
      <w:bookmarkStart w:id="75" w:name="_Toc159419080"/>
      <w:bookmarkStart w:id="76" w:name="_Toc32651"/>
      <w:bookmarkStart w:id="77" w:name="_Toc1131969588"/>
      <w:bookmarkStart w:id="78" w:name="_Toc420693815"/>
      <w:bookmarkStart w:id="79" w:name="_Toc22115143"/>
      <w:bookmarkStart w:id="80" w:name="_Toc140045470"/>
      <w:r>
        <w:rPr>
          <w:rFonts w:ascii="Times New Roman" w:hint="eastAsia"/>
        </w:rPr>
        <w:t>规范性引用文件</w:t>
      </w:r>
      <w:bookmarkEnd w:id="73"/>
      <w:bookmarkEnd w:id="74"/>
      <w:bookmarkEnd w:id="75"/>
      <w:bookmarkEnd w:id="76"/>
      <w:bookmarkEnd w:id="77"/>
      <w:bookmarkEnd w:id="78"/>
      <w:bookmarkEnd w:id="79"/>
      <w:bookmarkEnd w:id="80"/>
    </w:p>
    <w:p w:rsidR="00506AE6" w:rsidRDefault="0072598A">
      <w:pPr>
        <w:pStyle w:val="affa"/>
        <w:tabs>
          <w:tab w:val="clear" w:pos="-420"/>
          <w:tab w:val="clear" w:pos="0"/>
        </w:tabs>
        <w:spacing w:line="360" w:lineRule="exact"/>
      </w:pPr>
      <w:r>
        <w:t>下列文件中的内容通过文中的规范性引用而构成本文件必不可少的条款。其中，注日期的引用文件，仅该日期对应的版本适用于本文件；不注日期的引用文件</w:t>
      </w:r>
      <w:r>
        <w:rPr>
          <w:rFonts w:hint="eastAsia"/>
        </w:rPr>
        <w:t>，</w:t>
      </w:r>
      <w:r>
        <w:t>其最新版本（包括所有的修改单</w:t>
      </w:r>
      <w:r>
        <w:t>）适用于本文件</w:t>
      </w:r>
      <w:r>
        <w:rPr>
          <w:rFonts w:hint="eastAsia"/>
        </w:rPr>
        <w:t>：</w:t>
      </w:r>
    </w:p>
    <w:p w:rsidR="00506AE6" w:rsidRDefault="0072598A">
      <w:pPr>
        <w:rPr>
          <w:szCs w:val="21"/>
        </w:rPr>
      </w:pPr>
      <w:r>
        <w:rPr>
          <w:szCs w:val="21"/>
        </w:rPr>
        <w:t xml:space="preserve">GB/T 213 </w:t>
      </w:r>
      <w:r>
        <w:rPr>
          <w:szCs w:val="21"/>
        </w:rPr>
        <w:t>煤的发热量测定方法</w:t>
      </w:r>
    </w:p>
    <w:p w:rsidR="00506AE6" w:rsidRDefault="0072598A">
      <w:pPr>
        <w:rPr>
          <w:szCs w:val="21"/>
        </w:rPr>
      </w:pPr>
      <w:r>
        <w:rPr>
          <w:szCs w:val="21"/>
        </w:rPr>
        <w:t xml:space="preserve">GB/T 474 </w:t>
      </w:r>
      <w:r>
        <w:rPr>
          <w:szCs w:val="21"/>
        </w:rPr>
        <w:t>煤样的制备方法</w:t>
      </w:r>
    </w:p>
    <w:p w:rsidR="00506AE6" w:rsidRDefault="0072598A">
      <w:pPr>
        <w:rPr>
          <w:szCs w:val="21"/>
        </w:rPr>
      </w:pPr>
      <w:r>
        <w:rPr>
          <w:szCs w:val="21"/>
        </w:rPr>
        <w:t xml:space="preserve">GB/T 475 </w:t>
      </w:r>
      <w:r>
        <w:rPr>
          <w:szCs w:val="21"/>
        </w:rPr>
        <w:t>商品煤样人工采取方法</w:t>
      </w:r>
    </w:p>
    <w:p w:rsidR="00506AE6" w:rsidRDefault="0072598A">
      <w:pPr>
        <w:pStyle w:val="affa"/>
        <w:tabs>
          <w:tab w:val="clear" w:pos="-420"/>
          <w:tab w:val="clear" w:pos="0"/>
        </w:tabs>
        <w:spacing w:line="360" w:lineRule="exact"/>
      </w:pPr>
      <w:r>
        <w:t xml:space="preserve">GB/T 2589 </w:t>
      </w:r>
      <w:r>
        <w:t>综合能耗计算通则</w:t>
      </w:r>
    </w:p>
    <w:p w:rsidR="00506AE6" w:rsidRDefault="0072598A">
      <w:pPr>
        <w:pStyle w:val="affa"/>
        <w:tabs>
          <w:tab w:val="clear" w:pos="-420"/>
          <w:tab w:val="clear" w:pos="0"/>
        </w:tabs>
        <w:spacing w:line="360" w:lineRule="exact"/>
      </w:pPr>
      <w:r>
        <w:rPr>
          <w:rFonts w:hint="eastAsia"/>
        </w:rPr>
        <w:t xml:space="preserve">GB/T 4754 </w:t>
      </w:r>
      <w:r>
        <w:rPr>
          <w:rFonts w:hint="eastAsia"/>
        </w:rPr>
        <w:t>国民经济行业分类</w:t>
      </w:r>
    </w:p>
    <w:p w:rsidR="00506AE6" w:rsidRDefault="0072598A">
      <w:pPr>
        <w:rPr>
          <w:szCs w:val="21"/>
        </w:rPr>
      </w:pPr>
      <w:r>
        <w:rPr>
          <w:rFonts w:hint="eastAsia"/>
          <w:szCs w:val="21"/>
        </w:rPr>
        <w:t xml:space="preserve">GB 17167 </w:t>
      </w:r>
      <w:r>
        <w:rPr>
          <w:rFonts w:hint="eastAsia"/>
          <w:szCs w:val="21"/>
        </w:rPr>
        <w:t>用能单位能源计量器具配备和管理通则</w:t>
      </w:r>
    </w:p>
    <w:p w:rsidR="00506AE6" w:rsidRDefault="0072598A">
      <w:pPr>
        <w:rPr>
          <w:szCs w:val="21"/>
        </w:rPr>
      </w:pPr>
      <w:r>
        <w:rPr>
          <w:szCs w:val="21"/>
        </w:rPr>
        <w:t xml:space="preserve">GB/T 19494.1 </w:t>
      </w:r>
      <w:r>
        <w:rPr>
          <w:szCs w:val="21"/>
        </w:rPr>
        <w:t>煤炭机械化采样</w:t>
      </w:r>
      <w:r>
        <w:rPr>
          <w:szCs w:val="21"/>
        </w:rPr>
        <w:t xml:space="preserve"> </w:t>
      </w:r>
      <w:r>
        <w:rPr>
          <w:szCs w:val="21"/>
        </w:rPr>
        <w:t>第</w:t>
      </w:r>
      <w:r>
        <w:rPr>
          <w:szCs w:val="21"/>
        </w:rPr>
        <w:t>1</w:t>
      </w:r>
      <w:r>
        <w:rPr>
          <w:szCs w:val="21"/>
        </w:rPr>
        <w:t>部分：采样方法</w:t>
      </w:r>
    </w:p>
    <w:p w:rsidR="00506AE6" w:rsidRDefault="0072598A">
      <w:pPr>
        <w:rPr>
          <w:szCs w:val="21"/>
        </w:rPr>
      </w:pPr>
      <w:r>
        <w:rPr>
          <w:szCs w:val="21"/>
        </w:rPr>
        <w:t xml:space="preserve">GB/T 19494.2 </w:t>
      </w:r>
      <w:r>
        <w:rPr>
          <w:szCs w:val="21"/>
        </w:rPr>
        <w:t>煤炭机械化采样</w:t>
      </w:r>
      <w:r>
        <w:rPr>
          <w:szCs w:val="21"/>
        </w:rPr>
        <w:t xml:space="preserve"> </w:t>
      </w:r>
      <w:r>
        <w:rPr>
          <w:szCs w:val="21"/>
        </w:rPr>
        <w:t>第</w:t>
      </w:r>
      <w:r>
        <w:rPr>
          <w:szCs w:val="21"/>
        </w:rPr>
        <w:t>2</w:t>
      </w:r>
      <w:r>
        <w:rPr>
          <w:szCs w:val="21"/>
        </w:rPr>
        <w:t>部分：煤样的制备</w:t>
      </w:r>
    </w:p>
    <w:p w:rsidR="00506AE6" w:rsidRDefault="0072598A">
      <w:pPr>
        <w:rPr>
          <w:szCs w:val="21"/>
        </w:rPr>
      </w:pPr>
      <w:r>
        <w:rPr>
          <w:szCs w:val="21"/>
        </w:rPr>
        <w:t xml:space="preserve">GB/T 27025 </w:t>
      </w:r>
      <w:r>
        <w:rPr>
          <w:szCs w:val="21"/>
        </w:rPr>
        <w:t>检测和校准实验室能力的通用要求</w:t>
      </w:r>
    </w:p>
    <w:p w:rsidR="00506AE6" w:rsidRDefault="0072598A">
      <w:pPr>
        <w:rPr>
          <w:szCs w:val="21"/>
        </w:rPr>
      </w:pPr>
      <w:r>
        <w:rPr>
          <w:szCs w:val="21"/>
        </w:rPr>
        <w:t xml:space="preserve">GB/T 27977 </w:t>
      </w:r>
      <w:r>
        <w:rPr>
          <w:szCs w:val="21"/>
        </w:rPr>
        <w:t>水泥生产电能能效测试及计算方法</w:t>
      </w:r>
    </w:p>
    <w:p w:rsidR="00506AE6" w:rsidRDefault="0072598A">
      <w:pPr>
        <w:rPr>
          <w:szCs w:val="21"/>
        </w:rPr>
      </w:pPr>
      <w:r>
        <w:rPr>
          <w:szCs w:val="21"/>
        </w:rPr>
        <w:t xml:space="preserve">GB/T </w:t>
      </w:r>
      <w:r>
        <w:rPr>
          <w:szCs w:val="21"/>
        </w:rPr>
        <w:t>32151.8</w:t>
      </w:r>
      <w:r>
        <w:rPr>
          <w:rFonts w:hint="eastAsia"/>
          <w:szCs w:val="21"/>
        </w:rPr>
        <w:t>-2015</w:t>
      </w:r>
      <w:r>
        <w:rPr>
          <w:szCs w:val="21"/>
        </w:rPr>
        <w:t xml:space="preserve"> </w:t>
      </w:r>
      <w:r>
        <w:rPr>
          <w:rFonts w:hint="eastAsia"/>
          <w:szCs w:val="21"/>
        </w:rPr>
        <w:t>温室气体排放核算与报告要求</w:t>
      </w:r>
      <w:r>
        <w:rPr>
          <w:szCs w:val="21"/>
        </w:rPr>
        <w:t xml:space="preserve"> </w:t>
      </w:r>
      <w:r>
        <w:rPr>
          <w:rFonts w:hint="eastAsia"/>
          <w:szCs w:val="21"/>
        </w:rPr>
        <w:t>第</w:t>
      </w:r>
      <w:r>
        <w:rPr>
          <w:szCs w:val="21"/>
        </w:rPr>
        <w:t>8</w:t>
      </w:r>
      <w:r>
        <w:rPr>
          <w:rFonts w:hint="eastAsia"/>
          <w:szCs w:val="21"/>
        </w:rPr>
        <w:t>部分：水泥生产企业</w:t>
      </w:r>
    </w:p>
    <w:p w:rsidR="00506AE6" w:rsidRDefault="0072598A">
      <w:pPr>
        <w:rPr>
          <w:szCs w:val="21"/>
        </w:rPr>
      </w:pPr>
      <w:r>
        <w:rPr>
          <w:szCs w:val="21"/>
        </w:rPr>
        <w:t xml:space="preserve">GB/T 35461 </w:t>
      </w:r>
      <w:r>
        <w:rPr>
          <w:szCs w:val="21"/>
        </w:rPr>
        <w:t>水泥生产企业能源计量器具配备和管理要求</w:t>
      </w:r>
    </w:p>
    <w:p w:rsidR="00506AE6" w:rsidRDefault="0072598A">
      <w:pPr>
        <w:pStyle w:val="affa"/>
        <w:tabs>
          <w:tab w:val="clear" w:pos="-420"/>
          <w:tab w:val="clear" w:pos="0"/>
        </w:tabs>
        <w:spacing w:line="360" w:lineRule="exact"/>
        <w:rPr>
          <w:kern w:val="2"/>
          <w:szCs w:val="21"/>
        </w:rPr>
      </w:pPr>
      <w:r>
        <w:rPr>
          <w:rFonts w:hint="eastAsia"/>
          <w:kern w:val="2"/>
          <w:szCs w:val="21"/>
        </w:rPr>
        <w:t>JJG</w:t>
      </w:r>
      <w:r>
        <w:rPr>
          <w:kern w:val="2"/>
          <w:szCs w:val="21"/>
        </w:rPr>
        <w:t xml:space="preserve"> </w:t>
      </w:r>
      <w:r>
        <w:rPr>
          <w:rFonts w:hint="eastAsia"/>
          <w:kern w:val="2"/>
          <w:szCs w:val="21"/>
        </w:rPr>
        <w:t>539</w:t>
      </w:r>
      <w:r>
        <w:rPr>
          <w:kern w:val="2"/>
          <w:szCs w:val="21"/>
        </w:rPr>
        <w:t xml:space="preserve"> </w:t>
      </w:r>
      <w:r>
        <w:rPr>
          <w:rFonts w:hint="eastAsia"/>
          <w:kern w:val="2"/>
          <w:szCs w:val="21"/>
        </w:rPr>
        <w:t>数字指示秤检定规程</w:t>
      </w:r>
    </w:p>
    <w:p w:rsidR="00506AE6" w:rsidRDefault="0072598A">
      <w:pPr>
        <w:rPr>
          <w:szCs w:val="21"/>
        </w:rPr>
      </w:pPr>
      <w:r>
        <w:rPr>
          <w:rFonts w:hint="eastAsia"/>
          <w:szCs w:val="21"/>
        </w:rPr>
        <w:t>JJG 1118</w:t>
      </w:r>
      <w:r>
        <w:rPr>
          <w:szCs w:val="21"/>
        </w:rPr>
        <w:t xml:space="preserve"> </w:t>
      </w:r>
      <w:r>
        <w:rPr>
          <w:rFonts w:hint="eastAsia"/>
          <w:szCs w:val="21"/>
        </w:rPr>
        <w:t>电子汽车衡（衡器载荷测量仪法）检定规程</w:t>
      </w:r>
    </w:p>
    <w:p w:rsidR="00506AE6" w:rsidRDefault="0072598A">
      <w:pPr>
        <w:rPr>
          <w:szCs w:val="21"/>
        </w:rPr>
      </w:pPr>
      <w:r>
        <w:rPr>
          <w:szCs w:val="21"/>
        </w:rPr>
        <w:t xml:space="preserve">T/CBMF 17 </w:t>
      </w:r>
      <w:r>
        <w:rPr>
          <w:szCs w:val="21"/>
        </w:rPr>
        <w:t>水泥生产企业质量管理规程</w:t>
      </w:r>
    </w:p>
    <w:p w:rsidR="00506AE6" w:rsidRDefault="0072598A">
      <w:pPr>
        <w:rPr>
          <w:szCs w:val="21"/>
        </w:rPr>
      </w:pPr>
      <w:bookmarkStart w:id="81" w:name="_Hlk148465464"/>
      <w:r>
        <w:rPr>
          <w:szCs w:val="21"/>
        </w:rPr>
        <w:t>XK08-001</w:t>
      </w:r>
      <w:bookmarkEnd w:id="81"/>
      <w:r>
        <w:rPr>
          <w:szCs w:val="21"/>
        </w:rPr>
        <w:t xml:space="preserve"> </w:t>
      </w:r>
      <w:r>
        <w:rPr>
          <w:szCs w:val="21"/>
        </w:rPr>
        <w:t>水泥产品生产许可证实施细则</w:t>
      </w:r>
    </w:p>
    <w:p w:rsidR="00506AE6" w:rsidRDefault="0072598A">
      <w:pPr>
        <w:pStyle w:val="a3"/>
        <w:spacing w:before="312" w:after="312" w:line="360" w:lineRule="exact"/>
        <w:ind w:left="0"/>
        <w:outlineLvl w:val="0"/>
        <w:rPr>
          <w:rFonts w:ascii="Times New Roman"/>
        </w:rPr>
      </w:pPr>
      <w:bookmarkStart w:id="82" w:name="_Toc150369704"/>
      <w:bookmarkStart w:id="83" w:name="_Toc25603"/>
      <w:bookmarkStart w:id="84" w:name="_Toc420693816"/>
      <w:bookmarkStart w:id="85" w:name="_Toc146201691"/>
      <w:bookmarkStart w:id="86" w:name="_Toc159419081"/>
      <w:bookmarkStart w:id="87" w:name="_Toc22115144"/>
      <w:bookmarkStart w:id="88" w:name="_Toc706558802"/>
      <w:bookmarkStart w:id="89" w:name="_Toc140045471"/>
      <w:bookmarkStart w:id="90" w:name="_Toc140003021"/>
      <w:bookmarkEnd w:id="82"/>
      <w:r>
        <w:rPr>
          <w:rFonts w:ascii="Times New Roman" w:hint="eastAsia"/>
        </w:rPr>
        <w:t>术语和定义</w:t>
      </w:r>
      <w:bookmarkEnd w:id="83"/>
      <w:bookmarkEnd w:id="84"/>
      <w:bookmarkEnd w:id="85"/>
      <w:bookmarkEnd w:id="86"/>
      <w:bookmarkEnd w:id="87"/>
      <w:bookmarkEnd w:id="88"/>
      <w:bookmarkEnd w:id="89"/>
      <w:bookmarkEnd w:id="90"/>
    </w:p>
    <w:p w:rsidR="00506AE6" w:rsidRDefault="0072598A">
      <w:r>
        <w:rPr>
          <w:rFonts w:hint="eastAsia"/>
        </w:rPr>
        <w:t>下列术语和定义适用于本文件。</w:t>
      </w:r>
    </w:p>
    <w:p w:rsidR="00506AE6" w:rsidRDefault="00506AE6">
      <w:pPr>
        <w:pStyle w:val="a4"/>
        <w:spacing w:before="156" w:after="156" w:line="360" w:lineRule="exact"/>
        <w:ind w:left="0"/>
        <w:outlineLvl w:val="9"/>
        <w:rPr>
          <w:rFonts w:ascii="Times New Roman"/>
        </w:rPr>
      </w:pPr>
    </w:p>
    <w:p w:rsidR="00506AE6" w:rsidRDefault="0072598A">
      <w:pPr>
        <w:rPr>
          <w:rFonts w:eastAsia="黑体"/>
          <w:kern w:val="0"/>
          <w:szCs w:val="21"/>
        </w:rPr>
      </w:pPr>
      <w:r>
        <w:rPr>
          <w:rFonts w:ascii="黑体" w:eastAsia="黑体" w:hint="eastAsia"/>
        </w:rPr>
        <w:lastRenderedPageBreak/>
        <w:t>温室气体</w:t>
      </w:r>
      <w:r>
        <w:rPr>
          <w:rFonts w:eastAsia="黑体" w:hint="eastAsia"/>
          <w:kern w:val="0"/>
          <w:szCs w:val="21"/>
        </w:rPr>
        <w:t xml:space="preserve"> </w:t>
      </w:r>
      <w:r>
        <w:rPr>
          <w:rFonts w:ascii="黑体" w:eastAsia="黑体" w:hAnsi="黑体" w:cs="黑体" w:hint="eastAsia"/>
        </w:rPr>
        <w:t>greenhouse gas</w:t>
      </w:r>
    </w:p>
    <w:p w:rsidR="00506AE6" w:rsidRDefault="0072598A">
      <w:r>
        <w:rPr>
          <w:rFonts w:hint="eastAsia"/>
        </w:rPr>
        <w:t>大气中吸收和重新放出红外辐射的自然和人为的气态成分，包括二氧化碳（</w:t>
      </w:r>
      <w:r>
        <w:rPr>
          <w:rFonts w:hint="eastAsia"/>
        </w:rPr>
        <w:t>CO</w:t>
      </w:r>
      <w:r>
        <w:rPr>
          <w:vertAlign w:val="subscript"/>
        </w:rPr>
        <w:t>2</w:t>
      </w:r>
      <w:r>
        <w:rPr>
          <w:rFonts w:hint="eastAsia"/>
        </w:rPr>
        <w:t>）、甲烷（</w:t>
      </w:r>
      <w:r>
        <w:rPr>
          <w:rFonts w:hint="eastAsia"/>
        </w:rPr>
        <w:t>CH</w:t>
      </w:r>
      <w:r>
        <w:rPr>
          <w:vertAlign w:val="subscript"/>
        </w:rPr>
        <w:t>4</w:t>
      </w:r>
      <w:r>
        <w:rPr>
          <w:rFonts w:hint="eastAsia"/>
        </w:rPr>
        <w:t>）、氧化亚氮（</w:t>
      </w:r>
      <w:r>
        <w:rPr>
          <w:rFonts w:hint="eastAsia"/>
        </w:rPr>
        <w:t>N</w:t>
      </w:r>
      <w:r>
        <w:rPr>
          <w:vertAlign w:val="subscript"/>
        </w:rPr>
        <w:t>2</w:t>
      </w:r>
      <w:r>
        <w:rPr>
          <w:rFonts w:hint="eastAsia"/>
        </w:rPr>
        <w:t>O</w:t>
      </w:r>
      <w:r>
        <w:rPr>
          <w:rFonts w:hint="eastAsia"/>
        </w:rPr>
        <w:t>）、氢氟碳化物（</w:t>
      </w:r>
      <w:r>
        <w:rPr>
          <w:rFonts w:hint="eastAsia"/>
        </w:rPr>
        <w:t>HFCs</w:t>
      </w:r>
      <w:r>
        <w:rPr>
          <w:rFonts w:hint="eastAsia"/>
        </w:rPr>
        <w:t>）、全氟化碳（</w:t>
      </w:r>
      <w:r>
        <w:rPr>
          <w:rFonts w:hint="eastAsia"/>
        </w:rPr>
        <w:t>PFCs</w:t>
      </w:r>
      <w:r>
        <w:rPr>
          <w:rFonts w:hint="eastAsia"/>
        </w:rPr>
        <w:t>）、六氟化硫（</w:t>
      </w:r>
      <w:r>
        <w:rPr>
          <w:rFonts w:hint="eastAsia"/>
        </w:rPr>
        <w:t>SF</w:t>
      </w:r>
      <w:r>
        <w:rPr>
          <w:vertAlign w:val="subscript"/>
        </w:rPr>
        <w:t>6</w:t>
      </w:r>
      <w:r>
        <w:rPr>
          <w:rFonts w:hint="eastAsia"/>
        </w:rPr>
        <w:t>）和三氟化氮（</w:t>
      </w:r>
      <w:r>
        <w:rPr>
          <w:rFonts w:hint="eastAsia"/>
        </w:rPr>
        <w:t>NF</w:t>
      </w:r>
      <w:r>
        <w:rPr>
          <w:vertAlign w:val="subscript"/>
        </w:rPr>
        <w:t>3</w:t>
      </w:r>
      <w:r>
        <w:rPr>
          <w:rFonts w:hint="eastAsia"/>
        </w:rPr>
        <w:t>）等。</w:t>
      </w:r>
    </w:p>
    <w:p w:rsidR="00506AE6" w:rsidRDefault="0072598A">
      <w:pPr>
        <w:ind w:firstLine="360"/>
        <w:rPr>
          <w:sz w:val="18"/>
          <w:szCs w:val="18"/>
        </w:rPr>
      </w:pPr>
      <w:r>
        <w:rPr>
          <w:rFonts w:ascii="黑体" w:eastAsia="黑体" w:hAnsi="黑体" w:cs="黑体" w:hint="eastAsia"/>
          <w:sz w:val="18"/>
          <w:szCs w:val="18"/>
        </w:rPr>
        <w:t>注：</w:t>
      </w:r>
      <w:r>
        <w:rPr>
          <w:rFonts w:hint="eastAsia"/>
          <w:sz w:val="18"/>
          <w:szCs w:val="18"/>
        </w:rPr>
        <w:t>本文件中的温室气体为二氧化碳（</w:t>
      </w:r>
      <w:r>
        <w:rPr>
          <w:rFonts w:hint="eastAsia"/>
          <w:sz w:val="18"/>
          <w:szCs w:val="18"/>
        </w:rPr>
        <w:t>CO</w:t>
      </w:r>
      <w:r>
        <w:rPr>
          <w:sz w:val="18"/>
          <w:szCs w:val="18"/>
          <w:vertAlign w:val="subscript"/>
        </w:rPr>
        <w:t>2</w:t>
      </w:r>
      <w:r>
        <w:rPr>
          <w:rFonts w:hint="eastAsia"/>
          <w:sz w:val="18"/>
          <w:szCs w:val="18"/>
        </w:rPr>
        <w:t>）。</w:t>
      </w:r>
    </w:p>
    <w:p w:rsidR="00506AE6" w:rsidRDefault="00506AE6">
      <w:pPr>
        <w:pStyle w:val="a4"/>
        <w:spacing w:before="156" w:after="156" w:line="360" w:lineRule="exact"/>
        <w:ind w:left="0"/>
        <w:outlineLvl w:val="9"/>
        <w:rPr>
          <w:rFonts w:ascii="Times New Roman"/>
        </w:rPr>
      </w:pPr>
      <w:bookmarkStart w:id="91" w:name="_Toc22451"/>
      <w:bookmarkStart w:id="92" w:name="_Toc23887"/>
      <w:bookmarkStart w:id="93" w:name="_Toc13558"/>
      <w:bookmarkStart w:id="94" w:name="_Toc22114934"/>
      <w:bookmarkStart w:id="95" w:name="_Toc22115151"/>
      <w:bookmarkStart w:id="96" w:name="_Toc9436"/>
      <w:bookmarkStart w:id="97" w:name="_Toc12569"/>
      <w:bookmarkStart w:id="98" w:name="_Toc11382"/>
      <w:bookmarkStart w:id="99" w:name="_Toc22184"/>
      <w:bookmarkStart w:id="100" w:name="_Toc9500"/>
      <w:bookmarkStart w:id="101" w:name="_Toc19731"/>
      <w:bookmarkEnd w:id="91"/>
      <w:bookmarkEnd w:id="92"/>
      <w:bookmarkEnd w:id="93"/>
      <w:bookmarkEnd w:id="94"/>
      <w:bookmarkEnd w:id="95"/>
      <w:bookmarkEnd w:id="96"/>
      <w:bookmarkEnd w:id="97"/>
      <w:bookmarkEnd w:id="98"/>
      <w:bookmarkEnd w:id="99"/>
      <w:bookmarkEnd w:id="100"/>
      <w:bookmarkEnd w:id="101"/>
    </w:p>
    <w:p w:rsidR="00506AE6" w:rsidRDefault="0072598A">
      <w:pPr>
        <w:rPr>
          <w:rFonts w:ascii="黑体" w:eastAsia="黑体"/>
        </w:rPr>
      </w:pPr>
      <w:bookmarkStart w:id="102" w:name="_Toc18822"/>
      <w:bookmarkStart w:id="103" w:name="_Toc12619"/>
      <w:bookmarkStart w:id="104" w:name="_Toc19525"/>
      <w:bookmarkStart w:id="105" w:name="_Hlk127517455"/>
      <w:bookmarkStart w:id="106" w:name="_Toc4059"/>
      <w:bookmarkStart w:id="107" w:name="_Toc9413"/>
      <w:bookmarkStart w:id="108" w:name="_Toc25546"/>
      <w:bookmarkStart w:id="109" w:name="_Toc1797"/>
      <w:bookmarkStart w:id="110" w:name="_Toc12582"/>
      <w:bookmarkStart w:id="111" w:name="_Toc15024"/>
      <w:bookmarkStart w:id="112" w:name="_Toc13495638"/>
      <w:r>
        <w:rPr>
          <w:rFonts w:ascii="黑体" w:eastAsia="黑体" w:hint="eastAsia"/>
        </w:rPr>
        <w:t>温室气体重点排放单位</w:t>
      </w:r>
      <w:r>
        <w:rPr>
          <w:rFonts w:ascii="黑体" w:eastAsia="黑体"/>
        </w:rPr>
        <w:t xml:space="preserve"> key emitting entity of greenhouse gas</w:t>
      </w:r>
      <w:bookmarkEnd w:id="102"/>
      <w:bookmarkEnd w:id="103"/>
      <w:bookmarkEnd w:id="104"/>
      <w:bookmarkEnd w:id="105"/>
      <w:bookmarkEnd w:id="106"/>
      <w:bookmarkEnd w:id="107"/>
      <w:bookmarkEnd w:id="108"/>
      <w:bookmarkEnd w:id="109"/>
      <w:bookmarkEnd w:id="110"/>
      <w:bookmarkEnd w:id="111"/>
      <w:bookmarkEnd w:id="112"/>
    </w:p>
    <w:p w:rsidR="00506AE6" w:rsidRDefault="0072598A">
      <w:pPr>
        <w:rPr>
          <w:rFonts w:ascii="宋体" w:hAnsi="宋体" w:cs="宋体"/>
        </w:rPr>
      </w:pPr>
      <w:bookmarkStart w:id="113" w:name="_Hlk127517468"/>
      <w:r>
        <w:rPr>
          <w:rFonts w:ascii="宋体" w:hAnsi="宋体" w:cs="宋体" w:hint="eastAsia"/>
        </w:rPr>
        <w:t>全国碳排放权交易市场覆盖行业内年度温室气体排放量</w:t>
      </w:r>
      <w:r>
        <w:t>达到</w:t>
      </w:r>
      <w:r>
        <w:t>2.6</w:t>
      </w:r>
      <w:r>
        <w:t>万吨二</w:t>
      </w:r>
      <w:r>
        <w:rPr>
          <w:rFonts w:ascii="宋体" w:hAnsi="宋体" w:cs="宋体" w:hint="eastAsia"/>
        </w:rPr>
        <w:t>氧化碳当量的温室气体排放单位，简称重点排放单位。</w:t>
      </w:r>
    </w:p>
    <w:p w:rsidR="00506AE6" w:rsidRDefault="00506AE6">
      <w:pPr>
        <w:pStyle w:val="a4"/>
        <w:tabs>
          <w:tab w:val="center" w:pos="4338"/>
          <w:tab w:val="right" w:pos="8675"/>
        </w:tabs>
        <w:spacing w:before="156" w:after="156" w:line="360" w:lineRule="exact"/>
        <w:ind w:left="420" w:hangingChars="200" w:hanging="420"/>
        <w:outlineLvl w:val="9"/>
        <w:rPr>
          <w:bCs/>
        </w:rPr>
      </w:pPr>
      <w:bookmarkStart w:id="114" w:name="_Toc10847"/>
      <w:bookmarkStart w:id="115" w:name="_Toc17662"/>
      <w:bookmarkStart w:id="116" w:name="_Toc13700"/>
      <w:bookmarkStart w:id="117" w:name="_Toc22115153"/>
      <w:bookmarkStart w:id="118" w:name="_Toc29291"/>
      <w:bookmarkStart w:id="119" w:name="_Toc28280"/>
      <w:bookmarkStart w:id="120" w:name="_Toc20784"/>
      <w:bookmarkStart w:id="121" w:name="_Toc22114935"/>
      <w:bookmarkStart w:id="122" w:name="_Toc13188"/>
      <w:bookmarkStart w:id="123" w:name="_Toc19617"/>
      <w:bookmarkStart w:id="124" w:name="_Toc23170"/>
      <w:bookmarkStart w:id="125" w:name="_Toc21680"/>
      <w:bookmarkStart w:id="126" w:name="_Toc5120"/>
      <w:bookmarkStart w:id="127" w:name="_Toc22114936"/>
      <w:bookmarkStart w:id="128" w:name="_Toc27743"/>
      <w:bookmarkStart w:id="129" w:name="_Toc20393"/>
      <w:bookmarkStart w:id="130" w:name="_Toc9060"/>
      <w:bookmarkStart w:id="131" w:name="_Toc28020"/>
      <w:bookmarkStart w:id="132" w:name="_Toc22115152"/>
      <w:bookmarkStart w:id="133" w:name="_Toc5005"/>
      <w:bookmarkStart w:id="134" w:name="_Toc6409"/>
      <w:bookmarkStart w:id="135" w:name="_Toc8363"/>
      <w:bookmarkStart w:id="136" w:name="_Toc31738"/>
      <w:bookmarkStart w:id="137" w:name="_Toc5110"/>
      <w:bookmarkStart w:id="138" w:name="_Toc11108"/>
      <w:bookmarkStart w:id="139" w:name="_Toc32526"/>
      <w:bookmarkStart w:id="140" w:name="_Toc2739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506AE6" w:rsidRDefault="0072598A">
      <w:pPr>
        <w:rPr>
          <w:rFonts w:ascii="黑体" w:eastAsia="黑体"/>
        </w:rPr>
      </w:pPr>
      <w:r>
        <w:rPr>
          <w:rFonts w:ascii="黑体" w:eastAsia="黑体" w:hint="eastAsia"/>
        </w:rPr>
        <w:t>水泥熟料生产企业</w:t>
      </w:r>
      <w:r>
        <w:rPr>
          <w:rFonts w:ascii="黑体" w:eastAsia="黑体"/>
        </w:rPr>
        <w:t xml:space="preserve"> cement clinker production enterprise</w:t>
      </w:r>
    </w:p>
    <w:p w:rsidR="00506AE6" w:rsidRDefault="0072598A">
      <w:r>
        <w:t>以</w:t>
      </w:r>
      <w:r>
        <w:rPr>
          <w:rFonts w:hint="eastAsia"/>
        </w:rPr>
        <w:t>水泥熟料</w:t>
      </w:r>
      <w:r>
        <w:t>生产为主营业务的独立核算单位。</w:t>
      </w:r>
    </w:p>
    <w:p w:rsidR="00506AE6" w:rsidRDefault="00506AE6">
      <w:pPr>
        <w:pStyle w:val="a4"/>
        <w:tabs>
          <w:tab w:val="center" w:pos="4338"/>
          <w:tab w:val="right" w:pos="8675"/>
        </w:tabs>
        <w:spacing w:before="156" w:after="156" w:line="360" w:lineRule="exact"/>
        <w:ind w:left="420" w:hangingChars="200" w:hanging="420"/>
        <w:outlineLvl w:val="9"/>
        <w:rPr>
          <w:bCs/>
        </w:rPr>
      </w:pPr>
    </w:p>
    <w:p w:rsidR="00506AE6" w:rsidRDefault="0072598A">
      <w:pPr>
        <w:rPr>
          <w:rFonts w:ascii="黑体" w:eastAsia="黑体"/>
        </w:rPr>
      </w:pPr>
      <w:r>
        <w:rPr>
          <w:rFonts w:ascii="黑体" w:eastAsia="黑体" w:hint="eastAsia"/>
        </w:rPr>
        <w:t>熟料生产</w:t>
      </w:r>
      <w:r>
        <w:rPr>
          <w:rFonts w:ascii="黑体" w:eastAsia="黑体"/>
        </w:rPr>
        <w:t xml:space="preserve"> clinker production</w:t>
      </w:r>
    </w:p>
    <w:p w:rsidR="00506AE6" w:rsidRDefault="0072598A">
      <w:r>
        <w:rPr>
          <w:rFonts w:hint="eastAsia"/>
        </w:rPr>
        <w:t>主要包括生料磨、煤磨、水泥窑等生产设施</w:t>
      </w:r>
      <w:r>
        <w:t>的集合。</w:t>
      </w:r>
    </w:p>
    <w:p w:rsidR="00506AE6" w:rsidRDefault="00506AE6">
      <w:pPr>
        <w:pStyle w:val="a4"/>
        <w:spacing w:before="156" w:after="156" w:line="360" w:lineRule="exact"/>
        <w:ind w:left="0"/>
        <w:outlineLvl w:val="9"/>
        <w:rPr>
          <w:rFonts w:ascii="Times New Roman"/>
        </w:rPr>
      </w:pPr>
    </w:p>
    <w:p w:rsidR="00506AE6" w:rsidRDefault="0072598A">
      <w:pPr>
        <w:rPr>
          <w:rFonts w:ascii="黑体" w:eastAsia="黑体" w:hAnsi="黑体" w:cs="黑体"/>
        </w:rPr>
      </w:pPr>
      <w:r>
        <w:rPr>
          <w:rFonts w:ascii="黑体" w:eastAsia="黑体" w:hint="eastAsia"/>
        </w:rPr>
        <w:t>化石燃料燃烧排放</w:t>
      </w:r>
      <w:r>
        <w:rPr>
          <w:rFonts w:ascii="黑体" w:eastAsia="黑体"/>
        </w:rPr>
        <w:t xml:space="preserve"> </w:t>
      </w:r>
      <w:r>
        <w:rPr>
          <w:rFonts w:ascii="黑体" w:eastAsia="黑体" w:hAnsi="黑体" w:cs="黑体" w:hint="eastAsia"/>
        </w:rPr>
        <w:t>emission from fossil fuel combustion</w:t>
      </w:r>
    </w:p>
    <w:p w:rsidR="00506AE6" w:rsidRDefault="0072598A">
      <w:pPr>
        <w:pStyle w:val="affa"/>
        <w:tabs>
          <w:tab w:val="clear" w:pos="-420"/>
          <w:tab w:val="clear" w:pos="0"/>
        </w:tabs>
        <w:spacing w:line="360" w:lineRule="exact"/>
      </w:pPr>
      <w:r>
        <w:rPr>
          <w:rFonts w:hint="eastAsia"/>
        </w:rPr>
        <w:t>化石</w:t>
      </w:r>
      <w:r>
        <w:t>燃料</w:t>
      </w:r>
      <w:r>
        <w:rPr>
          <w:rFonts w:hint="eastAsia"/>
        </w:rPr>
        <w:t>在氧化</w:t>
      </w:r>
      <w:r>
        <w:t>燃烧</w:t>
      </w:r>
      <w:r>
        <w:rPr>
          <w:rFonts w:hint="eastAsia"/>
        </w:rPr>
        <w:t>过程</w:t>
      </w:r>
      <w:r>
        <w:t>中产生的</w:t>
      </w:r>
      <w:r>
        <w:rPr>
          <w:rFonts w:hint="eastAsia"/>
        </w:rPr>
        <w:t>二氧化碳排放。</w:t>
      </w:r>
    </w:p>
    <w:p w:rsidR="00506AE6" w:rsidRDefault="00506AE6">
      <w:pPr>
        <w:pStyle w:val="a4"/>
        <w:spacing w:before="156" w:after="156" w:line="360" w:lineRule="exact"/>
        <w:ind w:left="0"/>
        <w:outlineLvl w:val="9"/>
        <w:rPr>
          <w:rFonts w:ascii="Times New Roman"/>
        </w:rPr>
      </w:pPr>
      <w:bookmarkStart w:id="141" w:name="_Toc13346"/>
      <w:bookmarkStart w:id="142" w:name="_Toc27832"/>
      <w:bookmarkStart w:id="143" w:name="_Toc22114937"/>
      <w:bookmarkStart w:id="144" w:name="_Toc30383"/>
      <w:bookmarkStart w:id="145" w:name="_Toc3606"/>
      <w:bookmarkStart w:id="146" w:name="_Toc24631"/>
      <w:bookmarkStart w:id="147" w:name="_Toc6372"/>
      <w:bookmarkStart w:id="148" w:name="_Toc12813"/>
      <w:bookmarkStart w:id="149" w:name="_Toc7670"/>
      <w:bookmarkStart w:id="150" w:name="_Toc22115154"/>
      <w:bookmarkStart w:id="151" w:name="_Toc1613"/>
      <w:bookmarkEnd w:id="141"/>
      <w:bookmarkEnd w:id="142"/>
      <w:bookmarkEnd w:id="143"/>
      <w:bookmarkEnd w:id="144"/>
      <w:bookmarkEnd w:id="145"/>
      <w:bookmarkEnd w:id="146"/>
      <w:bookmarkEnd w:id="147"/>
      <w:bookmarkEnd w:id="148"/>
      <w:bookmarkEnd w:id="149"/>
      <w:bookmarkEnd w:id="150"/>
      <w:bookmarkEnd w:id="151"/>
    </w:p>
    <w:p w:rsidR="00506AE6" w:rsidRDefault="0072598A">
      <w:pPr>
        <w:rPr>
          <w:rFonts w:ascii="黑体" w:eastAsia="黑体" w:hAnsi="黑体" w:cs="黑体"/>
        </w:rPr>
      </w:pPr>
      <w:r>
        <w:rPr>
          <w:rFonts w:ascii="黑体" w:eastAsia="黑体" w:hint="eastAsia"/>
        </w:rPr>
        <w:t>过程排放</w:t>
      </w:r>
      <w:r>
        <w:rPr>
          <w:rFonts w:ascii="黑体" w:eastAsia="黑体" w:hint="eastAsia"/>
        </w:rPr>
        <w:t xml:space="preserve"> </w:t>
      </w:r>
      <w:r>
        <w:rPr>
          <w:rFonts w:ascii="黑体" w:eastAsia="黑体" w:hAnsi="黑体" w:cs="黑体" w:hint="eastAsia"/>
        </w:rPr>
        <w:t>process emission</w:t>
      </w:r>
    </w:p>
    <w:p w:rsidR="00506AE6" w:rsidRDefault="0072598A">
      <w:pPr>
        <w:pStyle w:val="affa"/>
        <w:tabs>
          <w:tab w:val="clear" w:pos="-420"/>
          <w:tab w:val="clear" w:pos="0"/>
        </w:tabs>
        <w:spacing w:line="360" w:lineRule="exact"/>
      </w:pPr>
      <w:bookmarkStart w:id="152" w:name="_Toc27402"/>
      <w:bookmarkStart w:id="153" w:name="_Toc31381"/>
      <w:bookmarkStart w:id="154" w:name="_Toc22115155"/>
      <w:bookmarkStart w:id="155" w:name="_Toc29215"/>
      <w:bookmarkStart w:id="156" w:name="_Toc15520"/>
      <w:bookmarkStart w:id="157" w:name="_Toc27092"/>
      <w:bookmarkStart w:id="158" w:name="_Toc14257"/>
      <w:bookmarkStart w:id="159" w:name="_Toc8435"/>
      <w:bookmarkStart w:id="160" w:name="_Toc19707"/>
      <w:bookmarkStart w:id="161" w:name="_Toc22114938"/>
      <w:bookmarkStart w:id="162" w:name="_Toc13973"/>
      <w:bookmarkStart w:id="163" w:name="_Hlk144304558"/>
      <w:bookmarkEnd w:id="152"/>
      <w:bookmarkEnd w:id="153"/>
      <w:bookmarkEnd w:id="154"/>
      <w:bookmarkEnd w:id="155"/>
      <w:bookmarkEnd w:id="156"/>
      <w:bookmarkEnd w:id="157"/>
      <w:bookmarkEnd w:id="158"/>
      <w:bookmarkEnd w:id="159"/>
      <w:bookmarkEnd w:id="160"/>
      <w:bookmarkEnd w:id="161"/>
      <w:bookmarkEnd w:id="162"/>
      <w:r>
        <w:rPr>
          <w:rFonts w:hAnsi="宋体" w:hint="eastAsia"/>
          <w:bCs/>
        </w:rPr>
        <w:t>在生产、废弃物处理处置等过程中除燃料燃烧之外的物理或化学变化造成的温室气体排放</w:t>
      </w:r>
      <w:r>
        <w:rPr>
          <w:rFonts w:hint="eastAsia"/>
        </w:rPr>
        <w:t>。</w:t>
      </w:r>
    </w:p>
    <w:p w:rsidR="00506AE6" w:rsidRDefault="0072598A">
      <w:pPr>
        <w:pStyle w:val="affa"/>
        <w:tabs>
          <w:tab w:val="clear" w:pos="-420"/>
          <w:tab w:val="clear" w:pos="0"/>
        </w:tabs>
        <w:spacing w:line="360" w:lineRule="exact"/>
        <w:ind w:firstLine="360"/>
        <w:rPr>
          <w:rFonts w:ascii="宋体" w:hAnsi="宋体" w:cs="宋体"/>
          <w:sz w:val="18"/>
          <w:szCs w:val="18"/>
        </w:rPr>
      </w:pPr>
      <w:r>
        <w:rPr>
          <w:rFonts w:ascii="黑体" w:eastAsia="黑体" w:hAnsi="黑体" w:cs="黑体" w:hint="eastAsia"/>
          <w:sz w:val="18"/>
          <w:szCs w:val="18"/>
        </w:rPr>
        <w:t>注：</w:t>
      </w:r>
      <w:r>
        <w:rPr>
          <w:rFonts w:ascii="宋体" w:hAnsi="宋体" w:cs="宋体" w:hint="eastAsia"/>
          <w:sz w:val="18"/>
          <w:szCs w:val="18"/>
        </w:rPr>
        <w:t>本文件的过程排放指碳酸盐分解产生的二氧化碳排放。</w:t>
      </w:r>
    </w:p>
    <w:bookmarkEnd w:id="163"/>
    <w:p w:rsidR="00506AE6" w:rsidRDefault="00506AE6">
      <w:pPr>
        <w:pStyle w:val="a4"/>
        <w:spacing w:before="156" w:after="156" w:line="360" w:lineRule="exact"/>
        <w:ind w:left="0"/>
        <w:outlineLvl w:val="9"/>
        <w:rPr>
          <w:rFonts w:ascii="Times New Roman"/>
        </w:rPr>
      </w:pPr>
    </w:p>
    <w:p w:rsidR="00506AE6" w:rsidRDefault="0072598A">
      <w:pPr>
        <w:rPr>
          <w:rFonts w:ascii="黑体" w:eastAsia="黑体" w:hAnsi="黑体" w:cs="黑体"/>
        </w:rPr>
      </w:pPr>
      <w:r>
        <w:rPr>
          <w:rFonts w:ascii="黑体" w:eastAsia="黑体" w:hint="eastAsia"/>
        </w:rPr>
        <w:t>消耗</w:t>
      </w:r>
      <w:r>
        <w:rPr>
          <w:rFonts w:eastAsia="黑体"/>
        </w:rPr>
        <w:t>电力</w:t>
      </w:r>
      <w:r>
        <w:rPr>
          <w:rFonts w:eastAsia="黑体" w:hint="eastAsia"/>
        </w:rPr>
        <w:t>产生的</w:t>
      </w:r>
      <w:r>
        <w:rPr>
          <w:rFonts w:eastAsia="黑体"/>
        </w:rPr>
        <w:t>排放</w:t>
      </w:r>
      <w:r>
        <w:rPr>
          <w:rFonts w:eastAsia="黑体"/>
        </w:rPr>
        <w:t xml:space="preserve"> </w:t>
      </w:r>
      <w:r>
        <w:rPr>
          <w:rFonts w:ascii="黑体" w:eastAsia="黑体" w:hAnsi="黑体" w:cs="黑体" w:hint="eastAsia"/>
        </w:rPr>
        <w:t>emission from consumed electricity</w:t>
      </w:r>
    </w:p>
    <w:p w:rsidR="00506AE6" w:rsidRDefault="0072598A">
      <w:pPr>
        <w:pStyle w:val="affa"/>
        <w:tabs>
          <w:tab w:val="clear" w:pos="-420"/>
          <w:tab w:val="clear" w:pos="0"/>
        </w:tabs>
        <w:spacing w:line="360" w:lineRule="exact"/>
      </w:pPr>
      <w:r>
        <w:rPr>
          <w:rFonts w:hint="eastAsia"/>
        </w:rPr>
        <w:t>水</w:t>
      </w:r>
      <w:r>
        <w:rPr>
          <w:rFonts w:hint="eastAsia"/>
        </w:rPr>
        <w:t>泥熟料生产消耗电量所对应产生的二氧化碳排放。</w:t>
      </w:r>
    </w:p>
    <w:p w:rsidR="00506AE6" w:rsidRDefault="00506AE6">
      <w:pPr>
        <w:pStyle w:val="a4"/>
        <w:spacing w:before="156" w:after="156" w:line="360" w:lineRule="exact"/>
        <w:ind w:left="0"/>
        <w:outlineLvl w:val="9"/>
        <w:rPr>
          <w:rFonts w:ascii="Times New Roman"/>
        </w:rPr>
      </w:pPr>
    </w:p>
    <w:p w:rsidR="00506AE6" w:rsidRDefault="0072598A">
      <w:pPr>
        <w:rPr>
          <w:rFonts w:ascii="黑体" w:eastAsia="黑体" w:hAnsi="黑体" w:cs="黑体"/>
        </w:rPr>
      </w:pPr>
      <w:bookmarkStart w:id="164" w:name="_Hlk148462710"/>
      <w:r>
        <w:rPr>
          <w:rFonts w:ascii="黑体" w:eastAsia="黑体" w:hint="eastAsia"/>
        </w:rPr>
        <w:t>净购入使用电力产生的排放</w:t>
      </w:r>
      <w:bookmarkEnd w:id="164"/>
      <w:r>
        <w:rPr>
          <w:rFonts w:eastAsia="黑体"/>
        </w:rPr>
        <w:t xml:space="preserve"> </w:t>
      </w:r>
      <w:r>
        <w:rPr>
          <w:rFonts w:ascii="黑体" w:eastAsia="黑体" w:hAnsi="黑体" w:cs="黑体" w:hint="eastAsia"/>
        </w:rPr>
        <w:t>emission from net purchased electricity</w:t>
      </w:r>
    </w:p>
    <w:p w:rsidR="00506AE6" w:rsidRDefault="0072598A">
      <w:pPr>
        <w:pStyle w:val="affa"/>
        <w:tabs>
          <w:tab w:val="clear" w:pos="-420"/>
          <w:tab w:val="clear" w:pos="0"/>
        </w:tabs>
        <w:spacing w:line="360" w:lineRule="exact"/>
      </w:pPr>
      <w:r>
        <w:rPr>
          <w:rFonts w:hint="eastAsia"/>
        </w:rPr>
        <w:t>企业净购入使用电量所对应产生的二氧化碳排放。</w:t>
      </w:r>
    </w:p>
    <w:p w:rsidR="00506AE6" w:rsidRDefault="00506AE6">
      <w:pPr>
        <w:pStyle w:val="a4"/>
        <w:spacing w:before="156" w:after="156" w:line="360" w:lineRule="exact"/>
        <w:ind w:left="0"/>
        <w:outlineLvl w:val="9"/>
        <w:rPr>
          <w:rFonts w:ascii="Times New Roman"/>
        </w:rPr>
      </w:pPr>
    </w:p>
    <w:p w:rsidR="00506AE6" w:rsidRDefault="0072598A">
      <w:pPr>
        <w:rPr>
          <w:rFonts w:ascii="黑体" w:eastAsia="黑体" w:hAnsi="黑体" w:cs="黑体"/>
        </w:rPr>
      </w:pPr>
      <w:bookmarkStart w:id="165" w:name="_Hlk148462718"/>
      <w:r>
        <w:rPr>
          <w:rFonts w:ascii="黑体" w:eastAsia="黑体" w:hint="eastAsia"/>
        </w:rPr>
        <w:t>净购入使用热力产生的排</w:t>
      </w:r>
      <w:r>
        <w:rPr>
          <w:rFonts w:eastAsia="黑体"/>
        </w:rPr>
        <w:t>放</w:t>
      </w:r>
      <w:bookmarkEnd w:id="165"/>
      <w:r>
        <w:rPr>
          <w:rFonts w:eastAsia="黑体"/>
        </w:rPr>
        <w:t xml:space="preserve"> </w:t>
      </w:r>
      <w:r>
        <w:rPr>
          <w:rFonts w:ascii="黑体" w:eastAsia="黑体" w:hAnsi="黑体" w:cs="黑体" w:hint="eastAsia"/>
        </w:rPr>
        <w:t>emission from net purchased heat</w:t>
      </w:r>
    </w:p>
    <w:p w:rsidR="00506AE6" w:rsidRDefault="0072598A">
      <w:pPr>
        <w:pStyle w:val="affa"/>
        <w:tabs>
          <w:tab w:val="clear" w:pos="-420"/>
          <w:tab w:val="clear" w:pos="0"/>
        </w:tabs>
        <w:spacing w:line="360" w:lineRule="exact"/>
      </w:pPr>
      <w:r>
        <w:rPr>
          <w:rFonts w:hint="eastAsia"/>
        </w:rPr>
        <w:t>企业净购入使用热量所对应产生的二氧化碳排放。</w:t>
      </w:r>
    </w:p>
    <w:p w:rsidR="00506AE6" w:rsidRDefault="00506AE6">
      <w:pPr>
        <w:pStyle w:val="a4"/>
        <w:spacing w:before="156" w:after="156" w:line="360" w:lineRule="exact"/>
        <w:ind w:left="0"/>
        <w:outlineLvl w:val="9"/>
        <w:rPr>
          <w:rFonts w:ascii="Times New Roman"/>
        </w:rPr>
      </w:pPr>
      <w:bookmarkStart w:id="166" w:name="_Toc32650"/>
      <w:bookmarkStart w:id="167" w:name="_Toc14271"/>
      <w:bookmarkStart w:id="168" w:name="_Toc22115156"/>
      <w:bookmarkStart w:id="169" w:name="_Toc18329"/>
      <w:bookmarkStart w:id="170" w:name="_Toc24653"/>
      <w:bookmarkStart w:id="171" w:name="_Toc6198"/>
      <w:bookmarkStart w:id="172" w:name="_Toc13291"/>
      <w:bookmarkStart w:id="173" w:name="_Toc1586"/>
      <w:bookmarkStart w:id="174" w:name="_Toc25390"/>
      <w:bookmarkStart w:id="175" w:name="_Toc10126"/>
      <w:bookmarkStart w:id="176" w:name="_Toc28744"/>
      <w:bookmarkStart w:id="177" w:name="_Toc22114940"/>
      <w:bookmarkStart w:id="178" w:name="_Toc7068"/>
      <w:bookmarkStart w:id="179" w:name="_Toc22114939"/>
      <w:bookmarkStart w:id="180" w:name="_Toc22989"/>
      <w:bookmarkStart w:id="181" w:name="_Toc20352"/>
      <w:bookmarkStart w:id="182" w:name="_Toc25276"/>
      <w:bookmarkStart w:id="183" w:name="_Toc29865"/>
      <w:bookmarkStart w:id="184" w:name="_Toc22115157"/>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506AE6" w:rsidRDefault="0072598A">
      <w:pPr>
        <w:rPr>
          <w:rFonts w:ascii="黑体" w:eastAsia="黑体" w:hAnsi="黑体" w:cs="黑体"/>
        </w:rPr>
      </w:pPr>
      <w:r>
        <w:rPr>
          <w:rFonts w:ascii="黑体" w:eastAsia="黑体" w:hint="eastAsia"/>
        </w:rPr>
        <w:t>活动数据</w:t>
      </w:r>
      <w:r>
        <w:rPr>
          <w:rFonts w:ascii="黑体" w:eastAsia="黑体"/>
        </w:rPr>
        <w:t xml:space="preserve"> </w:t>
      </w:r>
      <w:r>
        <w:rPr>
          <w:rFonts w:ascii="黑体" w:eastAsia="黑体" w:hAnsi="黑体" w:cs="黑体" w:hint="eastAsia"/>
        </w:rPr>
        <w:t>activity data</w:t>
      </w:r>
    </w:p>
    <w:p w:rsidR="00506AE6" w:rsidRDefault="0072598A">
      <w:pPr>
        <w:jc w:val="left"/>
        <w:rPr>
          <w:rFonts w:eastAsia="黑体"/>
          <w:kern w:val="0"/>
          <w:sz w:val="18"/>
          <w:szCs w:val="18"/>
        </w:rPr>
      </w:pPr>
      <w:r>
        <w:rPr>
          <w:rFonts w:hint="eastAsia"/>
        </w:rPr>
        <w:t>导致温室气体排放的生产或消费活动量的表征值</w:t>
      </w:r>
      <w:r>
        <w:rPr>
          <w:rFonts w:eastAsia="黑体" w:hint="eastAsia"/>
          <w:kern w:val="0"/>
          <w:sz w:val="18"/>
          <w:szCs w:val="18"/>
        </w:rPr>
        <w:t>。</w:t>
      </w:r>
    </w:p>
    <w:p w:rsidR="00506AE6" w:rsidRDefault="0072598A">
      <w:pPr>
        <w:ind w:firstLine="360"/>
        <w:jc w:val="left"/>
        <w:rPr>
          <w:bCs/>
          <w:sz w:val="18"/>
          <w:szCs w:val="18"/>
        </w:rPr>
      </w:pPr>
      <w:r>
        <w:rPr>
          <w:rFonts w:eastAsia="黑体" w:hint="eastAsia"/>
          <w:kern w:val="0"/>
          <w:sz w:val="18"/>
          <w:szCs w:val="18"/>
        </w:rPr>
        <w:t>注：</w:t>
      </w:r>
      <w:r>
        <w:rPr>
          <w:rFonts w:ascii="宋体" w:hAnsi="宋体" w:cs="宋体" w:hint="eastAsia"/>
          <w:kern w:val="0"/>
          <w:sz w:val="18"/>
          <w:szCs w:val="18"/>
        </w:rPr>
        <w:t>例如各种化石燃料消耗量、净购入使用电量、净购入使用热量</w:t>
      </w:r>
      <w:r>
        <w:rPr>
          <w:rFonts w:hint="eastAsia"/>
          <w:bCs/>
          <w:sz w:val="18"/>
          <w:szCs w:val="18"/>
        </w:rPr>
        <w:t>等。</w:t>
      </w:r>
    </w:p>
    <w:p w:rsidR="00506AE6" w:rsidRDefault="00506AE6">
      <w:pPr>
        <w:pStyle w:val="a4"/>
        <w:spacing w:before="156" w:after="156" w:line="360" w:lineRule="exact"/>
        <w:ind w:left="0"/>
        <w:outlineLvl w:val="9"/>
        <w:rPr>
          <w:rFonts w:ascii="Times New Roman"/>
        </w:rPr>
      </w:pPr>
      <w:bookmarkStart w:id="185" w:name="_Toc8695"/>
      <w:bookmarkStart w:id="186" w:name="_Toc4496"/>
      <w:bookmarkStart w:id="187" w:name="_Toc22115158"/>
      <w:bookmarkStart w:id="188" w:name="_Toc26535"/>
      <w:bookmarkStart w:id="189" w:name="_Toc17612"/>
      <w:bookmarkStart w:id="190" w:name="_Toc3009"/>
      <w:bookmarkStart w:id="191" w:name="_Toc9698"/>
      <w:bookmarkStart w:id="192" w:name="_Toc31663"/>
      <w:bookmarkStart w:id="193" w:name="_Toc22114941"/>
      <w:bookmarkStart w:id="194" w:name="_Toc31187"/>
      <w:bookmarkStart w:id="195" w:name="_Toc5910"/>
      <w:bookmarkEnd w:id="185"/>
      <w:bookmarkEnd w:id="186"/>
      <w:bookmarkEnd w:id="187"/>
      <w:bookmarkEnd w:id="188"/>
      <w:bookmarkEnd w:id="189"/>
      <w:bookmarkEnd w:id="190"/>
      <w:bookmarkEnd w:id="191"/>
      <w:bookmarkEnd w:id="192"/>
      <w:bookmarkEnd w:id="193"/>
      <w:bookmarkEnd w:id="194"/>
      <w:bookmarkEnd w:id="195"/>
    </w:p>
    <w:p w:rsidR="00506AE6" w:rsidRDefault="0072598A">
      <w:pPr>
        <w:rPr>
          <w:rFonts w:ascii="黑体" w:eastAsia="黑体" w:hAnsi="黑体" w:cs="黑体"/>
        </w:rPr>
      </w:pPr>
      <w:r>
        <w:rPr>
          <w:rFonts w:ascii="黑体" w:eastAsia="黑体" w:hint="eastAsia"/>
        </w:rPr>
        <w:t>排放因子</w:t>
      </w:r>
      <w:r>
        <w:rPr>
          <w:rFonts w:ascii="黑体" w:eastAsia="黑体"/>
        </w:rPr>
        <w:t xml:space="preserve"> </w:t>
      </w:r>
      <w:r>
        <w:rPr>
          <w:rFonts w:ascii="黑体" w:eastAsia="黑体" w:hAnsi="黑体" w:cs="黑体" w:hint="eastAsia"/>
        </w:rPr>
        <w:t>emission factor</w:t>
      </w:r>
    </w:p>
    <w:p w:rsidR="00506AE6" w:rsidRDefault="0072598A">
      <w:pPr>
        <w:widowControl/>
        <w:jc w:val="left"/>
      </w:pPr>
      <w:r>
        <w:rPr>
          <w:rFonts w:hint="eastAsia"/>
        </w:rPr>
        <w:t>表征</w:t>
      </w:r>
      <w:r>
        <w:t>单位</w:t>
      </w:r>
      <w:r>
        <w:rPr>
          <w:rFonts w:hint="eastAsia"/>
        </w:rPr>
        <w:t>生产或消费活动量的温室气体排放系数。</w:t>
      </w:r>
    </w:p>
    <w:p w:rsidR="00506AE6" w:rsidRDefault="0072598A">
      <w:pPr>
        <w:ind w:firstLine="360"/>
        <w:jc w:val="left"/>
        <w:rPr>
          <w:bCs/>
          <w:sz w:val="18"/>
          <w:szCs w:val="18"/>
        </w:rPr>
      </w:pPr>
      <w:r>
        <w:rPr>
          <w:rFonts w:eastAsia="黑体" w:hint="eastAsia"/>
          <w:kern w:val="0"/>
          <w:sz w:val="18"/>
          <w:szCs w:val="18"/>
        </w:rPr>
        <w:t>注：</w:t>
      </w:r>
      <w:bookmarkStart w:id="196" w:name="_Hlk141083107"/>
      <w:r>
        <w:rPr>
          <w:rFonts w:hint="eastAsia"/>
          <w:bCs/>
          <w:sz w:val="18"/>
          <w:szCs w:val="18"/>
        </w:rPr>
        <w:t>例如每单位化石燃料燃烧所产生的二氧化碳排放量、每单位净购入使用电量所对应的二氧化碳排放量、每单位净购入使用热量所对应的二氧化碳排放量等。</w:t>
      </w:r>
      <w:bookmarkEnd w:id="196"/>
    </w:p>
    <w:p w:rsidR="00506AE6" w:rsidRDefault="00506AE6">
      <w:pPr>
        <w:pStyle w:val="a4"/>
        <w:spacing w:before="156" w:after="156" w:line="360" w:lineRule="exact"/>
        <w:ind w:left="0"/>
        <w:outlineLvl w:val="9"/>
        <w:rPr>
          <w:rFonts w:ascii="Times New Roman"/>
        </w:rPr>
      </w:pPr>
    </w:p>
    <w:p w:rsidR="00506AE6" w:rsidRDefault="0072598A">
      <w:pPr>
        <w:rPr>
          <w:rFonts w:ascii="黑体" w:eastAsia="黑体" w:hAnsi="黑体" w:cs="黑体"/>
        </w:rPr>
      </w:pPr>
      <w:r>
        <w:rPr>
          <w:rFonts w:ascii="黑体" w:eastAsia="黑体" w:hint="eastAsia"/>
        </w:rPr>
        <w:t>低位发热量</w:t>
      </w:r>
      <w:r>
        <w:rPr>
          <w:rFonts w:ascii="黑体" w:eastAsia="黑体" w:hAnsi="黑体" w:cs="黑体" w:hint="eastAsia"/>
        </w:rPr>
        <w:t xml:space="preserve"> net calorific value</w:t>
      </w:r>
    </w:p>
    <w:p w:rsidR="00506AE6" w:rsidRDefault="0072598A">
      <w:pPr>
        <w:widowControl/>
        <w:jc w:val="left"/>
      </w:pPr>
      <w:r>
        <w:rPr>
          <w:rFonts w:hint="eastAsia"/>
        </w:rPr>
        <w:t>燃料完全燃烧，其燃烧产物中的水蒸汽以气态存在时的发热量，也称低位热值。</w:t>
      </w:r>
    </w:p>
    <w:p w:rsidR="00506AE6" w:rsidRDefault="00506AE6">
      <w:pPr>
        <w:pStyle w:val="a4"/>
        <w:spacing w:before="156" w:after="156" w:line="360" w:lineRule="exact"/>
        <w:ind w:left="0"/>
        <w:outlineLvl w:val="9"/>
        <w:rPr>
          <w:rFonts w:ascii="Times New Roman"/>
        </w:rPr>
      </w:pPr>
      <w:bookmarkStart w:id="197" w:name="_Toc7753"/>
      <w:bookmarkStart w:id="198" w:name="_Toc9396"/>
      <w:bookmarkStart w:id="199" w:name="_Toc27972"/>
      <w:bookmarkStart w:id="200" w:name="_Toc25018"/>
      <w:bookmarkStart w:id="201" w:name="_Toc22906"/>
      <w:bookmarkStart w:id="202" w:name="_Toc22114942"/>
      <w:bookmarkStart w:id="203" w:name="_Toc9631"/>
      <w:bookmarkStart w:id="204" w:name="_Toc22115159"/>
      <w:bookmarkStart w:id="205" w:name="_Toc30321"/>
      <w:bookmarkStart w:id="206" w:name="_Toc278"/>
      <w:bookmarkStart w:id="207" w:name="_Toc22046"/>
      <w:bookmarkEnd w:id="197"/>
      <w:bookmarkEnd w:id="198"/>
      <w:bookmarkEnd w:id="199"/>
      <w:bookmarkEnd w:id="200"/>
      <w:bookmarkEnd w:id="201"/>
      <w:bookmarkEnd w:id="202"/>
      <w:bookmarkEnd w:id="203"/>
      <w:bookmarkEnd w:id="204"/>
      <w:bookmarkEnd w:id="205"/>
      <w:bookmarkEnd w:id="206"/>
      <w:bookmarkEnd w:id="207"/>
    </w:p>
    <w:p w:rsidR="00506AE6" w:rsidRDefault="0072598A">
      <w:pPr>
        <w:rPr>
          <w:rFonts w:ascii="黑体" w:eastAsia="黑体" w:hAnsi="黑体" w:cs="黑体"/>
        </w:rPr>
      </w:pPr>
      <w:r>
        <w:rPr>
          <w:rFonts w:ascii="黑体" w:eastAsia="黑体" w:hint="eastAsia"/>
        </w:rPr>
        <w:t>碳氧化率</w:t>
      </w:r>
      <w:r>
        <w:rPr>
          <w:rFonts w:ascii="黑体" w:eastAsia="黑体" w:hint="eastAsia"/>
        </w:rPr>
        <w:t xml:space="preserve"> </w:t>
      </w:r>
      <w:r>
        <w:rPr>
          <w:rFonts w:ascii="黑体" w:eastAsia="黑体" w:hAnsi="黑体" w:cs="黑体" w:hint="eastAsia"/>
        </w:rPr>
        <w:t xml:space="preserve">carbon oxidation rate </w:t>
      </w:r>
    </w:p>
    <w:p w:rsidR="00506AE6" w:rsidRDefault="0072598A">
      <w:pPr>
        <w:pStyle w:val="affa"/>
        <w:tabs>
          <w:tab w:val="clear" w:pos="-420"/>
          <w:tab w:val="clear" w:pos="0"/>
        </w:tabs>
        <w:spacing w:line="360" w:lineRule="exact"/>
      </w:pPr>
      <w:r>
        <w:rPr>
          <w:rFonts w:hint="eastAsia"/>
        </w:rPr>
        <w:t>燃料中的碳在燃烧过程中被完全氧化的百分比。</w:t>
      </w:r>
    </w:p>
    <w:p w:rsidR="00506AE6" w:rsidRDefault="00506AE6">
      <w:pPr>
        <w:pStyle w:val="a4"/>
        <w:spacing w:before="156" w:after="156" w:line="360" w:lineRule="exact"/>
        <w:ind w:left="0"/>
        <w:outlineLvl w:val="9"/>
        <w:rPr>
          <w:rFonts w:ascii="Times New Roman"/>
        </w:rPr>
      </w:pPr>
      <w:bookmarkStart w:id="208" w:name="_Toc30957"/>
      <w:bookmarkStart w:id="209" w:name="_Toc3239"/>
      <w:bookmarkStart w:id="210" w:name="_Toc519"/>
      <w:bookmarkStart w:id="211" w:name="_Toc29532"/>
      <w:bookmarkStart w:id="212" w:name="_Toc9190"/>
      <w:bookmarkStart w:id="213" w:name="_Toc15252"/>
      <w:bookmarkStart w:id="214" w:name="_Toc18070"/>
      <w:bookmarkStart w:id="215" w:name="_Toc8375"/>
      <w:bookmarkStart w:id="216" w:name="_Toc21283"/>
      <w:bookmarkStart w:id="217" w:name="_Toc20111"/>
      <w:bookmarkStart w:id="218" w:name="_Toc27463"/>
      <w:bookmarkStart w:id="219" w:name="_Toc25266"/>
      <w:bookmarkStart w:id="220" w:name="_Toc14014"/>
      <w:bookmarkStart w:id="221" w:name="_Toc315"/>
      <w:bookmarkStart w:id="222" w:name="_Toc10266"/>
      <w:bookmarkStart w:id="223" w:name="_Toc24024"/>
      <w:bookmarkStart w:id="224" w:name="_Toc18619"/>
      <w:bookmarkStart w:id="225" w:name="_Toc9951"/>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506AE6" w:rsidRDefault="0072598A">
      <w:pPr>
        <w:rPr>
          <w:rFonts w:ascii="黑体" w:eastAsia="黑体" w:hAnsi="黑体" w:cs="黑体"/>
        </w:rPr>
      </w:pPr>
      <w:r>
        <w:rPr>
          <w:rFonts w:eastAsia="黑体" w:hint="eastAsia"/>
          <w:bCs/>
        </w:rPr>
        <w:t>非碳酸盐</w:t>
      </w:r>
      <w:r>
        <w:rPr>
          <w:rFonts w:ascii="黑体" w:eastAsia="黑体"/>
        </w:rPr>
        <w:t>替代</w:t>
      </w:r>
      <w:r>
        <w:rPr>
          <w:rFonts w:eastAsia="黑体"/>
          <w:bCs/>
        </w:rPr>
        <w:t>原料</w:t>
      </w:r>
      <w:r>
        <w:rPr>
          <w:rFonts w:eastAsia="黑体"/>
          <w:bCs/>
        </w:rPr>
        <w:t xml:space="preserve"> </w:t>
      </w:r>
      <w:r>
        <w:rPr>
          <w:rFonts w:ascii="黑体" w:eastAsia="黑体" w:hAnsi="黑体" w:cs="黑体" w:hint="eastAsia"/>
        </w:rPr>
        <w:t>non-carbonate alternat</w:t>
      </w:r>
      <w:r>
        <w:rPr>
          <w:rFonts w:ascii="黑体" w:eastAsia="黑体" w:hAnsi="黑体" w:cs="黑体" w:hint="eastAsia"/>
        </w:rPr>
        <w:t>ive raw material</w:t>
      </w:r>
    </w:p>
    <w:p w:rsidR="00506AE6" w:rsidRDefault="0072598A">
      <w:pPr>
        <w:rPr>
          <w:szCs w:val="21"/>
        </w:rPr>
      </w:pPr>
      <w:bookmarkStart w:id="226" w:name="_Hlk141083180"/>
      <w:r>
        <w:rPr>
          <w:rFonts w:hint="eastAsia"/>
          <w:szCs w:val="21"/>
        </w:rPr>
        <w:t>在熟料生产中使用可显著减少过程排放的替代天然碳酸盐矿石原料的非碳酸盐废物，主要为工业废渣、经过高温煅烧的废渣或明确不含碳酸钙或碳酸镁的原料。</w:t>
      </w:r>
    </w:p>
    <w:bookmarkEnd w:id="226"/>
    <w:p w:rsidR="00506AE6" w:rsidRDefault="0072598A">
      <w:pPr>
        <w:ind w:firstLine="360"/>
        <w:rPr>
          <w:bCs/>
          <w:sz w:val="18"/>
          <w:szCs w:val="18"/>
        </w:rPr>
      </w:pPr>
      <w:r>
        <w:rPr>
          <w:rFonts w:ascii="黑体" w:eastAsia="黑体" w:hAnsi="黑体" w:hint="eastAsia"/>
          <w:kern w:val="0"/>
          <w:sz w:val="18"/>
          <w:szCs w:val="18"/>
        </w:rPr>
        <w:t>注：</w:t>
      </w:r>
      <w:bookmarkStart w:id="227" w:name="_Hlk148462806"/>
      <w:bookmarkStart w:id="228" w:name="_Hlk141083260"/>
      <w:r>
        <w:rPr>
          <w:rFonts w:hint="eastAsia"/>
          <w:bCs/>
          <w:sz w:val="18"/>
          <w:szCs w:val="18"/>
        </w:rPr>
        <w:t>本文件非碳酸盐替代原料包括</w:t>
      </w:r>
      <w:bookmarkEnd w:id="227"/>
      <w:bookmarkEnd w:id="228"/>
      <w:r>
        <w:rPr>
          <w:rFonts w:hint="eastAsia"/>
          <w:bCs/>
          <w:sz w:val="18"/>
          <w:szCs w:val="18"/>
        </w:rPr>
        <w:t>电石渣</w:t>
      </w:r>
      <w:r>
        <w:rPr>
          <w:rFonts w:hint="eastAsia"/>
          <w:bCs/>
          <w:sz w:val="18"/>
          <w:szCs w:val="18"/>
        </w:rPr>
        <w:t>、</w:t>
      </w:r>
      <w:r>
        <w:rPr>
          <w:rFonts w:hint="eastAsia"/>
          <w:bCs/>
          <w:sz w:val="18"/>
          <w:szCs w:val="18"/>
        </w:rPr>
        <w:t>熟石灰、镁渣、铁合金炉渣</w:t>
      </w:r>
      <w:r>
        <w:rPr>
          <w:rFonts w:hint="eastAsia"/>
          <w:bCs/>
          <w:sz w:val="18"/>
          <w:szCs w:val="18"/>
        </w:rPr>
        <w:t>、</w:t>
      </w:r>
      <w:r>
        <w:rPr>
          <w:rFonts w:hint="eastAsia"/>
          <w:bCs/>
          <w:sz w:val="18"/>
          <w:szCs w:val="18"/>
        </w:rPr>
        <w:t>钢渣、黄磷渣、钒钛渣、氮渣、造纸白泥、飞灰</w:t>
      </w:r>
      <w:r>
        <w:rPr>
          <w:rFonts w:hint="eastAsia"/>
          <w:bCs/>
          <w:sz w:val="18"/>
          <w:szCs w:val="18"/>
        </w:rPr>
        <w:t>、</w:t>
      </w:r>
      <w:r>
        <w:rPr>
          <w:rFonts w:hint="eastAsia"/>
          <w:bCs/>
          <w:sz w:val="18"/>
          <w:szCs w:val="18"/>
        </w:rPr>
        <w:t>脱硫石膏、磷石膏、钛石膏、氟石膏、硼石膏、模型石膏</w:t>
      </w:r>
      <w:r>
        <w:rPr>
          <w:rFonts w:hint="eastAsia"/>
          <w:bCs/>
          <w:sz w:val="18"/>
          <w:szCs w:val="18"/>
        </w:rPr>
        <w:t>、</w:t>
      </w:r>
      <w:r>
        <w:rPr>
          <w:rFonts w:hint="eastAsia"/>
          <w:bCs/>
          <w:sz w:val="18"/>
          <w:szCs w:val="18"/>
        </w:rPr>
        <w:t>硫酸渣、镍渣、锰渣、锌渣、锡渣等。</w:t>
      </w:r>
    </w:p>
    <w:p w:rsidR="00506AE6" w:rsidRDefault="00506AE6">
      <w:pPr>
        <w:pStyle w:val="a4"/>
        <w:spacing w:before="156" w:after="156" w:line="360" w:lineRule="exact"/>
        <w:ind w:left="0"/>
        <w:outlineLvl w:val="9"/>
        <w:rPr>
          <w:rFonts w:ascii="Times New Roman"/>
        </w:rPr>
      </w:pPr>
    </w:p>
    <w:p w:rsidR="00506AE6" w:rsidRDefault="0072598A">
      <w:pPr>
        <w:rPr>
          <w:rFonts w:ascii="黑体" w:eastAsia="黑体" w:hAnsi="黑体" w:cs="黑体"/>
        </w:rPr>
      </w:pPr>
      <w:bookmarkStart w:id="229" w:name="_Hlk148462762"/>
      <w:r>
        <w:rPr>
          <w:rFonts w:eastAsia="黑体" w:hint="eastAsia"/>
          <w:bCs/>
        </w:rPr>
        <w:t>替代</w:t>
      </w:r>
      <w:r>
        <w:rPr>
          <w:rFonts w:ascii="黑体" w:eastAsia="黑体" w:hint="eastAsia"/>
        </w:rPr>
        <w:t>燃料</w:t>
      </w:r>
      <w:bookmarkEnd w:id="229"/>
      <w:r>
        <w:rPr>
          <w:rFonts w:eastAsia="黑体" w:hint="eastAsia"/>
          <w:bCs/>
        </w:rPr>
        <w:t xml:space="preserve"> </w:t>
      </w:r>
      <w:r>
        <w:rPr>
          <w:rFonts w:ascii="黑体" w:eastAsia="黑体" w:hAnsi="黑体" w:cs="黑体" w:hint="eastAsia"/>
        </w:rPr>
        <w:t>alternative fuel</w:t>
      </w:r>
    </w:p>
    <w:p w:rsidR="00506AE6" w:rsidRDefault="0072598A">
      <w:pPr>
        <w:rPr>
          <w:szCs w:val="21"/>
        </w:rPr>
      </w:pPr>
      <w:r>
        <w:rPr>
          <w:rFonts w:hint="eastAsia"/>
          <w:szCs w:val="21"/>
        </w:rPr>
        <w:t>水泥窑熟料生产过程中被用作热源的可燃废物。主要来源为城市固体废物、工业废物及副产物、生物质等，包括废油、废轮胎、废塑料、废溶剂、废皮革、废玻璃钢、炭黑、生活垃圾预处理可燃物、生物质燃料等。煤矸石用作生料配料时作为原料，用作燃料入窑时作为化石燃料。</w:t>
      </w:r>
    </w:p>
    <w:p w:rsidR="00506AE6" w:rsidRDefault="0072598A">
      <w:pPr>
        <w:pStyle w:val="a3"/>
        <w:spacing w:before="312" w:after="312" w:line="360" w:lineRule="exact"/>
        <w:ind w:left="0"/>
        <w:outlineLvl w:val="0"/>
        <w:rPr>
          <w:rFonts w:ascii="Times New Roman"/>
        </w:rPr>
      </w:pPr>
      <w:bookmarkStart w:id="230" w:name="_Toc150369707"/>
      <w:bookmarkStart w:id="231" w:name="_Toc150369708"/>
      <w:bookmarkStart w:id="232" w:name="_Toc150369706"/>
      <w:bookmarkStart w:id="233" w:name="_Toc159419082"/>
      <w:bookmarkStart w:id="234" w:name="_Toc140045472"/>
      <w:bookmarkStart w:id="235" w:name="_Toc146201692"/>
      <w:bookmarkStart w:id="236" w:name="_Toc140003022"/>
      <w:bookmarkStart w:id="237" w:name="_Toc1630979119"/>
      <w:bookmarkEnd w:id="230"/>
      <w:bookmarkEnd w:id="231"/>
      <w:bookmarkEnd w:id="232"/>
      <w:r>
        <w:rPr>
          <w:rFonts w:ascii="Times New Roman" w:hint="eastAsia"/>
        </w:rPr>
        <w:t>工作程序和内容</w:t>
      </w:r>
      <w:bookmarkEnd w:id="233"/>
      <w:bookmarkEnd w:id="234"/>
      <w:bookmarkEnd w:id="235"/>
      <w:bookmarkEnd w:id="236"/>
      <w:bookmarkEnd w:id="237"/>
    </w:p>
    <w:p w:rsidR="00506AE6" w:rsidRDefault="0072598A">
      <w:pPr>
        <w:pStyle w:val="affa"/>
        <w:tabs>
          <w:tab w:val="clear" w:pos="-420"/>
          <w:tab w:val="clear" w:pos="0"/>
        </w:tabs>
        <w:spacing w:line="360" w:lineRule="exact"/>
      </w:pPr>
      <w:bookmarkStart w:id="238" w:name="_Hlk148462933"/>
      <w:r>
        <w:rPr>
          <w:rFonts w:hint="eastAsia"/>
        </w:rPr>
        <w:t>水泥熟料生产企业温室气体排放核算和报告工作内容包括核算边界和排放源确定、数据质量控制方案编制与实施、熟料生产排放核算要求及排放量计算、企业层级排放核算要求及排放</w:t>
      </w:r>
      <w:r>
        <w:rPr>
          <w:rFonts w:hint="eastAsia"/>
        </w:rPr>
        <w:lastRenderedPageBreak/>
        <w:t>量计算、生产数据信息获取、数据质量管理、定期报告和信息公开的相关要求</w:t>
      </w:r>
      <w:bookmarkEnd w:id="238"/>
      <w:r>
        <w:rPr>
          <w:rFonts w:hint="eastAsia"/>
        </w:rPr>
        <w:t>。工作程序见图</w:t>
      </w:r>
      <w:r>
        <w:t>1</w:t>
      </w:r>
      <w:r>
        <w:rPr>
          <w:rFonts w:hint="eastAsia"/>
        </w:rPr>
        <w:t>。</w:t>
      </w:r>
    </w:p>
    <w:p w:rsidR="00506AE6" w:rsidRDefault="0072598A">
      <w:pPr>
        <w:pStyle w:val="affa"/>
        <w:tabs>
          <w:tab w:val="clear" w:pos="-420"/>
          <w:tab w:val="clear" w:pos="0"/>
        </w:tabs>
        <w:autoSpaceDE/>
        <w:autoSpaceDN/>
        <w:ind w:firstLineChars="0" w:firstLine="0"/>
        <w:jc w:val="center"/>
      </w:pPr>
      <w:r>
        <w:rPr>
          <w:noProof/>
        </w:rPr>
        <mc:AlternateContent>
          <mc:Choice Requires="wpg">
            <w:drawing>
              <wp:inline distT="0" distB="0" distL="0" distR="0">
                <wp:extent cx="4340860" cy="3133725"/>
                <wp:effectExtent l="0" t="0" r="21590" b="28575"/>
                <wp:docPr id="1026" name="组合 60"/>
                <wp:cNvGraphicFramePr/>
                <a:graphic xmlns:a="http://schemas.openxmlformats.org/drawingml/2006/main">
                  <a:graphicData uri="http://schemas.microsoft.com/office/word/2010/wordprocessingGroup">
                    <wpg:wgp>
                      <wpg:cNvGrpSpPr/>
                      <wpg:grpSpPr>
                        <a:xfrm>
                          <a:off x="0" y="0"/>
                          <a:ext cx="4340860" cy="3133725"/>
                          <a:chOff x="2528" y="7204"/>
                          <a:chExt cx="6836" cy="4935"/>
                        </a:xfrm>
                      </wpg:grpSpPr>
                      <wps:wsp>
                        <wps:cNvPr id="1" name="圆角矩形 1"/>
                        <wps:cNvSpPr/>
                        <wps:spPr>
                          <a:xfrm>
                            <a:off x="3755" y="8036"/>
                            <a:ext cx="3118" cy="454"/>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数据质量控制方案编制与实施</w:t>
                              </w:r>
                            </w:p>
                            <w:p w:rsidR="00506AE6" w:rsidRDefault="00506AE6">
                              <w:pPr>
                                <w:jc w:val="center"/>
                              </w:pPr>
                            </w:p>
                          </w:txbxContent>
                        </wps:txbx>
                        <wps:bodyPr anchor="ctr" upright="1"/>
                      </wps:wsp>
                      <wps:wsp>
                        <wps:cNvPr id="2" name="圆角矩形 2"/>
                        <wps:cNvSpPr/>
                        <wps:spPr>
                          <a:xfrm>
                            <a:off x="2528" y="9067"/>
                            <a:ext cx="1701" cy="1134"/>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熟料生产</w:t>
                              </w:r>
                              <w:r>
                                <w:rPr>
                                  <w:rFonts w:ascii="宋体"/>
                                  <w:szCs w:val="21"/>
                                </w:rPr>
                                <w:t>排放</w:t>
                              </w:r>
                              <w:r>
                                <w:rPr>
                                  <w:rFonts w:ascii="宋体" w:hint="eastAsia"/>
                                  <w:szCs w:val="21"/>
                                </w:rPr>
                                <w:t>核算要求及排放量计算</w:t>
                              </w:r>
                            </w:p>
                          </w:txbxContent>
                        </wps:txbx>
                        <wps:bodyPr anchor="ctr" upright="1"/>
                      </wps:wsp>
                      <wps:wsp>
                        <wps:cNvPr id="3" name="圆角矩形 3"/>
                        <wps:cNvSpPr/>
                        <wps:spPr>
                          <a:xfrm>
                            <a:off x="4462" y="9067"/>
                            <a:ext cx="1701" cy="1134"/>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506AE6" w:rsidRDefault="0072598A">
                              <w:pPr>
                                <w:adjustRightInd w:val="0"/>
                                <w:snapToGrid w:val="0"/>
                                <w:spacing w:line="240" w:lineRule="auto"/>
                                <w:ind w:firstLineChars="0" w:firstLine="0"/>
                                <w:jc w:val="center"/>
                              </w:pPr>
                              <w:r>
                                <w:rPr>
                                  <w:rFonts w:ascii="宋体" w:hint="eastAsia"/>
                                  <w:szCs w:val="21"/>
                                </w:rPr>
                                <w:t>企业层级</w:t>
                              </w:r>
                              <w:r>
                                <w:rPr>
                                  <w:rFonts w:hint="eastAsia"/>
                                </w:rPr>
                                <w:t>排放</w:t>
                              </w:r>
                              <w:r>
                                <w:rPr>
                                  <w:rFonts w:ascii="宋体" w:hint="eastAsia"/>
                                  <w:szCs w:val="21"/>
                                </w:rPr>
                                <w:t>核算要求及排放量计算</w:t>
                              </w:r>
                            </w:p>
                          </w:txbxContent>
                        </wps:txbx>
                        <wps:bodyPr anchor="ctr" upright="1"/>
                      </wps:wsp>
                      <wps:wsp>
                        <wps:cNvPr id="4" name="圆角矩形 4"/>
                        <wps:cNvSpPr/>
                        <wps:spPr>
                          <a:xfrm>
                            <a:off x="6393" y="9067"/>
                            <a:ext cx="1701" cy="1134"/>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生产数据信息获取</w:t>
                              </w:r>
                            </w:p>
                          </w:txbxContent>
                        </wps:txbx>
                        <wps:bodyPr anchor="ctr" upright="1"/>
                      </wps:wsp>
                      <wps:wsp>
                        <wps:cNvPr id="5" name="圆角矩形 5"/>
                        <wps:cNvSpPr/>
                        <wps:spPr>
                          <a:xfrm>
                            <a:off x="3905" y="10925"/>
                            <a:ext cx="2835" cy="454"/>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定期报告</w:t>
                              </w:r>
                            </w:p>
                          </w:txbxContent>
                        </wps:txbx>
                        <wps:bodyPr anchor="ctr" upright="1"/>
                      </wps:wsp>
                      <wps:wsp>
                        <wps:cNvPr id="6" name="直接箭头连接符 6"/>
                        <wps:cNvCnPr>
                          <a:stCxn id="1" idx="2"/>
                        </wps:cNvCnPr>
                        <wps:spPr>
                          <a:xfrm>
                            <a:off x="5314" y="8490"/>
                            <a:ext cx="0" cy="297"/>
                          </a:xfrm>
                          <a:prstGeom prst="straightConnector1">
                            <a:avLst/>
                          </a:prstGeom>
                          <a:ln w="9525" cap="flat" cmpd="sng">
                            <a:solidFill>
                              <a:srgbClr val="000000"/>
                            </a:solidFill>
                            <a:prstDash val="solid"/>
                            <a:round/>
                            <a:headEnd type="none" w="med" len="med"/>
                            <a:tailEnd type="triangle" w="med" len="med"/>
                          </a:ln>
                        </wps:spPr>
                        <wps:bodyPr/>
                      </wps:wsp>
                      <wps:wsp>
                        <wps:cNvPr id="7" name="直接箭头连接符 7"/>
                        <wps:cNvCnPr>
                          <a:endCxn id="2" idx="0"/>
                        </wps:cNvCnPr>
                        <wps:spPr>
                          <a:xfrm flipH="1">
                            <a:off x="3379" y="8799"/>
                            <a:ext cx="0" cy="268"/>
                          </a:xfrm>
                          <a:prstGeom prst="straightConnector1">
                            <a:avLst/>
                          </a:prstGeom>
                          <a:ln w="9525" cap="flat" cmpd="sng">
                            <a:solidFill>
                              <a:srgbClr val="000000"/>
                            </a:solidFill>
                            <a:prstDash val="solid"/>
                            <a:round/>
                            <a:headEnd type="none" w="med" len="med"/>
                            <a:tailEnd type="triangle" w="med" len="med"/>
                          </a:ln>
                        </wps:spPr>
                        <wps:bodyPr/>
                      </wps:wsp>
                      <wps:wsp>
                        <wps:cNvPr id="8" name="直接箭头连接符 8"/>
                        <wps:cNvCnPr>
                          <a:endCxn id="4" idx="0"/>
                        </wps:cNvCnPr>
                        <wps:spPr>
                          <a:xfrm flipH="1">
                            <a:off x="7244" y="8799"/>
                            <a:ext cx="0" cy="268"/>
                          </a:xfrm>
                          <a:prstGeom prst="straightConnector1">
                            <a:avLst/>
                          </a:prstGeom>
                          <a:ln w="9525" cap="flat" cmpd="sng">
                            <a:solidFill>
                              <a:srgbClr val="000000"/>
                            </a:solidFill>
                            <a:prstDash val="solid"/>
                            <a:round/>
                            <a:headEnd type="none" w="med" len="med"/>
                            <a:tailEnd type="triangle" w="med" len="med"/>
                          </a:ln>
                        </wps:spPr>
                        <wps:bodyPr/>
                      </wps:wsp>
                      <wps:wsp>
                        <wps:cNvPr id="9" name="直接箭头连接符 9"/>
                        <wps:cNvCnPr>
                          <a:stCxn id="1" idx="2"/>
                          <a:endCxn id="3" idx="0"/>
                        </wps:cNvCnPr>
                        <wps:spPr>
                          <a:xfrm flipH="1">
                            <a:off x="5313" y="8490"/>
                            <a:ext cx="1" cy="577"/>
                          </a:xfrm>
                          <a:prstGeom prst="straightConnector1">
                            <a:avLst/>
                          </a:prstGeom>
                          <a:ln w="9525" cap="flat" cmpd="sng">
                            <a:solidFill>
                              <a:srgbClr val="000000"/>
                            </a:solidFill>
                            <a:prstDash val="solid"/>
                            <a:round/>
                            <a:headEnd type="none" w="med" len="med"/>
                            <a:tailEnd type="triangle" w="med" len="med"/>
                          </a:ln>
                        </wps:spPr>
                        <wps:bodyPr/>
                      </wps:wsp>
                      <wps:wsp>
                        <wps:cNvPr id="10" name="直接箭头连接符 10"/>
                        <wps:cNvCnPr>
                          <a:stCxn id="20" idx="2"/>
                          <a:endCxn id="1" idx="0"/>
                        </wps:cNvCnPr>
                        <wps:spPr>
                          <a:xfrm>
                            <a:off x="5314" y="7714"/>
                            <a:ext cx="0" cy="322"/>
                          </a:xfrm>
                          <a:prstGeom prst="straightConnector1">
                            <a:avLst/>
                          </a:prstGeom>
                          <a:ln w="9525" cap="flat" cmpd="sng">
                            <a:solidFill>
                              <a:srgbClr val="000000"/>
                            </a:solidFill>
                            <a:prstDash val="solid"/>
                            <a:round/>
                            <a:headEnd type="none" w="med" len="med"/>
                            <a:tailEnd type="triangle" w="med" len="med"/>
                          </a:ln>
                        </wps:spPr>
                        <wps:bodyPr/>
                      </wps:wsp>
                      <wps:wsp>
                        <wps:cNvPr id="11" name="圆角矩形 11"/>
                        <wps:cNvSpPr/>
                        <wps:spPr>
                          <a:xfrm>
                            <a:off x="8797" y="8490"/>
                            <a:ext cx="567" cy="2098"/>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数据质量管理</w:t>
                              </w:r>
                            </w:p>
                          </w:txbxContent>
                        </wps:txbx>
                        <wps:bodyPr anchor="ctr" upright="1"/>
                      </wps:wsp>
                      <wps:wsp>
                        <wps:cNvPr id="12" name="直接连接符 12"/>
                        <wps:cNvCnPr/>
                        <wps:spPr>
                          <a:xfrm>
                            <a:off x="3379" y="8799"/>
                            <a:ext cx="3865" cy="0"/>
                          </a:xfrm>
                          <a:prstGeom prst="line">
                            <a:avLst/>
                          </a:prstGeom>
                          <a:ln w="9525" cap="flat" cmpd="sng">
                            <a:solidFill>
                              <a:srgbClr val="000000"/>
                            </a:solidFill>
                            <a:prstDash val="solid"/>
                            <a:round/>
                            <a:headEnd type="none" w="med" len="med"/>
                            <a:tailEnd type="none" w="med" len="med"/>
                          </a:ln>
                        </wps:spPr>
                        <wps:bodyPr/>
                      </wps:wsp>
                      <wps:wsp>
                        <wps:cNvPr id="13" name="直接连接符 13"/>
                        <wps:cNvCnPr>
                          <a:stCxn id="20" idx="3"/>
                        </wps:cNvCnPr>
                        <wps:spPr>
                          <a:xfrm>
                            <a:off x="6873" y="7459"/>
                            <a:ext cx="2208" cy="0"/>
                          </a:xfrm>
                          <a:prstGeom prst="line">
                            <a:avLst/>
                          </a:prstGeom>
                          <a:ln w="9525" cap="flat" cmpd="sng">
                            <a:solidFill>
                              <a:srgbClr val="000000"/>
                            </a:solidFill>
                            <a:prstDash val="solid"/>
                            <a:round/>
                            <a:headEnd type="none" w="med" len="med"/>
                            <a:tailEnd type="none" w="med" len="med"/>
                          </a:ln>
                        </wps:spPr>
                        <wps:bodyPr/>
                      </wps:wsp>
                      <wps:wsp>
                        <wps:cNvPr id="14" name="直接连接符 14"/>
                        <wps:cNvCnPr>
                          <a:stCxn id="22" idx="3"/>
                        </wps:cNvCnPr>
                        <wps:spPr>
                          <a:xfrm>
                            <a:off x="6740" y="11912"/>
                            <a:ext cx="2341" cy="0"/>
                          </a:xfrm>
                          <a:prstGeom prst="line">
                            <a:avLst/>
                          </a:prstGeom>
                          <a:ln w="9525" cap="flat" cmpd="sng">
                            <a:solidFill>
                              <a:srgbClr val="000000"/>
                            </a:solidFill>
                            <a:prstDash val="solid"/>
                            <a:round/>
                            <a:headEnd type="none" w="med" len="med"/>
                            <a:tailEnd type="none" w="med" len="med"/>
                          </a:ln>
                        </wps:spPr>
                        <wps:bodyPr/>
                      </wps:wsp>
                      <wps:wsp>
                        <wps:cNvPr id="15" name="直接连接符 15"/>
                        <wps:cNvCnPr>
                          <a:endCxn id="11" idx="0"/>
                        </wps:cNvCnPr>
                        <wps:spPr>
                          <a:xfrm flipH="1">
                            <a:off x="9081" y="7459"/>
                            <a:ext cx="0" cy="1031"/>
                          </a:xfrm>
                          <a:prstGeom prst="line">
                            <a:avLst/>
                          </a:prstGeom>
                          <a:ln w="9525" cap="flat" cmpd="sng">
                            <a:solidFill>
                              <a:srgbClr val="000000"/>
                            </a:solidFill>
                            <a:prstDash val="solid"/>
                            <a:round/>
                            <a:headEnd type="none" w="med" len="med"/>
                            <a:tailEnd type="none" w="med" len="med"/>
                          </a:ln>
                        </wps:spPr>
                        <wps:bodyPr/>
                      </wps:wsp>
                      <wps:wsp>
                        <wps:cNvPr id="16" name="直接连接符 16"/>
                        <wps:cNvCnPr>
                          <a:stCxn id="11" idx="2"/>
                        </wps:cNvCnPr>
                        <wps:spPr>
                          <a:xfrm>
                            <a:off x="9081" y="10588"/>
                            <a:ext cx="0" cy="1324"/>
                          </a:xfrm>
                          <a:prstGeom prst="line">
                            <a:avLst/>
                          </a:prstGeom>
                          <a:ln w="9525" cap="flat" cmpd="sng">
                            <a:solidFill>
                              <a:srgbClr val="000000"/>
                            </a:solidFill>
                            <a:prstDash val="solid"/>
                            <a:round/>
                            <a:headEnd type="none" w="med" len="med"/>
                            <a:tailEnd type="none" w="med" len="med"/>
                          </a:ln>
                        </wps:spPr>
                        <wps:bodyPr/>
                      </wps:wsp>
                      <wps:wsp>
                        <wps:cNvPr id="18" name="直接连接符 18"/>
                        <wps:cNvCnPr/>
                        <wps:spPr>
                          <a:xfrm>
                            <a:off x="3379" y="10533"/>
                            <a:ext cx="3865" cy="0"/>
                          </a:xfrm>
                          <a:prstGeom prst="line">
                            <a:avLst/>
                          </a:prstGeom>
                          <a:ln w="9525" cap="flat" cmpd="sng">
                            <a:solidFill>
                              <a:srgbClr val="000000"/>
                            </a:solidFill>
                            <a:prstDash val="solid"/>
                            <a:round/>
                            <a:headEnd type="none" w="med" len="med"/>
                            <a:tailEnd type="none" w="med" len="med"/>
                          </a:ln>
                        </wps:spPr>
                        <wps:bodyPr/>
                      </wps:wsp>
                      <wps:wsp>
                        <wps:cNvPr id="19" name="直接连接符 19"/>
                        <wps:cNvCnPr>
                          <a:stCxn id="4" idx="2"/>
                        </wps:cNvCnPr>
                        <wps:spPr>
                          <a:xfrm>
                            <a:off x="7244" y="10201"/>
                            <a:ext cx="0" cy="332"/>
                          </a:xfrm>
                          <a:prstGeom prst="line">
                            <a:avLst/>
                          </a:prstGeom>
                          <a:ln w="9525" cap="flat" cmpd="sng">
                            <a:solidFill>
                              <a:srgbClr val="000000"/>
                            </a:solidFill>
                            <a:prstDash val="solid"/>
                            <a:round/>
                            <a:headEnd type="none" w="med" len="med"/>
                            <a:tailEnd type="none" w="med" len="med"/>
                          </a:ln>
                        </wps:spPr>
                        <wps:bodyPr/>
                      </wps:wsp>
                      <wps:wsp>
                        <wps:cNvPr id="20" name="圆角矩形 20"/>
                        <wps:cNvSpPr/>
                        <wps:spPr>
                          <a:xfrm>
                            <a:off x="3755" y="7204"/>
                            <a:ext cx="3118" cy="51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核算边界和排放源确定</w:t>
                              </w:r>
                            </w:p>
                            <w:p w:rsidR="00506AE6" w:rsidRDefault="00506AE6">
                              <w:pPr>
                                <w:jc w:val="center"/>
                              </w:pPr>
                            </w:p>
                          </w:txbxContent>
                        </wps:txbx>
                        <wps:bodyPr anchor="ctr" upright="1"/>
                      </wps:wsp>
                      <wps:wsp>
                        <wps:cNvPr id="21" name="直接箭头连接符 21"/>
                        <wps:cNvCnPr>
                          <a:stCxn id="3" idx="2"/>
                          <a:endCxn id="5" idx="0"/>
                        </wps:cNvCnPr>
                        <wps:spPr>
                          <a:xfrm>
                            <a:off x="5313" y="10201"/>
                            <a:ext cx="10" cy="724"/>
                          </a:xfrm>
                          <a:prstGeom prst="straightConnector1">
                            <a:avLst/>
                          </a:prstGeom>
                          <a:ln w="9525" cap="flat" cmpd="sng">
                            <a:solidFill>
                              <a:srgbClr val="000000"/>
                            </a:solidFill>
                            <a:prstDash val="solid"/>
                            <a:round/>
                            <a:headEnd type="none" w="med" len="med"/>
                            <a:tailEnd type="triangle" w="med" len="med"/>
                          </a:ln>
                        </wps:spPr>
                        <wps:bodyPr/>
                      </wps:wsp>
                      <wps:wsp>
                        <wps:cNvPr id="22" name="圆角矩形 22"/>
                        <wps:cNvSpPr/>
                        <wps:spPr>
                          <a:xfrm>
                            <a:off x="3905" y="11685"/>
                            <a:ext cx="2835" cy="454"/>
                          </a:xfrm>
                          <a:prstGeom prst="roundRect">
                            <a:avLst>
                              <a:gd name="adj" fmla="val 16667"/>
                            </a:avLst>
                          </a:prstGeom>
                          <a:solidFill>
                            <a:srgbClr val="FFFFFF"/>
                          </a:solidFill>
                          <a:ln w="9525" cap="flat" cmpd="sng">
                            <a:solidFill>
                              <a:srgbClr val="000000"/>
                            </a:solidFill>
                            <a:prstDash val="solid"/>
                            <a:round/>
                            <a:headEnd type="none" w="med" len="med"/>
                            <a:tailEnd type="none" w="med" len="med"/>
                          </a:ln>
                        </wps:spPr>
                        <wps:txb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信息公开</w:t>
                              </w:r>
                            </w:p>
                          </w:txbxContent>
                        </wps:txbx>
                        <wps:bodyPr anchor="ctr" upright="1"/>
                      </wps:wsp>
                      <wps:wsp>
                        <wps:cNvPr id="23" name="直接箭头连接符 23"/>
                        <wps:cNvCnPr>
                          <a:stCxn id="5" idx="2"/>
                          <a:endCxn id="22" idx="0"/>
                        </wps:cNvCnPr>
                        <wps:spPr>
                          <a:xfrm>
                            <a:off x="5323" y="11379"/>
                            <a:ext cx="0" cy="306"/>
                          </a:xfrm>
                          <a:prstGeom prst="straightConnector1">
                            <a:avLst/>
                          </a:prstGeom>
                          <a:ln w="9525" cap="flat" cmpd="sng">
                            <a:solidFill>
                              <a:srgbClr val="000000"/>
                            </a:solidFill>
                            <a:prstDash val="solid"/>
                            <a:round/>
                            <a:headEnd type="none" w="med" len="med"/>
                            <a:tailEnd type="triangle" w="med" len="med"/>
                          </a:ln>
                        </wps:spPr>
                        <wps:bodyPr/>
                      </wps:wsp>
                      <wps:wsp>
                        <wps:cNvPr id="24" name="直接连接符 24"/>
                        <wps:cNvCnPr>
                          <a:endCxn id="2" idx="2"/>
                        </wps:cNvCnPr>
                        <wps:spPr>
                          <a:xfrm flipH="1" flipV="1">
                            <a:off x="3379" y="10201"/>
                            <a:ext cx="0" cy="332"/>
                          </a:xfrm>
                          <a:prstGeom prst="line">
                            <a:avLst/>
                          </a:prstGeom>
                          <a:ln w="9525" cap="flat" cmpd="sng">
                            <a:solidFill>
                              <a:srgbClr val="000000"/>
                            </a:solidFill>
                            <a:prstDash val="solid"/>
                            <a:round/>
                            <a:headEnd type="none" w="med" len="med"/>
                            <a:tailEnd type="none" w="med" len="med"/>
                          </a:ln>
                        </wps:spPr>
                        <wps:bodyPr/>
                      </wps:wsp>
                    </wpg:wgp>
                  </a:graphicData>
                </a:graphic>
              </wp:inline>
            </w:drawing>
          </mc:Choice>
          <mc:Fallback>
            <w:pict>
              <v:group id="组合 60" o:spid="_x0000_s1026" style="width:341.8pt;height:246.75pt;mso-position-horizontal-relative:char;mso-position-vertical-relative:line" coordorigin="2528,7204" coordsize="6836,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">
                <v:roundrect id="圆角矩形 1" o:spid="_x0000_s1027" style="position:absolute;left:3755;top:8036;width:3118;height: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wMEA&#10;AADaAAAADwAAAGRycy9kb3ducmV2LnhtbERP22oCMRB9F/yHMAVfRLNqqboapSiCUPvg5QOGzbi7&#10;dDPZJlG3/XojCD4Nh3Od+bIxlbiS86VlBYN+AoI4s7rkXMHpuOlNQPiArLGyTAr+yMNy0W7NMdX2&#10;xnu6HkIuYgj7FBUUIdSplD4ryKDv25o4cmfrDIYIXS61w1sMN5UcJsmHNFhybCiwplVB2c/hYhTk&#10;378jHh9HX9P3Oji5s5f/1bqrVOet+ZyBCNSEl/jp3uo4Hx6vPK5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28cDBAAAA2gAAAA8AAAAAAAAAAAAAAAAAmAIAAGRycy9kb3du&#10;cmV2LnhtbFBLBQYAAAAABAAEAPUAAACGAwAAAAA=&#10;">
                  <v:textbo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数据质量控制方案编制与实施</w:t>
                        </w:r>
                      </w:p>
                      <w:p w:rsidR="00506AE6" w:rsidRDefault="00506AE6">
                        <w:pPr>
                          <w:jc w:val="center"/>
                        </w:pPr>
                      </w:p>
                    </w:txbxContent>
                  </v:textbox>
                </v:roundrect>
                <v:roundrect id="圆角矩形 2" o:spid="_x0000_s1028" style="position:absolute;left:2528;top:9067;width:1701;height:1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vt8QA&#10;AADaAAAADwAAAGRycy9kb3ducmV2LnhtbESP0WrCQBRE3wv+w3ILvhTdqKXVmI0URShoHxr9gEv2&#10;moRm76a7q8Z+vVso9HGYmTNMtupNKy7kfGNZwWScgCAurW64UnA8bEdzED4ga2wtk4IbeVjlg4cM&#10;U22v/EmXIlQiQtinqKAOoUul9GVNBv3YdsTRO1lnMETpKqkdXiPctHKaJC/SYMNxocaO1jWVX8XZ&#10;KKg+vmf8epjtFs9dcHJvzz/rzZNSw8f+bQkiUB/+w3/td61gCr9X4g2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kb7fEAAAA2gAAAA8AAAAAAAAAAAAAAAAAmAIAAGRycy9k&#10;b3ducmV2LnhtbFBLBQYAAAAABAAEAPUAAACJAwAAAAA=&#10;">
                  <v:textbo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熟料生产</w:t>
                        </w:r>
                        <w:r>
                          <w:rPr>
                            <w:rFonts w:ascii="宋体"/>
                            <w:szCs w:val="21"/>
                          </w:rPr>
                          <w:t>排放</w:t>
                        </w:r>
                        <w:r>
                          <w:rPr>
                            <w:rFonts w:ascii="宋体" w:hint="eastAsia"/>
                            <w:szCs w:val="21"/>
                          </w:rPr>
                          <w:t>核算要求及排放量计算</w:t>
                        </w:r>
                      </w:p>
                    </w:txbxContent>
                  </v:textbox>
                </v:roundrect>
                <v:roundrect id="圆角矩形 3" o:spid="_x0000_s1029" style="position:absolute;left:4462;top:9067;width:1701;height:1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KLMQA&#10;AADaAAAADwAAAGRycy9kb3ducmV2LnhtbESP0WoCMRRE3wv+Q7iCL6VmdcXW1SiiCELbB7UfcNlc&#10;dxc3N2sSdfXrG6HQx2FmzjCzRWtqcSXnK8sKBv0EBHFudcWFgp/D5u0DhA/IGmvLpOBOHhbzzssM&#10;M21vvKPrPhQiQthnqKAMocmk9HlJBn3fNsTRO1pnMETpCqkd3iLc1HKYJGNpsOK4UGJDq5Ly0/5i&#10;FBTf55TfD+nnZNQEJ7/s5bFavyrV67bLKYhAbfgP/7W3WkEKzyvxBs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yizEAAAA2gAAAA8AAAAAAAAAAAAAAAAAmAIAAGRycy9k&#10;b3ducmV2LnhtbFBLBQYAAAAABAAEAPUAAACJAwAAAAA=&#10;">
                  <v:textbox>
                    <w:txbxContent>
                      <w:p w:rsidR="00506AE6" w:rsidRDefault="0072598A">
                        <w:pPr>
                          <w:adjustRightInd w:val="0"/>
                          <w:snapToGrid w:val="0"/>
                          <w:spacing w:line="240" w:lineRule="auto"/>
                          <w:ind w:firstLineChars="0" w:firstLine="0"/>
                          <w:jc w:val="center"/>
                        </w:pPr>
                        <w:r>
                          <w:rPr>
                            <w:rFonts w:ascii="宋体" w:hint="eastAsia"/>
                            <w:szCs w:val="21"/>
                          </w:rPr>
                          <w:t>企业层级</w:t>
                        </w:r>
                        <w:r>
                          <w:rPr>
                            <w:rFonts w:hint="eastAsia"/>
                          </w:rPr>
                          <w:t>排放</w:t>
                        </w:r>
                        <w:r>
                          <w:rPr>
                            <w:rFonts w:ascii="宋体" w:hint="eastAsia"/>
                            <w:szCs w:val="21"/>
                          </w:rPr>
                          <w:t>核算要求及排放量计算</w:t>
                        </w:r>
                      </w:p>
                    </w:txbxContent>
                  </v:textbox>
                </v:roundrect>
                <v:roundrect id="圆角矩形 4" o:spid="_x0000_s1030" style="position:absolute;left:6393;top:9067;width:1701;height:1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SWMQA&#10;AADaAAAADwAAAGRycy9kb3ducmV2LnhtbESP3WrCQBSE7wXfYTlCb4rZWKVqzCrFUhBqL/x5gEP2&#10;mASzZ9PdVdM+vVsoeDnMzDdMvupMI67kfG1ZwShJQRAXVtdcKjgePoYzED4ga2wsk4If8rBa9ns5&#10;ZtreeEfXfShFhLDPUEEVQptJ6YuKDPrEtsTRO1lnMETpSqkd3iLcNPIlTV+lwZrjQoUtrSsqzvuL&#10;UVB+fY95ehh/zidtcHJrL7/r92elngbd2wJEoC48wv/tjVYwgb8r8Qb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UljEAAAA2gAAAA8AAAAAAAAAAAAAAAAAmAIAAGRycy9k&#10;b3ducmV2LnhtbFBLBQYAAAAABAAEAPUAAACJAwAAAAA=&#10;">
                  <v:textbo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生产数据信息获取</w:t>
                        </w:r>
                      </w:p>
                    </w:txbxContent>
                  </v:textbox>
                </v:roundrect>
                <v:roundrect id="圆角矩形 5" o:spid="_x0000_s1031" style="position:absolute;left:3905;top:10925;width:2835;height: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3w8UA&#10;AADaAAAADwAAAGRycy9kb3ducmV2LnhtbESP3WrCQBSE74W+w3IKvSl102prG92IKELBeuHPAxyy&#10;xyQ0ezbubjT69F2h4OUwM98wk2lnanEi5yvLCl77CQji3OqKCwX73fLlE4QPyBpry6TgQh6m2UNv&#10;gqm2Z97QaRsKESHsU1RQhtCkUvq8JIO+bxvi6B2sMxiidIXUDs8Rbmr5liQf0mDFcaHEhuYl5b/b&#10;1igo1scBj3aD1dewCU7+2PY6Xzwr9fTYzcYgAnXhHv5vf2sF73C7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ffDxQAAANoAAAAPAAAAAAAAAAAAAAAAAJgCAABkcnMv&#10;ZG93bnJldi54bWxQSwUGAAAAAAQABAD1AAAAigMAAAAA&#10;">
                  <v:textbo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定期报告</w:t>
                        </w:r>
                      </w:p>
                    </w:txbxContent>
                  </v:textbox>
                </v:roundrect>
                <v:shapetype id="_x0000_t32" coordsize="21600,21600" o:spt="32" o:oned="t" path="m,l21600,21600e" filled="f">
                  <v:path arrowok="t" fillok="f" o:connecttype="none"/>
                  <o:lock v:ext="edit" shapetype="t"/>
                </v:shapetype>
                <v:shape id="直接箭头连接符 6" o:spid="_x0000_s1032" type="#_x0000_t32" style="position:absolute;left:5314;top:8490;width:0;height:2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直接箭头连接符 7" o:spid="_x0000_s1033" type="#_x0000_t32" style="position:absolute;left:3379;top:8799;width:0;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shape id="直接箭头连接符 8" o:spid="_x0000_s1034" type="#_x0000_t32" style="position:absolute;left:7244;top:8799;width:0;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直接箭头连接符 9" o:spid="_x0000_s1035" type="#_x0000_t32" style="position:absolute;left:5313;top:8490;width:1;height:5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直接箭头连接符 10" o:spid="_x0000_s1036" type="#_x0000_t32" style="position:absolute;left:5314;top:7714;width: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roundrect id="圆角矩形 11" o:spid="_x0000_s1037" style="position:absolute;left:8797;top:8490;width:567;height:20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dIMMA&#10;AADbAAAADwAAAGRycy9kb3ducmV2LnhtbERPzWrCQBC+F3yHZYReSt2opbYxGxGLUNAejH2AITsm&#10;wexs3F019undQqG3+fh+J1v0phUXcr6xrGA8SkAQl1Y3XCn43q+f30D4gKyxtUwKbuRhkQ8eMky1&#10;vfKOLkWoRAxhn6KCOoQuldKXNRn0I9sRR+5gncEQoaukdniN4aaVkyR5lQYbjg01drSqqTwWZ6Og&#10;+jpNebafbt5fuuDk1p5/Vh9PSj0O++UcRKA+/Iv/3J86zh/D7y/xA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ZdIMMAAADbAAAADwAAAAAAAAAAAAAAAACYAgAAZHJzL2Rv&#10;d25yZXYueG1sUEsFBgAAAAAEAAQA9QAAAIgDAAAAAA==&#10;">
                  <v:textbo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数据质量管理</w:t>
                        </w:r>
                      </w:p>
                    </w:txbxContent>
                  </v:textbox>
                </v:roundrect>
                <v:line id="直接连接符 12" o:spid="_x0000_s1038" style="position:absolute;visibility:visible;mso-wrap-style:square" from="3379,8799" to="7244,8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直接连接符 13" o:spid="_x0000_s1039" style="position:absolute;visibility:visible;mso-wrap-style:square" from="6873,7459" to="9081,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直接连接符 14" o:spid="_x0000_s1040" style="position:absolute;visibility:visible;mso-wrap-style:square" from="6740,11912" to="9081,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直接连接符 15" o:spid="_x0000_s1041" style="position:absolute;flip:x;visibility:visible;mso-wrap-style:square" from="9081,7459" to="9081,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直接连接符 16" o:spid="_x0000_s1042" style="position:absolute;visibility:visible;mso-wrap-style:square" from="9081,10588" to="9081,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直接连接符 18" o:spid="_x0000_s1043" style="position:absolute;visibility:visible;mso-wrap-style:square" from="3379,10533" to="7244,10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直接连接符 19" o:spid="_x0000_s1044" style="position:absolute;visibility:visible;mso-wrap-style:square" from="7244,10201" to="7244,10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roundrect id="圆角矩形 20" o:spid="_x0000_s1045" style="position:absolute;left:3755;top:7204;width:3118;height:5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yBsMA&#10;AADbAAAADwAAAGRycy9kb3ducmV2LnhtbERP3WrCMBS+H/gO4QjejJmuDueqUaQiCNsu/HmAQ3PW&#10;FpuTLklrt6c3F4Ndfnz/q81gGtGT87VlBc/TBARxYXXNpYLLef+0AOEDssbGMin4IQ+b9ehhhZm2&#10;Nz5SfwqliCHsM1RQhdBmUvqiIoN+alviyH1ZZzBE6EqpHd5iuGlkmiRzabDm2FBhS3lFxfXUGQXl&#10;5/eMX8+z97eXNjj5YbvffPeo1GQ8bJcgAg3hX/znPmgFaVwfv8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YyBsMAAADbAAAADwAAAAAAAAAAAAAAAACYAgAAZHJzL2Rv&#10;d25yZXYueG1sUEsFBgAAAAAEAAQA9QAAAIgDAAAAAA==&#10;">
                  <v:textbo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核算边界和排放源确定</w:t>
                        </w:r>
                      </w:p>
                      <w:p w:rsidR="00506AE6" w:rsidRDefault="00506AE6">
                        <w:pPr>
                          <w:jc w:val="center"/>
                        </w:pPr>
                      </w:p>
                    </w:txbxContent>
                  </v:textbox>
                </v:roundrect>
                <v:shape id="直接箭头连接符 21" o:spid="_x0000_s1046" type="#_x0000_t32" style="position:absolute;left:5313;top:10201;width:10;height:7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roundrect id="圆角矩形 22" o:spid="_x0000_s1047" style="position:absolute;left:3905;top:11685;width:2835;height: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J6sQA&#10;AADbAAAADwAAAGRycy9kb3ducmV2LnhtbESP3YrCMBSE7xd8h3CEvRFNrbI/1SjiIgjrXqz6AIfm&#10;2Babk5pErT79RhD2cpiZb5jpvDW1uJDzlWUFw0ECgji3uuJCwX636n+A8AFZY22ZFNzIw3zWeZli&#10;pu2Vf+myDYWIEPYZKihDaDIpfV6SQT+wDXH0DtYZDFG6QmqH1wg3tUyT5E0arDgulNjQsqT8uD0b&#10;BcXPacTvu9H357gJTm7s+b786in12m0XExCB2vAffrbXWkGawuN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oCerEAAAA2wAAAA8AAAAAAAAAAAAAAAAAmAIAAGRycy9k&#10;b3ducmV2LnhtbFBLBQYAAAAABAAEAPUAAACJAwAAAAA=&#10;">
                  <v:textbox>
                    <w:txbxContent>
                      <w:p w:rsidR="00506AE6" w:rsidRDefault="0072598A">
                        <w:pPr>
                          <w:adjustRightInd w:val="0"/>
                          <w:snapToGrid w:val="0"/>
                          <w:spacing w:line="240" w:lineRule="auto"/>
                          <w:ind w:firstLineChars="0" w:firstLine="0"/>
                          <w:jc w:val="center"/>
                          <w:rPr>
                            <w:rFonts w:ascii="宋体"/>
                            <w:szCs w:val="21"/>
                          </w:rPr>
                        </w:pPr>
                        <w:r>
                          <w:rPr>
                            <w:rFonts w:ascii="宋体" w:hint="eastAsia"/>
                            <w:szCs w:val="21"/>
                          </w:rPr>
                          <w:t>信息公开</w:t>
                        </w:r>
                      </w:p>
                    </w:txbxContent>
                  </v:textbox>
                </v:roundrect>
                <v:shape id="直接箭头连接符 23" o:spid="_x0000_s1048" type="#_x0000_t32" style="position:absolute;left:5323;top:11379;width:0;height:3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line id="直接连接符 24" o:spid="_x0000_s1049" style="position:absolute;flip:x y;visibility:visible;mso-wrap-style:square" from="3379,10201" to="3379,10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MNsMAAADbAAAADwAAAGRycy9kb3ducmV2LnhtbESPT4vCMBTE74LfITxhL7KmVpFSjSKC&#10;y54U/7HXR/Nsi81LabK2u5/eCILHYWZ+wyxWnanEnRpXWlYwHkUgiDOrS84VnE/bzwSE88gaK8uk&#10;4I8crJb93gJTbVs+0P3ocxEg7FJUUHhfp1K6rCCDbmRr4uBdbWPQB9nkUjfYBripZBxFM2mw5LBQ&#10;YE2bgrLb8dcoQN79T5J2TFP5RT8u3u2H68tVqY9Bt56D8NT5d/jV/tYK4i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aTDbDAAAA2wAAAA8AAAAAAAAAAAAA&#10;AAAAoQIAAGRycy9kb3ducmV2LnhtbFBLBQYAAAAABAAEAPkAAACRAwAAAAA=&#10;"/>
                <w10:anchorlock/>
              </v:group>
            </w:pict>
          </mc:Fallback>
        </mc:AlternateContent>
      </w:r>
    </w:p>
    <w:p w:rsidR="00506AE6" w:rsidRDefault="0072598A">
      <w:pPr>
        <w:ind w:firstLineChars="0" w:firstLine="0"/>
        <w:jc w:val="center"/>
        <w:rPr>
          <w:rFonts w:ascii="黑体" w:eastAsia="黑体" w:hAnsi="黑体" w:cs="黑体"/>
          <w:bCs/>
          <w:sz w:val="18"/>
          <w:szCs w:val="18"/>
        </w:rPr>
      </w:pPr>
      <w:r>
        <w:rPr>
          <w:rFonts w:ascii="黑体" w:eastAsia="黑体" w:hAnsi="黑体" w:cs="黑体" w:hint="eastAsia"/>
          <w:bCs/>
          <w:sz w:val="18"/>
          <w:szCs w:val="18"/>
        </w:rPr>
        <w:t>图</w:t>
      </w:r>
      <w:r>
        <w:rPr>
          <w:rFonts w:ascii="黑体" w:eastAsia="黑体" w:hAnsi="黑体" w:cs="黑体"/>
          <w:bCs/>
          <w:sz w:val="18"/>
          <w:szCs w:val="18"/>
        </w:rPr>
        <w:t xml:space="preserve">1 </w:t>
      </w:r>
      <w:r>
        <w:rPr>
          <w:rFonts w:ascii="黑体" w:eastAsia="黑体" w:hAnsi="黑体" w:cs="黑体" w:hint="eastAsia"/>
          <w:bCs/>
          <w:sz w:val="18"/>
          <w:szCs w:val="18"/>
        </w:rPr>
        <w:t>工作程序</w:t>
      </w:r>
    </w:p>
    <w:p w:rsidR="00506AE6" w:rsidRDefault="0072598A">
      <w:pPr>
        <w:pStyle w:val="affa"/>
        <w:numPr>
          <w:ilvl w:val="0"/>
          <w:numId w:val="18"/>
        </w:numPr>
        <w:tabs>
          <w:tab w:val="clear" w:pos="-420"/>
          <w:tab w:val="clear" w:pos="0"/>
          <w:tab w:val="clear" w:pos="4201"/>
          <w:tab w:val="clear" w:pos="9298"/>
        </w:tabs>
        <w:snapToGrid w:val="0"/>
        <w:spacing w:line="360" w:lineRule="exact"/>
        <w:ind w:left="704" w:firstLineChars="0" w:hanging="284"/>
      </w:pPr>
      <w:r>
        <w:rPr>
          <w:rFonts w:hint="eastAsia"/>
        </w:rPr>
        <w:t>核算边界和排放源确定</w:t>
      </w:r>
    </w:p>
    <w:p w:rsidR="00506AE6" w:rsidRDefault="0072598A">
      <w:pPr>
        <w:pStyle w:val="affa"/>
        <w:tabs>
          <w:tab w:val="clear" w:pos="-420"/>
          <w:tab w:val="clear" w:pos="0"/>
        </w:tabs>
        <w:snapToGrid w:val="0"/>
        <w:spacing w:line="360" w:lineRule="exact"/>
      </w:pPr>
      <w:r>
        <w:rPr>
          <w:rFonts w:hint="eastAsia"/>
        </w:rPr>
        <w:t>确定企业核算边界，识别纳入边界的排放设施和排放源。排放报告应包括核算边界所包含的工序、所对应的地理边界、组织单元和生产过程。</w:t>
      </w:r>
    </w:p>
    <w:p w:rsidR="00506AE6" w:rsidRDefault="0072598A">
      <w:pPr>
        <w:pStyle w:val="affa"/>
        <w:numPr>
          <w:ilvl w:val="0"/>
          <w:numId w:val="18"/>
        </w:numPr>
        <w:tabs>
          <w:tab w:val="clear" w:pos="-420"/>
          <w:tab w:val="clear" w:pos="0"/>
          <w:tab w:val="clear" w:pos="4201"/>
          <w:tab w:val="clear" w:pos="9298"/>
        </w:tabs>
        <w:snapToGrid w:val="0"/>
        <w:spacing w:line="360" w:lineRule="exact"/>
        <w:ind w:left="704" w:firstLineChars="0" w:hanging="284"/>
      </w:pPr>
      <w:r>
        <w:rPr>
          <w:rFonts w:hint="eastAsia"/>
        </w:rPr>
        <w:t>数据质量控制方案编制与实施</w:t>
      </w:r>
    </w:p>
    <w:p w:rsidR="00506AE6" w:rsidRDefault="0072598A">
      <w:pPr>
        <w:pStyle w:val="affa"/>
        <w:tabs>
          <w:tab w:val="clear" w:pos="-420"/>
          <w:tab w:val="clear" w:pos="0"/>
        </w:tabs>
        <w:snapToGrid w:val="0"/>
        <w:spacing w:line="360" w:lineRule="exact"/>
      </w:pPr>
      <w:r>
        <w:rPr>
          <w:rFonts w:hint="eastAsia"/>
        </w:rPr>
        <w:t>按照各类数据测量和获取要求编制数据质量控制方案，并按照数据质量控制方案实施温室气体的测量活动。</w:t>
      </w:r>
    </w:p>
    <w:p w:rsidR="00506AE6" w:rsidRDefault="0072598A">
      <w:pPr>
        <w:pStyle w:val="affa"/>
        <w:numPr>
          <w:ilvl w:val="0"/>
          <w:numId w:val="18"/>
        </w:numPr>
        <w:tabs>
          <w:tab w:val="clear" w:pos="-420"/>
          <w:tab w:val="clear" w:pos="0"/>
          <w:tab w:val="clear" w:pos="4201"/>
          <w:tab w:val="clear" w:pos="9298"/>
        </w:tabs>
        <w:snapToGrid w:val="0"/>
        <w:spacing w:line="360" w:lineRule="exact"/>
        <w:ind w:left="704" w:firstLineChars="0" w:hanging="284"/>
      </w:pPr>
      <w:r>
        <w:rPr>
          <w:rFonts w:hint="eastAsia"/>
        </w:rPr>
        <w:t>熟料生产排放核算</w:t>
      </w:r>
    </w:p>
    <w:p w:rsidR="00506AE6" w:rsidRDefault="0072598A">
      <w:pPr>
        <w:widowControl/>
        <w:autoSpaceDE w:val="0"/>
        <w:autoSpaceDN w:val="0"/>
        <w:snapToGrid w:val="0"/>
        <w:rPr>
          <w:kern w:val="0"/>
          <w:szCs w:val="21"/>
        </w:rPr>
      </w:pPr>
      <w:r>
        <w:rPr>
          <w:rFonts w:hint="eastAsia"/>
          <w:kern w:val="0"/>
          <w:szCs w:val="21"/>
        </w:rPr>
        <w:t>收集熟料生产</w:t>
      </w:r>
      <w:r>
        <w:rPr>
          <w:rFonts w:hint="eastAsia"/>
          <w:bCs/>
          <w:szCs w:val="21"/>
        </w:rPr>
        <w:t>化石燃料燃烧排放、过程排放及消耗电力</w:t>
      </w:r>
      <w:r>
        <w:rPr>
          <w:rFonts w:hint="eastAsia"/>
          <w:kern w:val="0"/>
          <w:szCs w:val="21"/>
        </w:rPr>
        <w:t>产生的排放所对应的</w:t>
      </w:r>
      <w:r>
        <w:rPr>
          <w:kern w:val="0"/>
          <w:szCs w:val="21"/>
        </w:rPr>
        <w:t>活动数据</w:t>
      </w:r>
      <w:r>
        <w:rPr>
          <w:rFonts w:hint="eastAsia"/>
          <w:kern w:val="0"/>
          <w:szCs w:val="21"/>
        </w:rPr>
        <w:t>，</w:t>
      </w:r>
      <w:r>
        <w:rPr>
          <w:kern w:val="0"/>
          <w:szCs w:val="21"/>
        </w:rPr>
        <w:t>确定排放因子，计算</w:t>
      </w:r>
      <w:r>
        <w:rPr>
          <w:rFonts w:hint="eastAsia"/>
          <w:kern w:val="0"/>
          <w:szCs w:val="21"/>
        </w:rPr>
        <w:t>各类排放源排放量。</w:t>
      </w:r>
    </w:p>
    <w:p w:rsidR="00506AE6" w:rsidRDefault="0072598A">
      <w:pPr>
        <w:pStyle w:val="affa"/>
        <w:numPr>
          <w:ilvl w:val="0"/>
          <w:numId w:val="18"/>
        </w:numPr>
        <w:tabs>
          <w:tab w:val="clear" w:pos="-420"/>
          <w:tab w:val="clear" w:pos="0"/>
          <w:tab w:val="clear" w:pos="4201"/>
          <w:tab w:val="clear" w:pos="9298"/>
        </w:tabs>
        <w:snapToGrid w:val="0"/>
        <w:spacing w:line="360" w:lineRule="exact"/>
        <w:ind w:left="704" w:firstLineChars="0" w:hanging="284"/>
      </w:pPr>
      <w:r>
        <w:rPr>
          <w:rFonts w:hint="eastAsia"/>
        </w:rPr>
        <w:t>企业层级排放核算</w:t>
      </w:r>
    </w:p>
    <w:p w:rsidR="00506AE6" w:rsidRDefault="0072598A">
      <w:pPr>
        <w:widowControl/>
        <w:autoSpaceDE w:val="0"/>
        <w:autoSpaceDN w:val="0"/>
        <w:snapToGrid w:val="0"/>
        <w:rPr>
          <w:kern w:val="0"/>
          <w:szCs w:val="21"/>
        </w:rPr>
      </w:pPr>
      <w:r>
        <w:rPr>
          <w:kern w:val="0"/>
          <w:szCs w:val="21"/>
        </w:rPr>
        <w:t>收集</w:t>
      </w:r>
      <w:r>
        <w:rPr>
          <w:rFonts w:hint="eastAsia"/>
          <w:kern w:val="0"/>
          <w:szCs w:val="21"/>
        </w:rPr>
        <w:t>企业层级化石燃料燃烧排放、过程排放、净购入使用电力和净购入使用热力产生的排放所对应的</w:t>
      </w:r>
      <w:r>
        <w:rPr>
          <w:kern w:val="0"/>
          <w:szCs w:val="21"/>
        </w:rPr>
        <w:t>活动数据</w:t>
      </w:r>
      <w:r>
        <w:rPr>
          <w:rFonts w:hint="eastAsia"/>
          <w:kern w:val="0"/>
          <w:szCs w:val="21"/>
        </w:rPr>
        <w:t>，</w:t>
      </w:r>
      <w:r>
        <w:rPr>
          <w:kern w:val="0"/>
          <w:szCs w:val="21"/>
        </w:rPr>
        <w:t>确定排放因子，计算</w:t>
      </w:r>
      <w:r>
        <w:rPr>
          <w:rFonts w:hint="eastAsia"/>
          <w:kern w:val="0"/>
          <w:szCs w:val="21"/>
        </w:rPr>
        <w:t>各类排放源排放量</w:t>
      </w:r>
      <w:r>
        <w:rPr>
          <w:kern w:val="0"/>
          <w:szCs w:val="21"/>
        </w:rPr>
        <w:t>。</w:t>
      </w:r>
    </w:p>
    <w:p w:rsidR="00506AE6" w:rsidRDefault="0072598A">
      <w:pPr>
        <w:pStyle w:val="affa"/>
        <w:numPr>
          <w:ilvl w:val="0"/>
          <w:numId w:val="18"/>
        </w:numPr>
        <w:tabs>
          <w:tab w:val="clear" w:pos="-420"/>
          <w:tab w:val="clear" w:pos="0"/>
          <w:tab w:val="clear" w:pos="4201"/>
          <w:tab w:val="clear" w:pos="9298"/>
        </w:tabs>
        <w:snapToGrid w:val="0"/>
        <w:spacing w:line="360" w:lineRule="exact"/>
        <w:ind w:left="704" w:firstLineChars="0" w:hanging="284"/>
      </w:pPr>
      <w:r>
        <w:rPr>
          <w:rFonts w:hint="eastAsia"/>
        </w:rPr>
        <w:t>生产数据信息获取</w:t>
      </w:r>
    </w:p>
    <w:p w:rsidR="00506AE6" w:rsidRDefault="0072598A">
      <w:pPr>
        <w:widowControl/>
        <w:autoSpaceDE w:val="0"/>
        <w:autoSpaceDN w:val="0"/>
        <w:snapToGrid w:val="0"/>
        <w:rPr>
          <w:kern w:val="0"/>
          <w:szCs w:val="21"/>
        </w:rPr>
      </w:pPr>
      <w:r>
        <w:rPr>
          <w:kern w:val="0"/>
          <w:szCs w:val="21"/>
        </w:rPr>
        <w:t>获取</w:t>
      </w:r>
      <w:r>
        <w:rPr>
          <w:rFonts w:hint="eastAsia"/>
          <w:kern w:val="0"/>
          <w:szCs w:val="21"/>
        </w:rPr>
        <w:t>熟料</w:t>
      </w:r>
      <w:r>
        <w:rPr>
          <w:kern w:val="0"/>
          <w:szCs w:val="21"/>
        </w:rPr>
        <w:t>产量</w:t>
      </w:r>
      <w:r>
        <w:rPr>
          <w:rFonts w:hint="eastAsia"/>
          <w:kern w:val="0"/>
          <w:szCs w:val="21"/>
        </w:rPr>
        <w:t>和企业层级产品产量</w:t>
      </w:r>
      <w:r>
        <w:rPr>
          <w:kern w:val="0"/>
          <w:szCs w:val="21"/>
        </w:rPr>
        <w:t>等生产信息和数据。</w:t>
      </w:r>
    </w:p>
    <w:p w:rsidR="00506AE6" w:rsidRDefault="0072598A">
      <w:pPr>
        <w:pStyle w:val="affa"/>
        <w:numPr>
          <w:ilvl w:val="0"/>
          <w:numId w:val="18"/>
        </w:numPr>
        <w:tabs>
          <w:tab w:val="clear" w:pos="-420"/>
          <w:tab w:val="clear" w:pos="0"/>
          <w:tab w:val="clear" w:pos="4201"/>
          <w:tab w:val="clear" w:pos="9298"/>
        </w:tabs>
        <w:snapToGrid w:val="0"/>
        <w:spacing w:line="360" w:lineRule="exact"/>
        <w:ind w:left="704" w:firstLineChars="0" w:hanging="284"/>
      </w:pPr>
      <w:r>
        <w:rPr>
          <w:rFonts w:hint="eastAsia"/>
        </w:rPr>
        <w:t>数据质量管理</w:t>
      </w:r>
    </w:p>
    <w:p w:rsidR="00506AE6" w:rsidRDefault="0072598A">
      <w:pPr>
        <w:pStyle w:val="affa"/>
        <w:tabs>
          <w:tab w:val="clear" w:pos="-420"/>
          <w:tab w:val="clear" w:pos="0"/>
        </w:tabs>
        <w:snapToGrid w:val="0"/>
        <w:spacing w:line="360" w:lineRule="exact"/>
      </w:pPr>
      <w:r>
        <w:rPr>
          <w:rFonts w:hint="eastAsia"/>
        </w:rPr>
        <w:t>明确实施温室气体数据质量管理的一般要求。</w:t>
      </w:r>
    </w:p>
    <w:p w:rsidR="00506AE6" w:rsidRDefault="0072598A">
      <w:pPr>
        <w:pStyle w:val="affa"/>
        <w:numPr>
          <w:ilvl w:val="0"/>
          <w:numId w:val="18"/>
        </w:numPr>
        <w:tabs>
          <w:tab w:val="clear" w:pos="-420"/>
          <w:tab w:val="clear" w:pos="0"/>
          <w:tab w:val="clear" w:pos="4201"/>
          <w:tab w:val="clear" w:pos="9298"/>
        </w:tabs>
        <w:snapToGrid w:val="0"/>
        <w:spacing w:line="360" w:lineRule="exact"/>
        <w:ind w:left="704" w:firstLineChars="0" w:hanging="284"/>
      </w:pPr>
      <w:r>
        <w:rPr>
          <w:rFonts w:hint="eastAsia"/>
        </w:rPr>
        <w:t>定期报告</w:t>
      </w:r>
    </w:p>
    <w:p w:rsidR="00506AE6" w:rsidRDefault="0072598A">
      <w:pPr>
        <w:pStyle w:val="affa"/>
        <w:tabs>
          <w:tab w:val="clear" w:pos="-420"/>
          <w:tab w:val="clear" w:pos="0"/>
        </w:tabs>
        <w:snapToGrid w:val="0"/>
        <w:spacing w:line="360" w:lineRule="exact"/>
      </w:pPr>
      <w:r>
        <w:rPr>
          <w:rFonts w:hint="eastAsia"/>
        </w:rPr>
        <w:t>定期报告温室气体排放数据及相关生产信息，存证必要的支撑材料。</w:t>
      </w:r>
    </w:p>
    <w:p w:rsidR="00506AE6" w:rsidRDefault="0072598A">
      <w:pPr>
        <w:pStyle w:val="affa"/>
        <w:numPr>
          <w:ilvl w:val="0"/>
          <w:numId w:val="18"/>
        </w:numPr>
        <w:tabs>
          <w:tab w:val="clear" w:pos="-420"/>
          <w:tab w:val="clear" w:pos="0"/>
          <w:tab w:val="clear" w:pos="4201"/>
          <w:tab w:val="clear" w:pos="9298"/>
        </w:tabs>
        <w:snapToGrid w:val="0"/>
        <w:spacing w:line="360" w:lineRule="exact"/>
        <w:ind w:left="704" w:firstLineChars="0" w:hanging="284"/>
      </w:pPr>
      <w:r>
        <w:rPr>
          <w:rFonts w:hint="eastAsia"/>
        </w:rPr>
        <w:t>信息公开</w:t>
      </w:r>
    </w:p>
    <w:p w:rsidR="00506AE6" w:rsidRDefault="0072598A">
      <w:pPr>
        <w:pStyle w:val="affa"/>
        <w:tabs>
          <w:tab w:val="clear" w:pos="-420"/>
          <w:tab w:val="clear" w:pos="0"/>
        </w:tabs>
        <w:snapToGrid w:val="0"/>
        <w:spacing w:line="360" w:lineRule="exact"/>
      </w:pPr>
      <w:r>
        <w:rPr>
          <w:rFonts w:hint="eastAsia"/>
        </w:rPr>
        <w:t>定期公开温室气体排放</w:t>
      </w:r>
      <w:r>
        <w:rPr>
          <w:rFonts w:hint="eastAsia"/>
        </w:rPr>
        <w:t>报告相关信息，接受社会监督。</w:t>
      </w:r>
    </w:p>
    <w:p w:rsidR="00506AE6" w:rsidRDefault="0072598A">
      <w:pPr>
        <w:pStyle w:val="a3"/>
        <w:spacing w:before="312" w:after="312" w:line="360" w:lineRule="exact"/>
        <w:ind w:left="0"/>
        <w:outlineLvl w:val="0"/>
        <w:rPr>
          <w:rFonts w:ascii="Times New Roman"/>
        </w:rPr>
      </w:pPr>
      <w:bookmarkStart w:id="239" w:name="_Toc140003023"/>
      <w:bookmarkStart w:id="240" w:name="_Toc140045473"/>
      <w:bookmarkStart w:id="241" w:name="_Toc146201693"/>
      <w:bookmarkStart w:id="242" w:name="_Toc19095"/>
      <w:bookmarkStart w:id="243" w:name="_Toc22115160"/>
      <w:bookmarkStart w:id="244" w:name="_Toc159419083"/>
      <w:bookmarkStart w:id="245" w:name="_Toc1525633632"/>
      <w:r>
        <w:rPr>
          <w:rFonts w:ascii="Times New Roman" w:hint="eastAsia"/>
        </w:rPr>
        <w:lastRenderedPageBreak/>
        <w:t>核算边界和排放源</w:t>
      </w:r>
      <w:bookmarkEnd w:id="239"/>
      <w:bookmarkEnd w:id="240"/>
      <w:bookmarkEnd w:id="241"/>
      <w:bookmarkEnd w:id="242"/>
      <w:bookmarkEnd w:id="243"/>
      <w:r>
        <w:rPr>
          <w:rFonts w:ascii="Times New Roman" w:hint="eastAsia"/>
        </w:rPr>
        <w:t>确定</w:t>
      </w:r>
      <w:bookmarkEnd w:id="244"/>
      <w:bookmarkEnd w:id="245"/>
    </w:p>
    <w:p w:rsidR="00506AE6" w:rsidRDefault="0072598A">
      <w:pPr>
        <w:pStyle w:val="a4"/>
        <w:spacing w:before="156" w:after="156" w:line="360" w:lineRule="exact"/>
        <w:ind w:left="0"/>
        <w:outlineLvl w:val="1"/>
        <w:rPr>
          <w:rFonts w:ascii="Times New Roman"/>
        </w:rPr>
      </w:pPr>
      <w:bookmarkStart w:id="246" w:name="_Toc144282464"/>
      <w:bookmarkStart w:id="247" w:name="_Toc144282463"/>
      <w:r>
        <w:rPr>
          <w:rFonts w:ascii="Times New Roman" w:hint="eastAsia"/>
        </w:rPr>
        <w:t>核算边界</w:t>
      </w:r>
      <w:bookmarkEnd w:id="246"/>
    </w:p>
    <w:p w:rsidR="00506AE6" w:rsidRDefault="0072598A">
      <w:pPr>
        <w:pStyle w:val="a4"/>
        <w:numPr>
          <w:ilvl w:val="2"/>
          <w:numId w:val="1"/>
        </w:numPr>
        <w:spacing w:before="156" w:after="156" w:line="360" w:lineRule="exact"/>
        <w:rPr>
          <w:rFonts w:ascii="Times New Roman"/>
        </w:rPr>
      </w:pPr>
      <w:r>
        <w:rPr>
          <w:rFonts w:ascii="Times New Roman" w:hint="eastAsia"/>
        </w:rPr>
        <w:t>熟料生产</w:t>
      </w:r>
    </w:p>
    <w:p w:rsidR="00506AE6" w:rsidRDefault="0072598A">
      <w:pPr>
        <w:pStyle w:val="affa"/>
        <w:tabs>
          <w:tab w:val="clear" w:pos="-420"/>
          <w:tab w:val="clear" w:pos="0"/>
        </w:tabs>
        <w:spacing w:line="360" w:lineRule="exact"/>
      </w:pPr>
      <w:bookmarkStart w:id="248" w:name="_Hlk148463067"/>
      <w:r>
        <w:rPr>
          <w:rFonts w:hint="eastAsia"/>
        </w:rPr>
        <w:t>熟料生产核算边界为</w:t>
      </w:r>
      <w:bookmarkStart w:id="249" w:name="_Hlk141084727"/>
      <w:r>
        <w:rPr>
          <w:rFonts w:hint="eastAsia"/>
        </w:rPr>
        <w:t>从原燃料进入生产厂区到熟料入库为止</w:t>
      </w:r>
      <w:bookmarkEnd w:id="248"/>
      <w:bookmarkEnd w:id="249"/>
      <w:r>
        <w:rPr>
          <w:rFonts w:hint="eastAsia"/>
        </w:rPr>
        <w:t>，其中：</w:t>
      </w:r>
    </w:p>
    <w:p w:rsidR="00506AE6" w:rsidRDefault="0072598A">
      <w:pPr>
        <w:pStyle w:val="affa"/>
        <w:numPr>
          <w:ilvl w:val="0"/>
          <w:numId w:val="19"/>
        </w:numPr>
        <w:tabs>
          <w:tab w:val="clear" w:pos="-420"/>
          <w:tab w:val="clear" w:pos="0"/>
          <w:tab w:val="clear" w:pos="4201"/>
          <w:tab w:val="clear" w:pos="9298"/>
        </w:tabs>
        <w:spacing w:line="360" w:lineRule="exact"/>
        <w:ind w:left="704" w:firstLineChars="0" w:hanging="284"/>
      </w:pPr>
      <w:bookmarkStart w:id="250" w:name="_Hlk141084768"/>
      <w:r>
        <w:rPr>
          <w:rFonts w:hint="eastAsia"/>
        </w:rPr>
        <w:t>主</w:t>
      </w:r>
      <w:bookmarkStart w:id="251" w:name="_Hlk148463081"/>
      <w:r>
        <w:rPr>
          <w:rFonts w:hint="eastAsia"/>
        </w:rPr>
        <w:t>要生产系统包括用于熟料生产的原料预处理、生料制备、煤粉制备、熟料烧成</w:t>
      </w:r>
      <w:bookmarkEnd w:id="251"/>
      <w:r>
        <w:rPr>
          <w:rFonts w:hint="eastAsia"/>
        </w:rPr>
        <w:t>、余热发电系统，不包括水泥粉磨及其相关原辅料预处理。</w:t>
      </w:r>
    </w:p>
    <w:p w:rsidR="00506AE6" w:rsidRDefault="0072598A">
      <w:pPr>
        <w:pStyle w:val="affa"/>
        <w:numPr>
          <w:ilvl w:val="0"/>
          <w:numId w:val="19"/>
        </w:numPr>
        <w:tabs>
          <w:tab w:val="clear" w:pos="-420"/>
          <w:tab w:val="clear" w:pos="0"/>
          <w:tab w:val="clear" w:pos="4201"/>
          <w:tab w:val="clear" w:pos="9298"/>
        </w:tabs>
        <w:spacing w:line="360" w:lineRule="exact"/>
        <w:ind w:left="704" w:firstLineChars="0" w:hanging="284"/>
      </w:pPr>
      <w:bookmarkStart w:id="252" w:name="_Hlk141084801"/>
      <w:bookmarkEnd w:id="250"/>
      <w:r>
        <w:rPr>
          <w:rFonts w:hint="eastAsia"/>
        </w:rPr>
        <w:t>辅</w:t>
      </w:r>
      <w:bookmarkStart w:id="253" w:name="_Hlk148463090"/>
      <w:r>
        <w:rPr>
          <w:rFonts w:hint="eastAsia"/>
        </w:rPr>
        <w:t>助生产系统包括除尘及脱硫脱硝系统、机修车间、空压机站、化验室、中控室、生产照明等</w:t>
      </w:r>
      <w:bookmarkEnd w:id="253"/>
      <w:r>
        <w:rPr>
          <w:rFonts w:hint="eastAsia"/>
        </w:rPr>
        <w:t>，不包括替代燃料处理和协同处置系统。</w:t>
      </w:r>
    </w:p>
    <w:bookmarkEnd w:id="252"/>
    <w:p w:rsidR="00506AE6" w:rsidRDefault="0072598A">
      <w:pPr>
        <w:pStyle w:val="affa"/>
        <w:numPr>
          <w:ilvl w:val="0"/>
          <w:numId w:val="19"/>
        </w:numPr>
        <w:tabs>
          <w:tab w:val="clear" w:pos="-420"/>
          <w:tab w:val="clear" w:pos="0"/>
          <w:tab w:val="clear" w:pos="4201"/>
          <w:tab w:val="clear" w:pos="9298"/>
        </w:tabs>
        <w:spacing w:line="360" w:lineRule="exact"/>
        <w:ind w:left="704" w:firstLineChars="0" w:hanging="284"/>
      </w:pPr>
      <w:r>
        <w:rPr>
          <w:rFonts w:hint="eastAsia"/>
        </w:rPr>
        <w:t>不包括办公楼、食堂、浴室、绿化、车队、地磅房等附属生产系统。</w:t>
      </w:r>
    </w:p>
    <w:p w:rsidR="00506AE6" w:rsidRDefault="0072598A">
      <w:pPr>
        <w:pStyle w:val="affa"/>
        <w:numPr>
          <w:ilvl w:val="0"/>
          <w:numId w:val="19"/>
        </w:numPr>
        <w:tabs>
          <w:tab w:val="clear" w:pos="-420"/>
          <w:tab w:val="clear" w:pos="0"/>
          <w:tab w:val="clear" w:pos="4201"/>
          <w:tab w:val="clear" w:pos="9298"/>
        </w:tabs>
        <w:spacing w:line="360" w:lineRule="exact"/>
        <w:ind w:left="704" w:firstLineChars="0" w:hanging="284"/>
      </w:pPr>
      <w:r>
        <w:rPr>
          <w:rFonts w:hint="eastAsia"/>
        </w:rPr>
        <w:t>不包括基建、技改等项目。</w:t>
      </w:r>
    </w:p>
    <w:p w:rsidR="00506AE6" w:rsidRDefault="0072598A">
      <w:pPr>
        <w:pStyle w:val="a4"/>
        <w:numPr>
          <w:ilvl w:val="2"/>
          <w:numId w:val="1"/>
        </w:numPr>
        <w:spacing w:before="156" w:after="156" w:line="360" w:lineRule="exact"/>
        <w:rPr>
          <w:rFonts w:ascii="Times New Roman"/>
        </w:rPr>
      </w:pPr>
      <w:r>
        <w:rPr>
          <w:rFonts w:ascii="Times New Roman" w:hint="eastAsia"/>
        </w:rPr>
        <w:t>企业层级</w:t>
      </w:r>
    </w:p>
    <w:p w:rsidR="00506AE6" w:rsidRDefault="0072598A">
      <w:pPr>
        <w:pStyle w:val="affa"/>
        <w:tabs>
          <w:tab w:val="clear" w:pos="-420"/>
          <w:tab w:val="clear" w:pos="0"/>
        </w:tabs>
        <w:spacing w:line="360" w:lineRule="exact"/>
      </w:pPr>
      <w:bookmarkStart w:id="254" w:name="_Hlk148463964"/>
      <w:r>
        <w:rPr>
          <w:rFonts w:hint="eastAsia"/>
        </w:rPr>
        <w:t>企业层级核算是以水泥熟料生产为主营业务的法人或视同法人</w:t>
      </w:r>
      <w:r>
        <w:rPr>
          <w:rFonts w:hint="eastAsia"/>
        </w:rPr>
        <w:t>的独立核算</w:t>
      </w:r>
      <w:r>
        <w:rPr>
          <w:rFonts w:hint="eastAsia"/>
        </w:rPr>
        <w:t>单位为边界，核算和报告边界内所有生产设施产生的温室气体排放</w:t>
      </w:r>
      <w:bookmarkEnd w:id="254"/>
      <w:r>
        <w:rPr>
          <w:rFonts w:hint="eastAsia"/>
        </w:rPr>
        <w:t>。</w:t>
      </w:r>
      <w:bookmarkStart w:id="255" w:name="_Hlk148463979"/>
      <w:r>
        <w:rPr>
          <w:rFonts w:hint="eastAsia"/>
        </w:rPr>
        <w:t>生产设施范围包括主要生产系统、辅助生产系统以及直接为生产服务的附属生产系统</w:t>
      </w:r>
      <w:bookmarkEnd w:id="255"/>
      <w:r>
        <w:rPr>
          <w:rFonts w:hint="eastAsia"/>
        </w:rPr>
        <w:t>。</w:t>
      </w:r>
    </w:p>
    <w:p w:rsidR="00506AE6" w:rsidRDefault="0072598A">
      <w:pPr>
        <w:pStyle w:val="affa"/>
        <w:tabs>
          <w:tab w:val="clear" w:pos="-420"/>
          <w:tab w:val="clear" w:pos="0"/>
        </w:tabs>
        <w:spacing w:line="360" w:lineRule="exact"/>
      </w:pPr>
      <w:r>
        <w:rPr>
          <w:rFonts w:hint="eastAsia"/>
        </w:rPr>
        <w:t>如果水泥熟料生产企业还生产其他产品，与企业层级核算边界合并核算和报告。水泥熟料生产企业存在未纳入全国碳排放权交易市场的发电设施的，按照本文件要求一并核算与报告其温室气体排放</w:t>
      </w:r>
      <w:r>
        <w:rPr>
          <w:rFonts w:hint="eastAsia"/>
        </w:rPr>
        <w:t>量</w:t>
      </w:r>
      <w:r>
        <w:rPr>
          <w:rFonts w:hint="eastAsia"/>
        </w:rPr>
        <w:t>。企业存在纳入全国碳排放权交易市场发电设施的，应直接引用其经核查的</w:t>
      </w:r>
      <w:r>
        <w:rPr>
          <w:rFonts w:hint="eastAsia"/>
        </w:rPr>
        <w:t>二氧化碳</w:t>
      </w:r>
      <w:r>
        <w:rPr>
          <w:rFonts w:hint="eastAsia"/>
        </w:rPr>
        <w:t>排放量。企业存在其他非水泥产品生产的（如矿山开采），应按照适用</w:t>
      </w:r>
      <w:r>
        <w:t>的</w:t>
      </w:r>
      <w:r>
        <w:rPr>
          <w:rFonts w:hint="eastAsia"/>
        </w:rPr>
        <w:t>行业核算与报告要求，核算</w:t>
      </w:r>
      <w:r>
        <w:rPr>
          <w:rFonts w:hint="eastAsia"/>
        </w:rPr>
        <w:t>与报告</w:t>
      </w:r>
      <w:r>
        <w:rPr>
          <w:rFonts w:hint="eastAsia"/>
        </w:rPr>
        <w:t>其温室气体排放量。</w:t>
      </w:r>
    </w:p>
    <w:p w:rsidR="00506AE6" w:rsidRDefault="0072598A">
      <w:pPr>
        <w:pStyle w:val="affa"/>
        <w:tabs>
          <w:tab w:val="clear" w:pos="-420"/>
          <w:tab w:val="clear" w:pos="0"/>
        </w:tabs>
        <w:spacing w:line="360" w:lineRule="exact"/>
      </w:pPr>
      <w:r>
        <w:rPr>
          <w:rFonts w:hint="eastAsia"/>
        </w:rPr>
        <w:t>如果企业层级核算边界含多个场所（例如：水泥熟料生产企业层级核算边界内的矿山），则多个场所合并填报。</w:t>
      </w:r>
    </w:p>
    <w:p w:rsidR="00506AE6" w:rsidRDefault="0072598A">
      <w:pPr>
        <w:pStyle w:val="a4"/>
        <w:numPr>
          <w:ilvl w:val="2"/>
          <w:numId w:val="1"/>
        </w:numPr>
        <w:spacing w:before="156" w:after="156" w:line="360" w:lineRule="exact"/>
      </w:pPr>
      <w:r>
        <w:rPr>
          <w:rFonts w:ascii="Times New Roman" w:hint="eastAsia"/>
        </w:rPr>
        <w:t>核算边界示意图</w:t>
      </w:r>
    </w:p>
    <w:p w:rsidR="00506AE6" w:rsidRDefault="0072598A">
      <w:r>
        <w:t>核算边界如图</w:t>
      </w:r>
      <w:r>
        <w:t>2</w:t>
      </w:r>
      <w:r>
        <w:t>所示。</w:t>
      </w:r>
    </w:p>
    <w:p w:rsidR="00506AE6" w:rsidRDefault="0072598A">
      <w:pPr>
        <w:pStyle w:val="affa"/>
        <w:tabs>
          <w:tab w:val="clear" w:pos="-420"/>
          <w:tab w:val="clear" w:pos="0"/>
        </w:tabs>
        <w:ind w:firstLineChars="0" w:firstLine="0"/>
        <w:jc w:val="center"/>
      </w:pPr>
      <w:r>
        <w:rPr>
          <w:noProof/>
        </w:rPr>
        <w:lastRenderedPageBreak/>
        <w:drawing>
          <wp:inline distT="0" distB="0" distL="0" distR="0">
            <wp:extent cx="5507990" cy="2969895"/>
            <wp:effectExtent l="0" t="0" r="8890" b="19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6"/>
                    <a:stretch>
                      <a:fillRect/>
                    </a:stretch>
                  </pic:blipFill>
                  <pic:spPr>
                    <a:xfrm>
                      <a:off x="0" y="0"/>
                      <a:ext cx="5507990" cy="2969895"/>
                    </a:xfrm>
                    <a:prstGeom prst="rect">
                      <a:avLst/>
                    </a:prstGeom>
                  </pic:spPr>
                </pic:pic>
              </a:graphicData>
            </a:graphic>
          </wp:inline>
        </w:drawing>
      </w:r>
    </w:p>
    <w:p w:rsidR="00506AE6" w:rsidRDefault="0072598A">
      <w:pPr>
        <w:ind w:firstLineChars="0" w:firstLine="0"/>
        <w:jc w:val="center"/>
        <w:rPr>
          <w:rFonts w:ascii="黑体" w:eastAsia="黑体" w:hAnsi="黑体" w:cs="黑体"/>
          <w:bCs/>
          <w:sz w:val="18"/>
          <w:szCs w:val="18"/>
        </w:rPr>
      </w:pPr>
      <w:r>
        <w:rPr>
          <w:rFonts w:ascii="黑体" w:eastAsia="黑体" w:hAnsi="黑体" w:cs="黑体" w:hint="eastAsia"/>
          <w:bCs/>
          <w:sz w:val="18"/>
          <w:szCs w:val="18"/>
        </w:rPr>
        <w:t>图</w:t>
      </w:r>
      <w:r>
        <w:rPr>
          <w:rFonts w:ascii="黑体" w:eastAsia="黑体" w:hAnsi="黑体" w:cs="黑体"/>
          <w:bCs/>
          <w:sz w:val="18"/>
          <w:szCs w:val="18"/>
        </w:rPr>
        <w:t xml:space="preserve">2  </w:t>
      </w:r>
      <w:r>
        <w:rPr>
          <w:rFonts w:ascii="黑体" w:eastAsia="黑体" w:hAnsi="黑体" w:cs="黑体" w:hint="eastAsia"/>
          <w:bCs/>
          <w:sz w:val="18"/>
          <w:szCs w:val="18"/>
        </w:rPr>
        <w:t>核算边界示意图</w:t>
      </w:r>
    </w:p>
    <w:p w:rsidR="00506AE6" w:rsidRDefault="0072598A">
      <w:pPr>
        <w:pStyle w:val="a4"/>
        <w:spacing w:before="156" w:after="156" w:line="360" w:lineRule="exact"/>
        <w:ind w:left="0"/>
        <w:outlineLvl w:val="1"/>
        <w:rPr>
          <w:rFonts w:ascii="Times New Roman"/>
        </w:rPr>
      </w:pPr>
      <w:r>
        <w:rPr>
          <w:rFonts w:ascii="Times New Roman" w:hint="eastAsia"/>
        </w:rPr>
        <w:t>排放源</w:t>
      </w:r>
    </w:p>
    <w:p w:rsidR="00506AE6" w:rsidRDefault="0072598A">
      <w:pPr>
        <w:pStyle w:val="a4"/>
        <w:numPr>
          <w:ilvl w:val="2"/>
          <w:numId w:val="1"/>
        </w:numPr>
        <w:spacing w:before="156" w:after="156" w:line="360" w:lineRule="exact"/>
        <w:rPr>
          <w:rFonts w:ascii="Times New Roman"/>
        </w:rPr>
      </w:pPr>
      <w:r>
        <w:rPr>
          <w:rFonts w:ascii="Times New Roman" w:hint="eastAsia"/>
        </w:rPr>
        <w:t>熟料生产排放源</w:t>
      </w:r>
    </w:p>
    <w:p w:rsidR="00506AE6" w:rsidRDefault="0072598A">
      <w:pPr>
        <w:pStyle w:val="affa"/>
        <w:tabs>
          <w:tab w:val="clear" w:pos="-420"/>
          <w:tab w:val="clear" w:pos="0"/>
        </w:tabs>
        <w:spacing w:line="360" w:lineRule="exact"/>
      </w:pPr>
      <w:r>
        <w:rPr>
          <w:rFonts w:hint="eastAsia"/>
        </w:rPr>
        <w:t>熟料生产温室气体排放核算和报告范围包括：化石燃料燃烧排放、过程排放、消耗电力产生的排放。</w:t>
      </w:r>
    </w:p>
    <w:p w:rsidR="00506AE6" w:rsidRDefault="0072598A">
      <w:pPr>
        <w:pStyle w:val="affa"/>
        <w:tabs>
          <w:tab w:val="clear" w:pos="-420"/>
          <w:tab w:val="clear" w:pos="0"/>
        </w:tabs>
        <w:spacing w:line="360" w:lineRule="exact"/>
      </w:pPr>
      <w:bookmarkStart w:id="256" w:name="OLE_LINK4"/>
      <w:r>
        <w:t xml:space="preserve">a) </w:t>
      </w:r>
      <w:bookmarkStart w:id="257" w:name="_Hlk148463314"/>
      <w:r>
        <w:rPr>
          <w:rFonts w:hint="eastAsia"/>
        </w:rPr>
        <w:t>化石燃料燃烧排放：熟料生产消耗的化石燃料在主要生产系统和辅助生产系统中燃烧产生的二氧化碳排放。不包括替代燃料燃烧产生的二氧化碳排放，也</w:t>
      </w:r>
      <w:bookmarkEnd w:id="257"/>
      <w:r>
        <w:rPr>
          <w:rFonts w:hint="eastAsia"/>
        </w:rPr>
        <w:t>不包括应急柴油发电机、移动源、点火消耗以</w:t>
      </w:r>
      <w:r>
        <w:rPr>
          <w:rFonts w:hint="eastAsia"/>
        </w:rPr>
        <w:t>及食堂等其他设施消耗化石燃料燃烧产生的二氧化碳排放。</w:t>
      </w:r>
    </w:p>
    <w:p w:rsidR="00506AE6" w:rsidRDefault="0072598A">
      <w:pPr>
        <w:pStyle w:val="affa"/>
        <w:tabs>
          <w:tab w:val="clear" w:pos="-420"/>
          <w:tab w:val="clear" w:pos="0"/>
        </w:tabs>
        <w:spacing w:line="360" w:lineRule="exact"/>
      </w:pPr>
      <w:r>
        <w:rPr>
          <w:rFonts w:hint="eastAsia"/>
        </w:rPr>
        <w:t>b</w:t>
      </w:r>
      <w:r>
        <w:t xml:space="preserve">) </w:t>
      </w:r>
      <w:bookmarkStart w:id="258" w:name="_Hlk148463331"/>
      <w:r>
        <w:rPr>
          <w:rFonts w:hint="eastAsia"/>
        </w:rPr>
        <w:t>过程排放：熟料对应的碳酸盐分解产生的二氧化碳排放，</w:t>
      </w:r>
      <w:bookmarkStart w:id="259" w:name="_Hlk141085553"/>
      <w:r>
        <w:rPr>
          <w:rFonts w:hint="eastAsia"/>
        </w:rPr>
        <w:t>不包括窑炉排气筒（窑头）粉尘和旁路放风粉尘对应的碳酸盐分解产生的二氧化碳排放，也不包括生料中非燃料碳煅烧产生的二氧化碳排放</w:t>
      </w:r>
      <w:bookmarkEnd w:id="258"/>
      <w:r>
        <w:rPr>
          <w:rFonts w:hint="eastAsia"/>
        </w:rPr>
        <w:t>。</w:t>
      </w:r>
    </w:p>
    <w:bookmarkEnd w:id="259"/>
    <w:p w:rsidR="00506AE6" w:rsidRDefault="0072598A">
      <w:pPr>
        <w:pStyle w:val="affa"/>
        <w:tabs>
          <w:tab w:val="clear" w:pos="-420"/>
          <w:tab w:val="clear" w:pos="0"/>
        </w:tabs>
        <w:spacing w:line="360" w:lineRule="exact"/>
      </w:pPr>
      <w:r>
        <w:t xml:space="preserve">c) </w:t>
      </w:r>
      <w:bookmarkStart w:id="260" w:name="_Hlk148463346"/>
      <w:r>
        <w:rPr>
          <w:rFonts w:hint="eastAsia"/>
        </w:rPr>
        <w:t>消耗电力产生的排放：熟料生产消耗电量所对应的电力生产环节产生的二氧化碳排放</w:t>
      </w:r>
      <w:bookmarkEnd w:id="260"/>
      <w:r>
        <w:rPr>
          <w:rFonts w:hint="eastAsia"/>
        </w:rPr>
        <w:t>。</w:t>
      </w:r>
    </w:p>
    <w:bookmarkEnd w:id="247"/>
    <w:bookmarkEnd w:id="256"/>
    <w:p w:rsidR="00506AE6" w:rsidRDefault="0072598A">
      <w:pPr>
        <w:pStyle w:val="a4"/>
        <w:numPr>
          <w:ilvl w:val="2"/>
          <w:numId w:val="1"/>
        </w:numPr>
        <w:spacing w:before="156" w:after="156" w:line="360" w:lineRule="exact"/>
        <w:rPr>
          <w:rFonts w:ascii="Times New Roman"/>
        </w:rPr>
      </w:pPr>
      <w:r>
        <w:rPr>
          <w:rFonts w:ascii="Times New Roman" w:hint="eastAsia"/>
        </w:rPr>
        <w:t>企业层级排放源</w:t>
      </w:r>
    </w:p>
    <w:p w:rsidR="00506AE6" w:rsidRDefault="0072598A">
      <w:pPr>
        <w:pStyle w:val="affa"/>
        <w:tabs>
          <w:tab w:val="clear" w:pos="-420"/>
          <w:tab w:val="clear" w:pos="0"/>
        </w:tabs>
        <w:spacing w:line="360" w:lineRule="exact"/>
      </w:pPr>
      <w:r>
        <w:rPr>
          <w:rFonts w:hint="eastAsia"/>
        </w:rPr>
        <w:t>企业层级温室气体排放核算和报告范围包括：化石燃料燃烧排放、过程排放、净购入使用电力和热力产生的排放。</w:t>
      </w:r>
    </w:p>
    <w:p w:rsidR="00506AE6" w:rsidRDefault="0072598A">
      <w:pPr>
        <w:pStyle w:val="affa"/>
        <w:tabs>
          <w:tab w:val="clear" w:pos="-420"/>
          <w:tab w:val="clear" w:pos="0"/>
        </w:tabs>
        <w:spacing w:line="360" w:lineRule="exact"/>
      </w:pPr>
      <w:r>
        <w:t xml:space="preserve">a) </w:t>
      </w:r>
      <w:r>
        <w:rPr>
          <w:rFonts w:hint="eastAsia"/>
        </w:rPr>
        <w:t>化石燃</w:t>
      </w:r>
      <w:bookmarkStart w:id="261" w:name="_Hlk148464006"/>
      <w:r>
        <w:rPr>
          <w:rFonts w:hint="eastAsia"/>
        </w:rPr>
        <w:t>料燃烧排放：化石燃料在各种类型的固定或移动燃烧设备（如锅炉、窑炉、内燃机、运输车辆等）中与氧气发生氧化过程产生的二氧化碳排放</w:t>
      </w:r>
      <w:bookmarkEnd w:id="261"/>
      <w:r>
        <w:rPr>
          <w:rFonts w:hint="eastAsia"/>
        </w:rPr>
        <w:t>。</w:t>
      </w:r>
    </w:p>
    <w:p w:rsidR="00506AE6" w:rsidRDefault="0072598A">
      <w:pPr>
        <w:pStyle w:val="affa"/>
        <w:tabs>
          <w:tab w:val="clear" w:pos="-420"/>
          <w:tab w:val="clear" w:pos="0"/>
        </w:tabs>
        <w:spacing w:line="360" w:lineRule="exact"/>
      </w:pPr>
      <w:r>
        <w:t xml:space="preserve">b) </w:t>
      </w:r>
      <w:r>
        <w:rPr>
          <w:rFonts w:hint="eastAsia"/>
        </w:rPr>
        <w:t>过</w:t>
      </w:r>
      <w:bookmarkStart w:id="262" w:name="_Hlk148464018"/>
      <w:r>
        <w:rPr>
          <w:rFonts w:hint="eastAsia"/>
        </w:rPr>
        <w:t>程排放：熟料对应的碳酸盐分解产生的二氧化碳排放，其他产品生产产生的过程排放</w:t>
      </w:r>
      <w:bookmarkEnd w:id="262"/>
      <w:r>
        <w:rPr>
          <w:rFonts w:hint="eastAsia"/>
        </w:rPr>
        <w:t>。</w:t>
      </w:r>
    </w:p>
    <w:p w:rsidR="00506AE6" w:rsidRDefault="0072598A">
      <w:pPr>
        <w:pStyle w:val="affa"/>
        <w:numPr>
          <w:ilvl w:val="255"/>
          <w:numId w:val="0"/>
        </w:numPr>
        <w:tabs>
          <w:tab w:val="clear" w:pos="-420"/>
          <w:tab w:val="clear" w:pos="0"/>
        </w:tabs>
        <w:spacing w:line="360" w:lineRule="exact"/>
        <w:ind w:leftChars="200" w:left="420"/>
      </w:pPr>
      <w:r>
        <w:t xml:space="preserve">c) </w:t>
      </w:r>
      <w:r>
        <w:t>净购入使用电力产生的排放：消耗的净购入使用电</w:t>
      </w:r>
      <w:r>
        <w:rPr>
          <w:rFonts w:hint="eastAsia"/>
        </w:rPr>
        <w:t>量</w:t>
      </w:r>
      <w:r>
        <w:t>所对应的二氧化碳排放</w:t>
      </w:r>
      <w:r>
        <w:rPr>
          <w:rFonts w:hint="eastAsia"/>
        </w:rPr>
        <w:t>。</w:t>
      </w:r>
    </w:p>
    <w:p w:rsidR="00506AE6" w:rsidRDefault="0072598A">
      <w:pPr>
        <w:pStyle w:val="affa"/>
        <w:numPr>
          <w:ilvl w:val="255"/>
          <w:numId w:val="0"/>
        </w:numPr>
        <w:tabs>
          <w:tab w:val="clear" w:pos="-420"/>
          <w:tab w:val="clear" w:pos="0"/>
        </w:tabs>
        <w:spacing w:line="360" w:lineRule="exact"/>
        <w:ind w:leftChars="200" w:left="420"/>
      </w:pPr>
      <w:r>
        <w:rPr>
          <w:rFonts w:hint="eastAsia"/>
        </w:rPr>
        <w:t xml:space="preserve">d) </w:t>
      </w:r>
      <w:r>
        <w:t>净购入使用热力产生的排放：消耗的净购入使用热</w:t>
      </w:r>
      <w:r>
        <w:rPr>
          <w:rFonts w:hint="eastAsia"/>
        </w:rPr>
        <w:t>量</w:t>
      </w:r>
      <w:r>
        <w:t>所对应的二氧化碳排放。</w:t>
      </w:r>
    </w:p>
    <w:p w:rsidR="00506AE6" w:rsidRDefault="0072598A">
      <w:pPr>
        <w:pStyle w:val="a3"/>
        <w:spacing w:before="312" w:after="312" w:line="360" w:lineRule="exact"/>
        <w:ind w:left="424" w:hangingChars="202" w:hanging="424"/>
        <w:outlineLvl w:val="0"/>
        <w:rPr>
          <w:rFonts w:ascii="Times New Roman"/>
        </w:rPr>
      </w:pPr>
      <w:bookmarkStart w:id="263" w:name="_Toc159419084"/>
      <w:bookmarkStart w:id="264" w:name="_Toc146201694"/>
      <w:bookmarkStart w:id="265" w:name="_Toc601929258"/>
      <w:bookmarkStart w:id="266" w:name="_Toc140045476"/>
      <w:bookmarkStart w:id="267" w:name="_Toc140003026"/>
      <w:r>
        <w:rPr>
          <w:rFonts w:ascii="Times New Roman" w:hint="eastAsia"/>
        </w:rPr>
        <w:lastRenderedPageBreak/>
        <w:t>熟料</w:t>
      </w:r>
      <w:bookmarkStart w:id="268" w:name="_Hlk148464227"/>
      <w:r>
        <w:rPr>
          <w:rFonts w:ascii="Times New Roman" w:hint="eastAsia"/>
        </w:rPr>
        <w:t>生产排放核算要求及排放量计算</w:t>
      </w:r>
      <w:bookmarkEnd w:id="263"/>
      <w:bookmarkEnd w:id="264"/>
      <w:bookmarkEnd w:id="265"/>
      <w:bookmarkEnd w:id="268"/>
    </w:p>
    <w:p w:rsidR="00506AE6" w:rsidRDefault="0072598A">
      <w:pPr>
        <w:pStyle w:val="a4"/>
        <w:spacing w:before="156" w:after="156" w:line="360" w:lineRule="exact"/>
        <w:ind w:left="0"/>
        <w:outlineLvl w:val="1"/>
      </w:pPr>
      <w:bookmarkStart w:id="269" w:name="_Toc144282471"/>
      <w:r>
        <w:rPr>
          <w:rFonts w:hint="eastAsia"/>
        </w:rPr>
        <w:t>化石燃料燃烧排放核算要求</w:t>
      </w:r>
      <w:bookmarkEnd w:id="269"/>
    </w:p>
    <w:p w:rsidR="00506AE6" w:rsidRDefault="0072598A">
      <w:pPr>
        <w:pStyle w:val="a4"/>
        <w:numPr>
          <w:ilvl w:val="2"/>
          <w:numId w:val="1"/>
        </w:numPr>
        <w:spacing w:before="156" w:after="156" w:line="360" w:lineRule="exact"/>
        <w:rPr>
          <w:rFonts w:ascii="Times New Roman"/>
        </w:rPr>
      </w:pPr>
      <w:bookmarkStart w:id="270" w:name="_Toc140003027"/>
      <w:bookmarkStart w:id="271" w:name="_Toc140045477"/>
      <w:r>
        <w:rPr>
          <w:rFonts w:ascii="Times New Roman" w:hint="eastAsia"/>
        </w:rPr>
        <w:t>计算公式</w:t>
      </w:r>
      <w:bookmarkEnd w:id="270"/>
      <w:bookmarkEnd w:id="271"/>
    </w:p>
    <w:p w:rsidR="00506AE6" w:rsidRDefault="0072598A">
      <w:pPr>
        <w:pStyle w:val="affa"/>
        <w:tabs>
          <w:tab w:val="clear" w:pos="-420"/>
          <w:tab w:val="clear" w:pos="0"/>
        </w:tabs>
        <w:spacing w:line="360" w:lineRule="exact"/>
      </w:pPr>
      <w:bookmarkStart w:id="272" w:name="_Toc10036891"/>
      <w:bookmarkStart w:id="273" w:name="_Toc12762"/>
      <w:bookmarkStart w:id="274" w:name="_Toc22115163"/>
      <w:bookmarkStart w:id="275" w:name="_Toc8898877"/>
      <w:bookmarkStart w:id="276" w:name="_Toc10092206"/>
      <w:bookmarkStart w:id="277" w:name="_Toc9957047"/>
      <w:r>
        <w:rPr>
          <w:rFonts w:hint="eastAsia"/>
        </w:rPr>
        <w:t>熟料生产的化石燃料燃烧排放量按公</w:t>
      </w:r>
      <w:r>
        <w:t>式</w:t>
      </w:r>
      <w:r>
        <w:rPr>
          <w:rFonts w:hint="eastAsia"/>
          <w:iCs/>
        </w:rPr>
        <w:t>（</w:t>
      </w:r>
      <w:r>
        <w:rPr>
          <w:rFonts w:hint="eastAsia"/>
          <w:iCs/>
        </w:rPr>
        <w:t>1</w:t>
      </w:r>
      <w:r>
        <w:rPr>
          <w:rFonts w:hint="eastAsia"/>
          <w:iCs/>
        </w:rPr>
        <w:t>）</w:t>
      </w:r>
      <w:r>
        <w:t>计算。</w:t>
      </w:r>
    </w:p>
    <w:p w:rsidR="00506AE6" w:rsidRDefault="0072598A">
      <w:pPr>
        <w:pStyle w:val="MTDisplayEquation"/>
      </w:p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r>
              <m:rPr>
                <m:sty m:val="p"/>
              </m:rPr>
              <w:rPr>
                <w:rFonts w:ascii="Cambria Math" w:hAnsi="Cambria Math"/>
              </w:rPr>
              <m:t>燃烧</m:t>
            </m:r>
            <m:r>
              <m:rPr>
                <m:sty m:val="p"/>
              </m:rPr>
              <w:rPr>
                <w:rFonts w:ascii="Cambria Math" w:hAnsi="Cambria Math"/>
              </w:rPr>
              <m:t>,</m:t>
            </m:r>
            <m:r>
              <m:rPr>
                <m:sty m:val="p"/>
              </m:rPr>
              <w:rPr>
                <w:rFonts w:ascii="Cambria Math" w:hAnsi="Cambria Math" w:hint="eastAsia"/>
              </w:rPr>
              <m:t>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FC</m:t>
            </m:r>
          </m:e>
          <m:sub>
            <m:r>
              <m:rPr>
                <m:sty m:val="p"/>
              </m:rPr>
              <w:rPr>
                <w:rFonts w:ascii="Cambria Math" w:hAnsi="Cambria Math"/>
              </w:rPr>
              <m:t>ck,j</m:t>
            </m:r>
          </m:sub>
        </m:sSub>
        <m:r>
          <m:rPr>
            <m:sty m:val="p"/>
          </m:rPr>
          <w:rPr>
            <w:rFonts w:ascii="Cambria Math" w:hAnsi="Cambria Math"/>
          </w:rPr>
          <m:t>×NC</m:t>
        </m:r>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ar,j</m:t>
            </m:r>
          </m:sub>
        </m:sSub>
        <m:r>
          <m:rPr>
            <m:sty m:val="p"/>
          </m:rPr>
          <w:rPr>
            <w:rFonts w:ascii="Cambria Math" w:hAnsi="Cambria Math"/>
          </w:rPr>
          <m:t>×CC×OF×</m:t>
        </m:r>
        <m:f>
          <m:fPr>
            <m:ctrlPr>
              <w:rPr>
                <w:rFonts w:ascii="Cambria Math" w:hAnsi="Cambria Math"/>
                <w:iCs/>
              </w:rPr>
            </m:ctrlPr>
          </m:fPr>
          <m:num>
            <m:r>
              <m:rPr>
                <m:sty m:val="p"/>
              </m:rPr>
              <w:rPr>
                <w:rFonts w:ascii="Cambria Math" w:hAnsi="Cambria Math"/>
              </w:rPr>
              <m:t>44</m:t>
            </m:r>
          </m:num>
          <m:den>
            <m:r>
              <m:rPr>
                <m:sty m:val="p"/>
              </m:rPr>
              <w:rPr>
                <w:rFonts w:ascii="Cambria Math" w:hAnsi="Cambria Math"/>
              </w:rPr>
              <m:t>12</m:t>
            </m:r>
          </m:den>
        </m:f>
      </m:oMath>
      <w:r>
        <w:rPr>
          <w:rFonts w:hint="eastAsia"/>
        </w:rPr>
        <w:t xml:space="preserve">        </w:t>
      </w:r>
      <w:r>
        <w:t xml:space="preserve">           </w:t>
      </w:r>
      <w:r>
        <w:rPr>
          <w:rFonts w:hint="eastAsia"/>
        </w:rPr>
        <w:t>（</w:t>
      </w:r>
      <w:r>
        <w:t>1</w:t>
      </w:r>
      <w:r>
        <w:rPr>
          <w:rFonts w:hint="eastAsia"/>
        </w:rPr>
        <w:t>）</w:t>
      </w:r>
    </w:p>
    <w:p w:rsidR="00506AE6" w:rsidRDefault="0072598A">
      <w:r>
        <w:rPr>
          <w:rFonts w:hint="eastAsia"/>
        </w:rPr>
        <w:t>式中：</w:t>
      </w:r>
    </w:p>
    <w:tbl>
      <w:tblPr>
        <w:tblW w:w="8333" w:type="dxa"/>
        <w:jc w:val="right"/>
        <w:tblLayout w:type="fixed"/>
        <w:tblLook w:val="04A0" w:firstRow="1" w:lastRow="0" w:firstColumn="1" w:lastColumn="0" w:noHBand="0" w:noVBand="1"/>
      </w:tblPr>
      <w:tblGrid>
        <w:gridCol w:w="1020"/>
        <w:gridCol w:w="340"/>
        <w:gridCol w:w="6973"/>
      </w:tblGrid>
      <w:tr w:rsidR="00506AE6">
        <w:trPr>
          <w:trHeight w:val="20"/>
          <w:jc w:val="right"/>
        </w:trPr>
        <w:tc>
          <w:tcPr>
            <w:tcW w:w="1020" w:type="dxa"/>
          </w:tcPr>
          <w:p w:rsidR="00506AE6" w:rsidRDefault="0072598A">
            <w:pPr>
              <w:snapToGrid w:val="0"/>
              <w:spacing w:line="240" w:lineRule="auto"/>
              <w:ind w:firstLineChars="0" w:firstLine="0"/>
              <w:jc w:val="left"/>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ck</m:t>
                    </m:r>
                    <m:r>
                      <w:rPr>
                        <w:rFonts w:ascii="Cambria Math" w:hAnsi="Cambria Math" w:hint="eastAsia"/>
                      </w:rPr>
                      <m:t>燃烧</m:t>
                    </m:r>
                    <m:r>
                      <w:rPr>
                        <w:rFonts w:ascii="Cambria Math" w:hAnsi="Cambria Math"/>
                      </w:rPr>
                      <m:t>,</m:t>
                    </m:r>
                    <m:r>
                      <w:rPr>
                        <w:rFonts w:ascii="Cambria Math" w:hAnsi="Cambria Math" w:hint="eastAsia"/>
                      </w:rPr>
                      <m:t>j</m:t>
                    </m:r>
                  </m:sub>
                </m:sSub>
              </m:oMath>
            </m:oMathPara>
          </w:p>
        </w:tc>
        <w:tc>
          <w:tcPr>
            <w:tcW w:w="340" w:type="dxa"/>
          </w:tcPr>
          <w:p w:rsidR="00506AE6" w:rsidRDefault="0072598A">
            <w:pPr>
              <w:snapToGrid w:val="0"/>
              <w:ind w:firstLineChars="0" w:firstLine="0"/>
              <w:rPr>
                <w:szCs w:val="21"/>
              </w:rPr>
            </w:pPr>
            <w:r>
              <w:rPr>
                <w:szCs w:val="21"/>
              </w:rPr>
              <w:t>—</w:t>
            </w:r>
          </w:p>
        </w:tc>
        <w:tc>
          <w:tcPr>
            <w:tcW w:w="6973" w:type="dxa"/>
            <w:vAlign w:val="center"/>
          </w:tcPr>
          <w:p w:rsidR="00506AE6" w:rsidRDefault="0072598A">
            <w:pPr>
              <w:snapToGrid w:val="0"/>
              <w:spacing w:line="240" w:lineRule="auto"/>
              <w:ind w:firstLineChars="0" w:firstLine="0"/>
            </w:pPr>
            <w:r>
              <w:rPr>
                <w:rFonts w:hint="eastAsia"/>
              </w:rPr>
              <w:t>熟料生产线</w:t>
            </w:r>
            <m:oMath>
              <m:r>
                <w:rPr>
                  <w:rFonts w:ascii="Cambria Math" w:hAnsi="Cambria Math" w:hint="eastAsia"/>
                  <w:szCs w:val="21"/>
                </w:rPr>
                <m:t>j</m:t>
              </m:r>
            </m:oMath>
            <w:r>
              <w:rPr>
                <w:rFonts w:hint="eastAsia"/>
              </w:rPr>
              <w:t>的化石燃料燃烧排放量，单位为吨二氧化碳（</w:t>
            </w:r>
            <w:r>
              <w:t>tCO</w:t>
            </w:r>
            <w:r>
              <w:rPr>
                <w:vertAlign w:val="subscript"/>
              </w:rPr>
              <w:t>2</w:t>
            </w:r>
            <w:r>
              <w:rPr>
                <w:rFonts w:hint="eastAsia"/>
              </w:rPr>
              <w:t>）；</w:t>
            </w:r>
          </w:p>
        </w:tc>
      </w:tr>
      <w:tr w:rsidR="00506AE6">
        <w:trPr>
          <w:trHeight w:val="20"/>
          <w:jc w:val="right"/>
        </w:trPr>
        <w:tc>
          <w:tcPr>
            <w:tcW w:w="1020" w:type="dxa"/>
          </w:tcPr>
          <w:p w:rsidR="00506AE6" w:rsidRDefault="0072598A">
            <w:pPr>
              <w:snapToGrid w:val="0"/>
              <w:ind w:firstLineChars="0" w:firstLine="0"/>
              <w:jc w:val="left"/>
              <w:rPr>
                <w:iCs/>
                <w:szCs w:val="21"/>
              </w:rPr>
            </w:pPr>
            <m:oMathPara>
              <m:oMathParaPr>
                <m:jc m:val="left"/>
              </m:oMathParaPr>
              <m:oMath>
                <m:r>
                  <w:rPr>
                    <w:rFonts w:ascii="Cambria Math" w:hAnsi="Cambria Math"/>
                  </w:rPr>
                  <m:t>F</m:t>
                </m:r>
                <m:sSub>
                  <m:sSubPr>
                    <m:ctrlPr>
                      <w:rPr>
                        <w:rFonts w:ascii="Cambria Math" w:hAnsi="Cambria Math"/>
                        <w:i/>
                      </w:rPr>
                    </m:ctrlPr>
                  </m:sSubPr>
                  <m:e>
                    <m:r>
                      <w:rPr>
                        <w:rFonts w:ascii="Cambria Math" w:hAnsi="Cambria Math"/>
                      </w:rPr>
                      <m:t>C</m:t>
                    </m:r>
                  </m:e>
                  <m:sub>
                    <m:r>
                      <w:rPr>
                        <w:rFonts w:ascii="Cambria Math" w:hAnsi="Cambria Math"/>
                      </w:rPr>
                      <m:t>ck</m:t>
                    </m:r>
                    <m:r>
                      <w:rPr>
                        <w:rFonts w:ascii="Cambria Math" w:hAnsi="Cambria Math"/>
                      </w:rPr>
                      <m:t>,</m:t>
                    </m:r>
                    <m:r>
                      <w:rPr>
                        <w:rFonts w:ascii="Cambria Math" w:hAnsi="Cambria Math" w:hint="eastAsia"/>
                      </w:rPr>
                      <m:t>j</m:t>
                    </m:r>
                  </m:sub>
                </m:sSub>
              </m:oMath>
            </m:oMathPara>
          </w:p>
        </w:tc>
        <w:tc>
          <w:tcPr>
            <w:tcW w:w="340" w:type="dxa"/>
          </w:tcPr>
          <w:p w:rsidR="00506AE6" w:rsidRDefault="0072598A">
            <w:pPr>
              <w:snapToGrid w:val="0"/>
              <w:ind w:firstLineChars="0" w:firstLine="0"/>
              <w:rPr>
                <w:szCs w:val="21"/>
              </w:rPr>
            </w:pPr>
            <w:r>
              <w:rPr>
                <w:szCs w:val="21"/>
              </w:rPr>
              <w:t>—</w:t>
            </w:r>
          </w:p>
        </w:tc>
        <w:tc>
          <w:tcPr>
            <w:tcW w:w="6973" w:type="dxa"/>
            <w:vAlign w:val="center"/>
          </w:tcPr>
          <w:p w:rsidR="00506AE6" w:rsidRDefault="0072598A">
            <w:pPr>
              <w:snapToGrid w:val="0"/>
              <w:spacing w:line="240" w:lineRule="auto"/>
              <w:ind w:firstLineChars="0" w:firstLine="0"/>
            </w:pPr>
            <w:r>
              <w:rPr>
                <w:rFonts w:hint="eastAsia"/>
              </w:rPr>
              <w:t>熟料生产线</w:t>
            </w:r>
            <m:oMath>
              <m:r>
                <w:rPr>
                  <w:rFonts w:ascii="Cambria Math" w:hAnsi="Cambria Math" w:hint="eastAsia"/>
                  <w:szCs w:val="21"/>
                </w:rPr>
                <m:t>j</m:t>
              </m:r>
            </m:oMath>
            <w:r>
              <w:rPr>
                <w:rFonts w:hint="eastAsia"/>
              </w:rPr>
              <w:t>的燃煤消耗量，单位为吨（</w:t>
            </w:r>
            <w:r>
              <w:t>t</w:t>
            </w:r>
            <w:r>
              <w:rPr>
                <w:rFonts w:hint="eastAsia"/>
              </w:rPr>
              <w:t>）；</w:t>
            </w:r>
          </w:p>
        </w:tc>
      </w:tr>
      <w:tr w:rsidR="00506AE6">
        <w:trPr>
          <w:trHeight w:val="20"/>
          <w:jc w:val="right"/>
        </w:trPr>
        <w:tc>
          <w:tcPr>
            <w:tcW w:w="1020" w:type="dxa"/>
          </w:tcPr>
          <w:p w:rsidR="00506AE6" w:rsidRDefault="0072598A">
            <w:pPr>
              <w:snapToGrid w:val="0"/>
              <w:ind w:firstLineChars="0" w:firstLine="0"/>
              <w:jc w:val="left"/>
            </w:pPr>
            <m:oMathPara>
              <m:oMathParaPr>
                <m:jc m:val="left"/>
              </m:oMathParaPr>
              <m:oMath>
                <m:r>
                  <w:rPr>
                    <w:rFonts w:ascii="Cambria Math" w:hAnsi="Cambria Math"/>
                    <w:szCs w:val="21"/>
                  </w:rPr>
                  <m:t>NC</m:t>
                </m:r>
                <m:sSub>
                  <m:sSubPr>
                    <m:ctrlPr>
                      <w:rPr>
                        <w:rFonts w:ascii="Cambria Math" w:hAnsi="Cambria Math"/>
                        <w:i/>
                        <w:szCs w:val="21"/>
                      </w:rPr>
                    </m:ctrlPr>
                  </m:sSubPr>
                  <m:e>
                    <m:r>
                      <w:rPr>
                        <w:rFonts w:ascii="Cambria Math" w:hAnsi="Cambria Math"/>
                        <w:szCs w:val="21"/>
                      </w:rPr>
                      <m:t>V</m:t>
                    </m:r>
                  </m:e>
                  <m:sub>
                    <m:r>
                      <w:rPr>
                        <w:rFonts w:ascii="Cambria Math" w:hAnsi="Cambria Math"/>
                        <w:szCs w:val="21"/>
                      </w:rPr>
                      <m:t>ar</m:t>
                    </m:r>
                    <m:r>
                      <w:rPr>
                        <w:rFonts w:ascii="Cambria Math" w:hAnsi="Cambria Math"/>
                        <w:szCs w:val="21"/>
                      </w:rPr>
                      <m:t>,</m:t>
                    </m:r>
                    <m:r>
                      <w:rPr>
                        <w:rFonts w:ascii="Cambria Math" w:hAnsi="Cambria Math" w:hint="eastAsia"/>
                      </w:rPr>
                      <m:t>j</m:t>
                    </m:r>
                  </m:sub>
                </m:sSub>
              </m:oMath>
            </m:oMathPara>
          </w:p>
        </w:tc>
        <w:tc>
          <w:tcPr>
            <w:tcW w:w="340" w:type="dxa"/>
          </w:tcPr>
          <w:p w:rsidR="00506AE6" w:rsidRDefault="0072598A">
            <w:pPr>
              <w:snapToGrid w:val="0"/>
              <w:ind w:firstLineChars="0" w:firstLine="0"/>
              <w:rPr>
                <w:szCs w:val="21"/>
              </w:rPr>
            </w:pPr>
            <w:r>
              <w:rPr>
                <w:szCs w:val="21"/>
              </w:rPr>
              <w:t>—</w:t>
            </w:r>
          </w:p>
        </w:tc>
        <w:tc>
          <w:tcPr>
            <w:tcW w:w="6973" w:type="dxa"/>
            <w:vAlign w:val="center"/>
          </w:tcPr>
          <w:p w:rsidR="00506AE6" w:rsidRDefault="0072598A">
            <w:pPr>
              <w:snapToGrid w:val="0"/>
              <w:spacing w:line="240" w:lineRule="auto"/>
              <w:ind w:firstLineChars="0" w:firstLine="0"/>
            </w:pPr>
            <w:r>
              <w:rPr>
                <w:rFonts w:hint="eastAsia"/>
              </w:rPr>
              <w:t>熟料生产线</w:t>
            </w:r>
            <m:oMath>
              <m:r>
                <w:rPr>
                  <w:rFonts w:ascii="Cambria Math" w:hAnsi="Cambria Math" w:hint="eastAsia"/>
                  <w:szCs w:val="21"/>
                </w:rPr>
                <m:t>j</m:t>
              </m:r>
            </m:oMath>
            <w:r>
              <w:rPr>
                <w:rFonts w:hint="eastAsia"/>
              </w:rPr>
              <w:t>的</w:t>
            </w:r>
            <w:r>
              <w:rPr>
                <w:rFonts w:hint="eastAsia"/>
                <w:szCs w:val="21"/>
              </w:rPr>
              <w:t>燃煤</w:t>
            </w:r>
            <w:bookmarkStart w:id="278" w:name="_Hlk161143654"/>
            <w:r>
              <w:rPr>
                <w:rFonts w:hint="eastAsia"/>
                <w:szCs w:val="21"/>
              </w:rPr>
              <w:t>收到基</w:t>
            </w:r>
            <w:bookmarkEnd w:id="278"/>
            <w:r>
              <w:rPr>
                <w:rFonts w:hint="eastAsia"/>
                <w:szCs w:val="21"/>
              </w:rPr>
              <w:t>低位发热量，单位为吉焦每吨（</w:t>
            </w:r>
            <w:r>
              <w:rPr>
                <w:szCs w:val="21"/>
              </w:rPr>
              <w:t>GJ/t</w:t>
            </w:r>
            <w:r>
              <w:rPr>
                <w:rFonts w:hint="eastAsia"/>
                <w:szCs w:val="21"/>
              </w:rPr>
              <w:t>）；</w:t>
            </w:r>
          </w:p>
        </w:tc>
      </w:tr>
      <w:tr w:rsidR="00506AE6">
        <w:trPr>
          <w:trHeight w:val="20"/>
          <w:jc w:val="right"/>
        </w:trPr>
        <w:tc>
          <w:tcPr>
            <w:tcW w:w="1020" w:type="dxa"/>
          </w:tcPr>
          <w:p w:rsidR="00506AE6" w:rsidRDefault="0072598A">
            <w:pPr>
              <w:snapToGrid w:val="0"/>
              <w:ind w:firstLineChars="0" w:firstLine="0"/>
              <w:jc w:val="left"/>
              <w:rPr>
                <w:szCs w:val="21"/>
              </w:rPr>
            </w:pPr>
            <m:oMathPara>
              <m:oMathParaPr>
                <m:jc m:val="left"/>
              </m:oMathParaPr>
              <m:oMath>
                <m:r>
                  <w:rPr>
                    <w:rFonts w:ascii="Cambria Math" w:hAnsi="Cambria Math"/>
                    <w:szCs w:val="21"/>
                  </w:rPr>
                  <m:t>CC</m:t>
                </m:r>
              </m:oMath>
            </m:oMathPara>
          </w:p>
        </w:tc>
        <w:tc>
          <w:tcPr>
            <w:tcW w:w="340" w:type="dxa"/>
          </w:tcPr>
          <w:p w:rsidR="00506AE6" w:rsidRDefault="0072598A">
            <w:pPr>
              <w:snapToGrid w:val="0"/>
              <w:ind w:firstLineChars="0" w:firstLine="0"/>
              <w:rPr>
                <w:szCs w:val="21"/>
              </w:rPr>
            </w:pPr>
            <w:r>
              <w:rPr>
                <w:szCs w:val="21"/>
              </w:rPr>
              <w:t>—</w:t>
            </w:r>
          </w:p>
        </w:tc>
        <w:tc>
          <w:tcPr>
            <w:tcW w:w="6973" w:type="dxa"/>
            <w:vAlign w:val="center"/>
          </w:tcPr>
          <w:p w:rsidR="00506AE6" w:rsidRDefault="0072598A">
            <w:pPr>
              <w:snapToGrid w:val="0"/>
              <w:spacing w:line="240" w:lineRule="auto"/>
              <w:ind w:firstLineChars="0" w:firstLine="0"/>
              <w:rPr>
                <w:szCs w:val="21"/>
              </w:rPr>
            </w:pPr>
            <w:r>
              <w:rPr>
                <w:rFonts w:hint="eastAsia"/>
                <w:szCs w:val="21"/>
              </w:rPr>
              <w:t>燃煤单位热值含碳量，单位为吨碳每吉焦（</w:t>
            </w:r>
            <w:r>
              <w:rPr>
                <w:szCs w:val="21"/>
              </w:rPr>
              <w:t>tC/GJ</w:t>
            </w:r>
            <w:r>
              <w:rPr>
                <w:rFonts w:hint="eastAsia"/>
                <w:szCs w:val="21"/>
              </w:rPr>
              <w:t>）</w:t>
            </w:r>
            <w:r>
              <w:rPr>
                <w:szCs w:val="21"/>
              </w:rPr>
              <w:t>；</w:t>
            </w:r>
          </w:p>
        </w:tc>
      </w:tr>
      <w:tr w:rsidR="00506AE6">
        <w:trPr>
          <w:trHeight w:val="90"/>
          <w:jc w:val="right"/>
        </w:trPr>
        <w:tc>
          <w:tcPr>
            <w:tcW w:w="1020" w:type="dxa"/>
          </w:tcPr>
          <w:p w:rsidR="00506AE6" w:rsidRDefault="0072598A">
            <w:pPr>
              <w:snapToGrid w:val="0"/>
              <w:ind w:firstLineChars="0" w:firstLine="0"/>
              <w:jc w:val="left"/>
              <w:rPr>
                <w:szCs w:val="21"/>
              </w:rPr>
            </w:pPr>
            <m:oMathPara>
              <m:oMathParaPr>
                <m:jc m:val="left"/>
              </m:oMathParaPr>
              <m:oMath>
                <m:r>
                  <w:rPr>
                    <w:rFonts w:ascii="Cambria Math" w:hAnsi="Cambria Math"/>
                  </w:rPr>
                  <m:t>OF</m:t>
                </m:r>
              </m:oMath>
            </m:oMathPara>
          </w:p>
        </w:tc>
        <w:tc>
          <w:tcPr>
            <w:tcW w:w="340" w:type="dxa"/>
          </w:tcPr>
          <w:p w:rsidR="00506AE6" w:rsidRDefault="0072598A">
            <w:pPr>
              <w:snapToGrid w:val="0"/>
              <w:ind w:firstLineChars="0" w:firstLine="0"/>
              <w:rPr>
                <w:szCs w:val="21"/>
              </w:rPr>
            </w:pPr>
            <w:r>
              <w:rPr>
                <w:szCs w:val="21"/>
              </w:rPr>
              <w:t>—</w:t>
            </w:r>
          </w:p>
        </w:tc>
        <w:tc>
          <w:tcPr>
            <w:tcW w:w="6973" w:type="dxa"/>
            <w:vAlign w:val="center"/>
          </w:tcPr>
          <w:p w:rsidR="00506AE6" w:rsidRDefault="0072598A">
            <w:pPr>
              <w:snapToGrid w:val="0"/>
              <w:spacing w:line="240" w:lineRule="auto"/>
              <w:ind w:firstLineChars="0" w:firstLine="0"/>
              <w:rPr>
                <w:szCs w:val="21"/>
              </w:rPr>
            </w:pPr>
            <w:r>
              <w:rPr>
                <w:rFonts w:hint="eastAsia"/>
              </w:rPr>
              <w:t>燃煤碳氧化率，以</w:t>
            </w:r>
            <w:r>
              <w:t>%</w:t>
            </w:r>
            <w:r>
              <w:rPr>
                <w:rFonts w:hint="eastAsia"/>
              </w:rPr>
              <w:t>表示；</w:t>
            </w:r>
          </w:p>
        </w:tc>
      </w:tr>
      <w:tr w:rsidR="00506AE6">
        <w:trPr>
          <w:trHeight w:val="20"/>
          <w:jc w:val="right"/>
        </w:trPr>
        <w:tc>
          <w:tcPr>
            <w:tcW w:w="1020" w:type="dxa"/>
          </w:tcPr>
          <w:p w:rsidR="00506AE6" w:rsidRDefault="0072598A">
            <w:pPr>
              <w:snapToGrid w:val="0"/>
              <w:ind w:firstLineChars="0" w:firstLine="0"/>
              <w:jc w:val="left"/>
              <w:rPr>
                <w:szCs w:val="21"/>
              </w:rPr>
            </w:pPr>
            <w:r>
              <w:rPr>
                <w:rFonts w:hAnsi="Cambria Math" w:hint="eastAsia"/>
              </w:rPr>
              <w:t>44/12</w:t>
            </w:r>
          </w:p>
        </w:tc>
        <w:tc>
          <w:tcPr>
            <w:tcW w:w="340" w:type="dxa"/>
          </w:tcPr>
          <w:p w:rsidR="00506AE6" w:rsidRDefault="0072598A">
            <w:pPr>
              <w:snapToGrid w:val="0"/>
              <w:ind w:firstLineChars="0" w:firstLine="0"/>
              <w:rPr>
                <w:szCs w:val="21"/>
              </w:rPr>
            </w:pPr>
            <w:r>
              <w:rPr>
                <w:szCs w:val="21"/>
              </w:rPr>
              <w:t>—</w:t>
            </w:r>
          </w:p>
        </w:tc>
        <w:tc>
          <w:tcPr>
            <w:tcW w:w="6973" w:type="dxa"/>
            <w:vAlign w:val="center"/>
          </w:tcPr>
          <w:p w:rsidR="00506AE6" w:rsidRDefault="0072598A">
            <w:pPr>
              <w:snapToGrid w:val="0"/>
              <w:spacing w:line="240" w:lineRule="auto"/>
              <w:ind w:firstLineChars="0" w:firstLine="0"/>
              <w:rPr>
                <w:szCs w:val="21"/>
              </w:rPr>
            </w:pPr>
            <w:r>
              <w:rPr>
                <w:rFonts w:hint="eastAsia"/>
                <w:position w:val="-12"/>
              </w:rPr>
              <w:t>二氧化碳与碳的相对分子质量之比；</w:t>
            </w:r>
          </w:p>
        </w:tc>
      </w:tr>
      <w:tr w:rsidR="00506AE6">
        <w:trPr>
          <w:trHeight w:val="20"/>
          <w:jc w:val="right"/>
        </w:trPr>
        <w:tc>
          <w:tcPr>
            <w:tcW w:w="1020" w:type="dxa"/>
          </w:tcPr>
          <w:p w:rsidR="00506AE6" w:rsidRDefault="0072598A">
            <w:pPr>
              <w:snapToGrid w:val="0"/>
              <w:ind w:firstLineChars="0" w:firstLine="0"/>
              <w:jc w:val="left"/>
              <w:rPr>
                <w:rFonts w:hAnsi="Cambria Math"/>
              </w:rPr>
            </w:pPr>
            <m:oMathPara>
              <m:oMathParaPr>
                <m:jc m:val="left"/>
              </m:oMathParaPr>
              <m:oMath>
                <m:r>
                  <w:rPr>
                    <w:rFonts w:ascii="Cambria Math" w:hAnsi="Cambria Math" w:hint="eastAsia"/>
                    <w:szCs w:val="21"/>
                  </w:rPr>
                  <m:t>j</m:t>
                </m:r>
              </m:oMath>
            </m:oMathPara>
          </w:p>
        </w:tc>
        <w:tc>
          <w:tcPr>
            <w:tcW w:w="340" w:type="dxa"/>
          </w:tcPr>
          <w:p w:rsidR="00506AE6" w:rsidRDefault="0072598A">
            <w:pPr>
              <w:snapToGrid w:val="0"/>
              <w:ind w:firstLineChars="0" w:firstLine="0"/>
              <w:rPr>
                <w:szCs w:val="21"/>
              </w:rPr>
            </w:pPr>
            <w:r>
              <w:rPr>
                <w:szCs w:val="21"/>
              </w:rPr>
              <w:t>—</w:t>
            </w:r>
          </w:p>
        </w:tc>
        <w:tc>
          <w:tcPr>
            <w:tcW w:w="6973" w:type="dxa"/>
            <w:vAlign w:val="center"/>
          </w:tcPr>
          <w:p w:rsidR="00506AE6" w:rsidRDefault="0072598A">
            <w:pPr>
              <w:snapToGrid w:val="0"/>
              <w:spacing w:line="240" w:lineRule="auto"/>
              <w:ind w:firstLineChars="0" w:firstLine="0"/>
              <w:rPr>
                <w:position w:val="-12"/>
              </w:rPr>
            </w:pPr>
            <w:r>
              <w:rPr>
                <w:rFonts w:hint="eastAsia"/>
                <w:position w:val="-12"/>
              </w:rPr>
              <w:t>熟料生产线编号。</w:t>
            </w:r>
          </w:p>
        </w:tc>
      </w:tr>
    </w:tbl>
    <w:p w:rsidR="00506AE6" w:rsidRDefault="0072598A">
      <w:pPr>
        <w:pStyle w:val="a4"/>
        <w:numPr>
          <w:ilvl w:val="2"/>
          <w:numId w:val="1"/>
        </w:numPr>
        <w:spacing w:before="156" w:after="156" w:line="360" w:lineRule="exact"/>
        <w:rPr>
          <w:rFonts w:ascii="Times New Roman"/>
        </w:rPr>
      </w:pPr>
      <w:bookmarkStart w:id="279" w:name="_Toc140003028"/>
      <w:bookmarkStart w:id="280" w:name="_Toc140045478"/>
      <w:bookmarkStart w:id="281" w:name="_Ref144411779"/>
      <w:bookmarkStart w:id="282" w:name="_Ref144406606"/>
      <w:r>
        <w:rPr>
          <w:rFonts w:ascii="Times New Roman" w:hint="eastAsia"/>
        </w:rPr>
        <w:t>数据的监测与获取</w:t>
      </w:r>
      <w:bookmarkEnd w:id="279"/>
      <w:bookmarkEnd w:id="280"/>
      <w:bookmarkEnd w:id="281"/>
      <w:bookmarkEnd w:id="282"/>
    </w:p>
    <w:p w:rsidR="00506AE6" w:rsidRDefault="0072598A">
      <w:pPr>
        <w:pStyle w:val="a4"/>
        <w:numPr>
          <w:ilvl w:val="3"/>
          <w:numId w:val="1"/>
        </w:numPr>
        <w:spacing w:before="156" w:after="156" w:line="360" w:lineRule="exact"/>
        <w:outlineLvl w:val="3"/>
        <w:rPr>
          <w:rFonts w:ascii="Times New Roman"/>
        </w:rPr>
      </w:pPr>
      <w:r>
        <w:rPr>
          <w:rFonts w:ascii="Times New Roman" w:hint="eastAsia"/>
        </w:rPr>
        <w:t>化石燃料消耗量的计量与监测频次</w:t>
      </w:r>
    </w:p>
    <w:p w:rsidR="00506AE6" w:rsidRDefault="0072598A">
      <w:pPr>
        <w:pStyle w:val="affa"/>
        <w:numPr>
          <w:ilvl w:val="255"/>
          <w:numId w:val="0"/>
        </w:numPr>
        <w:tabs>
          <w:tab w:val="clear" w:pos="-420"/>
          <w:tab w:val="clear" w:pos="0"/>
        </w:tabs>
        <w:spacing w:line="360" w:lineRule="exact"/>
        <w:ind w:firstLineChars="200" w:firstLine="420"/>
      </w:pPr>
      <w:r>
        <w:rPr>
          <w:rFonts w:hint="eastAsia"/>
        </w:rPr>
        <w:t>化石燃料消耗量</w:t>
      </w:r>
      <w:r>
        <w:rPr>
          <w:rFonts w:hint="eastAsia"/>
          <w:kern w:val="2"/>
          <w:szCs w:val="21"/>
        </w:rPr>
        <w:t>按以下</w:t>
      </w:r>
      <w:r>
        <w:rPr>
          <w:rFonts w:hint="eastAsia"/>
          <w:kern w:val="2"/>
          <w:szCs w:val="21"/>
        </w:rPr>
        <w:t>优先序</w:t>
      </w:r>
      <w:r>
        <w:rPr>
          <w:rFonts w:hint="eastAsia"/>
          <w:kern w:val="2"/>
          <w:szCs w:val="21"/>
        </w:rPr>
        <w:t>获取</w:t>
      </w:r>
      <w:r>
        <w:rPr>
          <w:rFonts w:hint="eastAsia"/>
        </w:rPr>
        <w:t>：</w:t>
      </w:r>
    </w:p>
    <w:p w:rsidR="00506AE6" w:rsidRDefault="0072598A">
      <w:pPr>
        <w:pStyle w:val="affa"/>
        <w:numPr>
          <w:ilvl w:val="255"/>
          <w:numId w:val="0"/>
        </w:numPr>
        <w:tabs>
          <w:tab w:val="clear" w:pos="-420"/>
          <w:tab w:val="clear" w:pos="0"/>
        </w:tabs>
        <w:spacing w:line="360" w:lineRule="exact"/>
        <w:ind w:firstLineChars="200" w:firstLine="420"/>
      </w:pPr>
      <w:r>
        <w:rPr>
          <w:rFonts w:hint="eastAsia"/>
        </w:rPr>
        <w:t>a)</w:t>
      </w:r>
      <w:r>
        <w:t xml:space="preserve"> </w:t>
      </w:r>
      <w:r>
        <w:rPr>
          <w:rFonts w:hint="eastAsia"/>
        </w:rPr>
        <w:t>燃煤消耗量应采用入磨煤皮带秤连续计量数据</w:t>
      </w:r>
      <w:r>
        <w:rPr>
          <w:rFonts w:hint="eastAsia"/>
        </w:rPr>
        <w:t>，</w:t>
      </w:r>
      <w:r>
        <w:rPr>
          <w:rFonts w:hint="eastAsia"/>
        </w:rPr>
        <w:t>并</w:t>
      </w:r>
      <w:r>
        <w:rPr>
          <w:rFonts w:hint="eastAsia"/>
        </w:rPr>
        <w:t>宜同步上传全国碳市场管理平台。</w:t>
      </w:r>
      <w:r>
        <w:rPr>
          <w:rFonts w:hint="eastAsia"/>
        </w:rPr>
        <w:t>皮带秤须每月采用实物或循环链码校验，并且至少每年</w:t>
      </w:r>
      <w:r>
        <w:rPr>
          <w:rFonts w:hint="eastAsia"/>
        </w:rPr>
        <w:t>进行检定</w:t>
      </w:r>
      <w:r>
        <w:rPr>
          <w:rFonts w:hint="eastAsia"/>
        </w:rPr>
        <w:t>/</w:t>
      </w:r>
      <w:r>
        <w:rPr>
          <w:rFonts w:hint="eastAsia"/>
        </w:rPr>
        <w:t>校准。</w:t>
      </w:r>
    </w:p>
    <w:p w:rsidR="00506AE6" w:rsidRDefault="0072598A">
      <w:pPr>
        <w:pStyle w:val="affa"/>
        <w:numPr>
          <w:ilvl w:val="255"/>
          <w:numId w:val="0"/>
        </w:numPr>
        <w:tabs>
          <w:tab w:val="clear" w:pos="-420"/>
          <w:tab w:val="clear" w:pos="0"/>
        </w:tabs>
        <w:spacing w:line="360" w:lineRule="exact"/>
        <w:ind w:firstLineChars="200" w:firstLine="420"/>
      </w:pPr>
      <w:r>
        <w:rPr>
          <w:rFonts w:hint="eastAsia"/>
        </w:rPr>
        <w:t>b</w:t>
      </w:r>
      <w:r>
        <w:t xml:space="preserve">) </w:t>
      </w:r>
      <w:r>
        <w:rPr>
          <w:rFonts w:hint="eastAsia"/>
        </w:rPr>
        <w:t>采用“进厂原煤量</w:t>
      </w:r>
      <w:r>
        <w:rPr>
          <w:rFonts w:hint="eastAsia"/>
        </w:rPr>
        <w:t>+</w:t>
      </w:r>
      <w:r>
        <w:rPr>
          <w:rFonts w:hint="eastAsia"/>
        </w:rPr>
        <w:t>期初库存</w:t>
      </w:r>
      <w:r>
        <w:rPr>
          <w:rFonts w:hint="eastAsia"/>
        </w:rPr>
        <w:t>-</w:t>
      </w:r>
      <w:r>
        <w:rPr>
          <w:rFonts w:hint="eastAsia"/>
        </w:rPr>
        <w:t>期末库存</w:t>
      </w:r>
      <w:r>
        <w:rPr>
          <w:rFonts w:hint="eastAsia"/>
        </w:rPr>
        <w:t>-</w:t>
      </w:r>
      <w:r>
        <w:rPr>
          <w:rFonts w:hint="eastAsia"/>
        </w:rPr>
        <w:t>外销量”核算。进厂原煤量和外销量应采用电子汽车衡等计量数据；库存量应至少每月实际盘存。</w:t>
      </w:r>
    </w:p>
    <w:p w:rsidR="00506AE6" w:rsidRDefault="0072598A">
      <w:pPr>
        <w:pStyle w:val="affa"/>
        <w:numPr>
          <w:ilvl w:val="255"/>
          <w:numId w:val="0"/>
        </w:numPr>
        <w:tabs>
          <w:tab w:val="clear" w:pos="-420"/>
          <w:tab w:val="clear" w:pos="0"/>
        </w:tabs>
        <w:spacing w:line="360" w:lineRule="exact"/>
      </w:pPr>
      <w:r>
        <w:rPr>
          <w:rFonts w:hint="eastAsia"/>
        </w:rPr>
        <w:t>多条生产线共用</w:t>
      </w:r>
      <w:r>
        <w:rPr>
          <w:rFonts w:hint="eastAsia"/>
        </w:rPr>
        <w:t>煤粉</w:t>
      </w:r>
      <w:r>
        <w:rPr>
          <w:rFonts w:hint="eastAsia"/>
        </w:rPr>
        <w:t>仓</w:t>
      </w:r>
      <w:r>
        <w:rPr>
          <w:rFonts w:hint="eastAsia"/>
        </w:rPr>
        <w:t>或原煤堆场</w:t>
      </w:r>
      <w:r>
        <w:rPr>
          <w:rFonts w:hint="eastAsia"/>
        </w:rPr>
        <w:t>时，各生产线的燃煤消耗量根据生产线的入窑煤粉量分摊计算，入窑煤粉量采用生产系统记录的计量数据。</w:t>
      </w:r>
    </w:p>
    <w:p w:rsidR="00506AE6" w:rsidRDefault="0072598A">
      <w:pPr>
        <w:pStyle w:val="affa"/>
        <w:numPr>
          <w:ilvl w:val="255"/>
          <w:numId w:val="0"/>
        </w:numPr>
        <w:tabs>
          <w:tab w:val="clear" w:pos="-420"/>
          <w:tab w:val="clear" w:pos="0"/>
        </w:tabs>
        <w:spacing w:line="360" w:lineRule="exact"/>
      </w:pPr>
      <w:r>
        <w:rPr>
          <w:rFonts w:hint="eastAsia"/>
        </w:rPr>
        <w:t>皮带秤</w:t>
      </w:r>
      <w:r>
        <w:rPr>
          <w:rFonts w:hint="eastAsia"/>
        </w:rPr>
        <w:t>、</w:t>
      </w:r>
      <w:r>
        <w:rPr>
          <w:rFonts w:hint="eastAsia"/>
        </w:rPr>
        <w:t>电子汽车衡</w:t>
      </w:r>
      <w:r>
        <w:rPr>
          <w:rFonts w:hint="eastAsia"/>
        </w:rPr>
        <w:t>等计量器具</w:t>
      </w:r>
      <w:r>
        <w:rPr>
          <w:rFonts w:hint="eastAsia"/>
        </w:rPr>
        <w:t>的准确度等级应符合</w:t>
      </w:r>
      <w:r>
        <w:t>GB/T 35461</w:t>
      </w:r>
      <w:r>
        <w:rPr>
          <w:rFonts w:hint="eastAsia"/>
        </w:rPr>
        <w:t>或相关计量检定规程的要求。计量器具应确保在有效的检定</w:t>
      </w:r>
      <w:r>
        <w:rPr>
          <w:rFonts w:hint="eastAsia"/>
        </w:rPr>
        <w:t>/</w:t>
      </w:r>
      <w:r>
        <w:rPr>
          <w:rFonts w:hint="eastAsia"/>
        </w:rPr>
        <w:t>校准周期内</w:t>
      </w:r>
      <w:r>
        <w:rPr>
          <w:rFonts w:hint="eastAsia"/>
        </w:rPr>
        <w:t>，由有资质的机构至少每年进行检定</w:t>
      </w:r>
      <w:r>
        <w:rPr>
          <w:rFonts w:hint="eastAsia"/>
        </w:rPr>
        <w:t>/</w:t>
      </w:r>
      <w:r>
        <w:rPr>
          <w:rFonts w:hint="eastAsia"/>
        </w:rPr>
        <w:t>校准，并符合</w:t>
      </w:r>
      <w:r>
        <w:rPr>
          <w:rFonts w:hint="eastAsia"/>
        </w:rPr>
        <w:t>JJG 539</w:t>
      </w:r>
      <w:r>
        <w:rPr>
          <w:rFonts w:hint="eastAsia"/>
        </w:rPr>
        <w:t>、</w:t>
      </w:r>
      <w:r>
        <w:rPr>
          <w:rFonts w:hint="eastAsia"/>
        </w:rPr>
        <w:t>JJG 1118</w:t>
      </w:r>
      <w:r>
        <w:rPr>
          <w:rFonts w:hint="eastAsia"/>
        </w:rPr>
        <w:t>等规程的要求</w:t>
      </w:r>
      <w:r>
        <w:rPr>
          <w:rFonts w:hint="eastAsia"/>
        </w:rPr>
        <w:t>。</w:t>
      </w:r>
    </w:p>
    <w:p w:rsidR="00506AE6" w:rsidRDefault="0072598A">
      <w:pPr>
        <w:pStyle w:val="a4"/>
        <w:numPr>
          <w:ilvl w:val="3"/>
          <w:numId w:val="1"/>
        </w:numPr>
        <w:spacing w:before="156" w:after="156" w:line="360" w:lineRule="exact"/>
        <w:outlineLvl w:val="3"/>
        <w:rPr>
          <w:rFonts w:ascii="Times New Roman"/>
        </w:rPr>
      </w:pPr>
      <w:r>
        <w:rPr>
          <w:rFonts w:ascii="Times New Roman" w:hint="eastAsia"/>
        </w:rPr>
        <w:t>化石燃料低位发热量的取值</w:t>
      </w:r>
    </w:p>
    <w:p w:rsidR="00506AE6" w:rsidRDefault="0072598A">
      <w:pPr>
        <w:pStyle w:val="affa"/>
        <w:tabs>
          <w:tab w:val="clear" w:pos="-420"/>
          <w:tab w:val="clear" w:pos="0"/>
        </w:tabs>
        <w:spacing w:line="360" w:lineRule="exact"/>
      </w:pPr>
      <w:r>
        <w:rPr>
          <w:rFonts w:hint="eastAsia"/>
        </w:rPr>
        <w:t>燃煤低位发热量</w:t>
      </w:r>
      <w:r>
        <w:t>采用</w:t>
      </w:r>
      <w:r>
        <w:rPr>
          <w:rFonts w:hint="eastAsia"/>
        </w:rPr>
        <w:t>附录</w:t>
      </w:r>
      <w:r>
        <w:rPr>
          <w:rFonts w:hint="eastAsia"/>
        </w:rPr>
        <w:t>B</w:t>
      </w:r>
      <w:r>
        <w:t>给出的缺省值</w:t>
      </w:r>
      <w:r>
        <w:rPr>
          <w:rFonts w:hint="eastAsia"/>
        </w:rPr>
        <w:t>。生态环境部有更新的，采用其最新发布的数值。</w:t>
      </w:r>
    </w:p>
    <w:p w:rsidR="00506AE6" w:rsidRDefault="0072598A">
      <w:pPr>
        <w:pStyle w:val="affa"/>
        <w:tabs>
          <w:tab w:val="clear" w:pos="-420"/>
          <w:tab w:val="clear" w:pos="0"/>
        </w:tabs>
        <w:spacing w:line="360" w:lineRule="exact"/>
      </w:pPr>
      <w:r>
        <w:rPr>
          <w:rFonts w:hint="eastAsia"/>
        </w:rPr>
        <w:t>对于采样、制样、检测等建立全流程影像资料记录与留存制度，实施全流程视频监控且实验室通过中国合格评定国家认可委员会（</w:t>
      </w:r>
      <w:r>
        <w:rPr>
          <w:rFonts w:hint="eastAsia"/>
        </w:rPr>
        <w:t>CNAS</w:t>
      </w:r>
      <w:r>
        <w:rPr>
          <w:rFonts w:hint="eastAsia"/>
        </w:rPr>
        <w:t>）认可，检测数据同步上传至全国碳市场管理平台的企业，化石燃料低位发热量可采用收到基低位发热量实测值。采样、制样应符合</w:t>
      </w:r>
      <w:r>
        <w:rPr>
          <w:rFonts w:hint="eastAsia"/>
        </w:rPr>
        <w:t>GB/T 474</w:t>
      </w:r>
      <w:r>
        <w:rPr>
          <w:rFonts w:hint="eastAsia"/>
        </w:rPr>
        <w:t>、</w:t>
      </w:r>
      <w:r>
        <w:rPr>
          <w:rFonts w:hint="eastAsia"/>
        </w:rPr>
        <w:t>GB/T 475</w:t>
      </w:r>
      <w:r>
        <w:rPr>
          <w:rFonts w:hint="eastAsia"/>
        </w:rPr>
        <w:t>、</w:t>
      </w:r>
      <w:r>
        <w:rPr>
          <w:rFonts w:hint="eastAsia"/>
        </w:rPr>
        <w:t>GB/T 19494.1</w:t>
      </w:r>
      <w:r>
        <w:rPr>
          <w:rFonts w:hint="eastAsia"/>
        </w:rPr>
        <w:t>和</w:t>
      </w:r>
      <w:r>
        <w:rPr>
          <w:rFonts w:hint="eastAsia"/>
        </w:rPr>
        <w:t>GB/T 19494.2</w:t>
      </w:r>
      <w:r>
        <w:rPr>
          <w:rFonts w:hint="eastAsia"/>
        </w:rPr>
        <w:t>的相关要求，检测应符合</w:t>
      </w:r>
      <w:r>
        <w:rPr>
          <w:rFonts w:hint="eastAsia"/>
        </w:rPr>
        <w:t>GB/T 213</w:t>
      </w:r>
      <w:r>
        <w:rPr>
          <w:rFonts w:hint="eastAsia"/>
        </w:rPr>
        <w:t>的相关要求，并且低位发热量采样应与对应化石燃料消耗量状态一致。</w:t>
      </w:r>
    </w:p>
    <w:p w:rsidR="00506AE6" w:rsidRDefault="0072598A">
      <w:pPr>
        <w:pStyle w:val="affa"/>
        <w:tabs>
          <w:tab w:val="clear" w:pos="-420"/>
          <w:tab w:val="clear" w:pos="0"/>
        </w:tabs>
        <w:spacing w:line="360" w:lineRule="exact"/>
      </w:pPr>
      <w:r>
        <w:rPr>
          <w:rFonts w:hint="eastAsia"/>
        </w:rPr>
        <w:lastRenderedPageBreak/>
        <w:t>对于采用实测值的企业，化石燃料年度平均低位发热量由月度平均低位发热量加权计算得到，其权</w:t>
      </w:r>
      <w:r>
        <w:rPr>
          <w:rFonts w:hint="eastAsia"/>
        </w:rPr>
        <w:t>重是月度消耗量；月度平均低位发热量由每日</w:t>
      </w:r>
      <w:r>
        <w:rPr>
          <w:rFonts w:hint="eastAsia"/>
        </w:rPr>
        <w:t>或每批次</w:t>
      </w:r>
      <w:r>
        <w:rPr>
          <w:rFonts w:hint="eastAsia"/>
        </w:rPr>
        <w:t>化石燃料的低位发热量加权计算得到，其权重是每日</w:t>
      </w:r>
      <w:r>
        <w:rPr>
          <w:rFonts w:hint="eastAsia"/>
        </w:rPr>
        <w:t>入磨煤</w:t>
      </w:r>
      <w:r>
        <w:rPr>
          <w:rFonts w:hint="eastAsia"/>
        </w:rPr>
        <w:t>消耗量</w:t>
      </w:r>
      <w:r>
        <w:rPr>
          <w:rFonts w:hint="eastAsia"/>
        </w:rPr>
        <w:t>或每批次进厂原煤量</w:t>
      </w:r>
      <w:r>
        <w:rPr>
          <w:rFonts w:hint="eastAsia"/>
        </w:rPr>
        <w:t>。</w:t>
      </w:r>
    </w:p>
    <w:p w:rsidR="00506AE6" w:rsidRDefault="0072598A">
      <w:pPr>
        <w:pStyle w:val="a4"/>
        <w:numPr>
          <w:ilvl w:val="3"/>
          <w:numId w:val="1"/>
        </w:numPr>
        <w:spacing w:before="156" w:after="156" w:line="360" w:lineRule="exact"/>
        <w:outlineLvl w:val="3"/>
        <w:rPr>
          <w:rFonts w:ascii="Times New Roman"/>
        </w:rPr>
      </w:pPr>
      <w:r>
        <w:rPr>
          <w:rFonts w:ascii="Times New Roman" w:hint="eastAsia"/>
        </w:rPr>
        <w:t>化石燃料单位热值含碳量的取值</w:t>
      </w:r>
    </w:p>
    <w:p w:rsidR="00506AE6" w:rsidRDefault="0072598A">
      <w:pPr>
        <w:pStyle w:val="affa"/>
        <w:tabs>
          <w:tab w:val="clear" w:pos="-420"/>
          <w:tab w:val="clear" w:pos="0"/>
        </w:tabs>
        <w:spacing w:line="360" w:lineRule="exact"/>
      </w:pPr>
      <w:r>
        <w:rPr>
          <w:rFonts w:hint="eastAsia"/>
        </w:rPr>
        <w:t>化石燃料单位热值含碳量</w:t>
      </w:r>
      <w:r>
        <w:t>采用</w:t>
      </w:r>
      <w:r>
        <w:rPr>
          <w:rFonts w:hint="eastAsia"/>
        </w:rPr>
        <w:t>附录</w:t>
      </w:r>
      <w:r>
        <w:rPr>
          <w:rFonts w:hint="eastAsia"/>
        </w:rPr>
        <w:t>B</w:t>
      </w:r>
      <w:r>
        <w:t>给出的缺省值</w:t>
      </w:r>
      <w:r>
        <w:rPr>
          <w:rFonts w:hint="eastAsia"/>
        </w:rPr>
        <w:t>。生态环境部有更新的，采用其最新发布的数值。</w:t>
      </w:r>
    </w:p>
    <w:p w:rsidR="00506AE6" w:rsidRDefault="0072598A">
      <w:pPr>
        <w:pStyle w:val="a4"/>
        <w:numPr>
          <w:ilvl w:val="3"/>
          <w:numId w:val="1"/>
        </w:numPr>
        <w:spacing w:before="156" w:after="156" w:line="360" w:lineRule="exact"/>
        <w:outlineLvl w:val="3"/>
        <w:rPr>
          <w:rFonts w:ascii="Times New Roman"/>
        </w:rPr>
      </w:pPr>
      <w:r>
        <w:rPr>
          <w:rFonts w:ascii="Times New Roman" w:hint="eastAsia"/>
        </w:rPr>
        <w:t>化石燃料碳氧化率的取值</w:t>
      </w:r>
    </w:p>
    <w:p w:rsidR="00506AE6" w:rsidRDefault="0072598A">
      <w:pPr>
        <w:pStyle w:val="affa"/>
        <w:tabs>
          <w:tab w:val="clear" w:pos="-420"/>
          <w:tab w:val="clear" w:pos="0"/>
        </w:tabs>
        <w:spacing w:line="360" w:lineRule="exact"/>
      </w:pPr>
      <w:r>
        <w:rPr>
          <w:rFonts w:hint="eastAsia"/>
        </w:rPr>
        <w:t>燃煤在水泥窑中燃烧的碳氧化率取</w:t>
      </w:r>
      <w:r>
        <w:rPr>
          <w:rFonts w:hint="eastAsia"/>
        </w:rPr>
        <w:t>99%</w:t>
      </w:r>
      <w:r>
        <w:rPr>
          <w:rFonts w:hint="eastAsia"/>
        </w:rPr>
        <w:t>。生态环境部有更新的，采用其最新发布的数值。</w:t>
      </w:r>
    </w:p>
    <w:p w:rsidR="00506AE6" w:rsidRDefault="0072598A">
      <w:pPr>
        <w:pStyle w:val="a4"/>
        <w:spacing w:beforeLines="100" w:before="312" w:after="156" w:line="360" w:lineRule="exact"/>
        <w:ind w:left="0"/>
        <w:outlineLvl w:val="1"/>
      </w:pPr>
      <w:bookmarkStart w:id="283" w:name="_Toc140045479"/>
      <w:bookmarkStart w:id="284" w:name="_Toc140003033"/>
      <w:bookmarkStart w:id="285" w:name="_Toc144282472"/>
      <w:r>
        <w:rPr>
          <w:rFonts w:hint="eastAsia"/>
        </w:rPr>
        <w:t>过程排放核算要求</w:t>
      </w:r>
      <w:bookmarkEnd w:id="283"/>
      <w:bookmarkEnd w:id="284"/>
      <w:bookmarkEnd w:id="285"/>
    </w:p>
    <w:p w:rsidR="00506AE6" w:rsidRDefault="0072598A">
      <w:pPr>
        <w:pStyle w:val="a4"/>
        <w:numPr>
          <w:ilvl w:val="2"/>
          <w:numId w:val="1"/>
        </w:numPr>
        <w:spacing w:before="156" w:after="156" w:line="360" w:lineRule="exact"/>
        <w:rPr>
          <w:rFonts w:ascii="Times New Roman"/>
        </w:rPr>
      </w:pPr>
      <w:bookmarkStart w:id="286" w:name="_Toc140003034"/>
      <w:bookmarkStart w:id="287" w:name="_Toc140045480"/>
      <w:r>
        <w:rPr>
          <w:rFonts w:ascii="Times New Roman" w:hint="eastAsia"/>
        </w:rPr>
        <w:t>计算公式</w:t>
      </w:r>
      <w:bookmarkEnd w:id="286"/>
      <w:bookmarkEnd w:id="287"/>
    </w:p>
    <w:p w:rsidR="00506AE6" w:rsidRDefault="0072598A">
      <w:pPr>
        <w:pStyle w:val="affa"/>
        <w:tabs>
          <w:tab w:val="clear" w:pos="-420"/>
          <w:tab w:val="clear" w:pos="0"/>
        </w:tabs>
        <w:spacing w:line="360" w:lineRule="exact"/>
      </w:pPr>
      <w:r>
        <w:rPr>
          <w:rFonts w:hint="eastAsia"/>
        </w:rPr>
        <w:t>熟料生产的过程排放量按公式</w:t>
      </w:r>
      <w:r>
        <w:rPr>
          <w:rFonts w:hint="eastAsia"/>
          <w:iCs/>
        </w:rPr>
        <w:t>（</w:t>
      </w:r>
      <w:r>
        <w:rPr>
          <w:rFonts w:hint="eastAsia"/>
          <w:iCs/>
        </w:rPr>
        <w:t>2</w:t>
      </w:r>
      <w:r>
        <w:rPr>
          <w:rFonts w:hint="eastAsia"/>
          <w:iCs/>
        </w:rPr>
        <w:t>）</w:t>
      </w:r>
      <w:r>
        <w:rPr>
          <w:rFonts w:hint="eastAsia"/>
        </w:rPr>
        <w:t>计算。</w:t>
      </w:r>
    </w:p>
    <w:p w:rsidR="00506AE6" w:rsidRDefault="0072598A">
      <w:pPr>
        <w:pStyle w:val="MTDisplayEquation"/>
      </w:pPr>
      <w:r>
        <w:tab/>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r>
              <m:rPr>
                <m:sty m:val="p"/>
              </m:rPr>
              <w:rPr>
                <w:rFonts w:ascii="Cambria Math" w:hAnsi="Cambria Math"/>
              </w:rPr>
              <m:t>过程</m:t>
            </m:r>
            <m:r>
              <m:rPr>
                <m:sty m:val="p"/>
              </m:rPr>
              <w:rPr>
                <w:rFonts w:ascii="Cambria Math" w:hAnsi="Cambria Math"/>
              </w:rPr>
              <m:t>,j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ck,j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EF</m:t>
            </m:r>
          </m:e>
          <m:sub>
            <m:r>
              <m:rPr>
                <m:sty m:val="p"/>
              </m:rPr>
              <w:rPr>
                <w:rFonts w:ascii="Cambria Math" w:hAnsi="Cambria Math"/>
              </w:rPr>
              <m:t>ck,j</m:t>
            </m:r>
          </m:sub>
        </m:sSub>
        <m:r>
          <m:rPr>
            <m:sty m:val="p"/>
          </m:rPr>
          <w:rPr>
            <w:rFonts w:ascii="Cambria Math" w:hAnsi="Cambria Math"/>
          </w:rPr>
          <m:t>-</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a,i,j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EF</m:t>
                    </m:r>
                  </m:e>
                  <m:sub>
                    <m:r>
                      <m:rPr>
                        <m:sty m:val="p"/>
                      </m:rPr>
                      <w:rPr>
                        <w:rFonts w:ascii="Cambria Math" w:hAnsi="Cambria Math"/>
                      </w:rPr>
                      <m:t>a,i</m:t>
                    </m:r>
                  </m:sub>
                </m:sSub>
              </m:e>
            </m:d>
          </m:e>
        </m:nary>
      </m:oMath>
      <w:r>
        <w:tab/>
      </w:r>
      <w:r>
        <w:rPr>
          <w:rFonts w:hint="eastAsia"/>
        </w:rPr>
        <w:t>（</w:t>
      </w:r>
      <w:r>
        <w:rPr>
          <w:rFonts w:hint="eastAsia"/>
        </w:rPr>
        <w:t>2</w:t>
      </w:r>
      <w:r>
        <w:rPr>
          <w:rFonts w:hint="eastAsia"/>
        </w:rPr>
        <w:t>）</w:t>
      </w:r>
    </w:p>
    <w:p w:rsidR="00506AE6" w:rsidRDefault="0072598A">
      <w:pPr>
        <w:pStyle w:val="affa"/>
        <w:tabs>
          <w:tab w:val="clear" w:pos="-420"/>
          <w:tab w:val="clear" w:pos="0"/>
        </w:tabs>
        <w:spacing w:line="360" w:lineRule="exact"/>
      </w:pPr>
      <w:r>
        <w:rPr>
          <w:rFonts w:hint="eastAsia"/>
        </w:rPr>
        <w:t>式中：</w:t>
      </w:r>
    </w:p>
    <w:tbl>
      <w:tblPr>
        <w:tblW w:w="8333" w:type="dxa"/>
        <w:jc w:val="right"/>
        <w:tblLayout w:type="fixed"/>
        <w:tblLook w:val="04A0" w:firstRow="1" w:lastRow="0" w:firstColumn="1" w:lastColumn="0" w:noHBand="0" w:noVBand="1"/>
      </w:tblPr>
      <w:tblGrid>
        <w:gridCol w:w="850"/>
        <w:gridCol w:w="340"/>
        <w:gridCol w:w="7143"/>
      </w:tblGrid>
      <w:tr w:rsidR="00506AE6">
        <w:trPr>
          <w:trHeight w:val="20"/>
          <w:jc w:val="right"/>
        </w:trPr>
        <w:tc>
          <w:tcPr>
            <w:tcW w:w="850" w:type="dxa"/>
            <w:vAlign w:val="center"/>
          </w:tcPr>
          <w:p w:rsidR="00506AE6" w:rsidRDefault="0072598A">
            <w:pPr>
              <w:adjustRightInd w:val="0"/>
              <w:snapToGrid w:val="0"/>
              <w:spacing w:line="240" w:lineRule="auto"/>
              <w:ind w:firstLineChars="0" w:firstLine="0"/>
              <w:jc w:val="left"/>
              <w:rPr>
                <w:i/>
                <w:iCs/>
              </w:rPr>
            </w:pPr>
            <m:oMathPara>
              <m:oMathParaPr>
                <m:jc m:val="left"/>
              </m:oMathParaPr>
              <m:oMath>
                <m:sSub>
                  <m:sSubPr>
                    <m:ctrlPr>
                      <w:rPr>
                        <w:rFonts w:ascii="Cambria Math" w:hAnsi="Cambria Math"/>
                        <w:i/>
                        <w:iCs/>
                      </w:rPr>
                    </m:ctrlPr>
                  </m:sSubPr>
                  <m:e>
                    <m:r>
                      <w:rPr>
                        <w:rFonts w:ascii="Cambria Math" w:hAnsi="Cambria Math"/>
                      </w:rPr>
                      <m:t>E</m:t>
                    </m:r>
                  </m:e>
                  <m:sub>
                    <m:r>
                      <w:rPr>
                        <w:rFonts w:ascii="Cambria Math" w:hAnsi="Cambria Math"/>
                      </w:rPr>
                      <m:t>ck</m:t>
                    </m:r>
                    <m:r>
                      <w:rPr>
                        <w:rFonts w:ascii="Cambria Math" w:hAnsi="Cambria Math"/>
                      </w:rPr>
                      <m:t>过程</m:t>
                    </m:r>
                    <m:r>
                      <w:rPr>
                        <w:rFonts w:ascii="Cambria Math" w:hAnsi="Cambria Math"/>
                      </w:rPr>
                      <m:t>,</m:t>
                    </m:r>
                    <m:r>
                      <w:rPr>
                        <w:rFonts w:ascii="Cambria Math" w:hAnsi="Cambria Math" w:hint="eastAsia"/>
                      </w:rPr>
                      <m:t>j</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143" w:type="dxa"/>
            <w:vAlign w:val="center"/>
          </w:tcPr>
          <w:p w:rsidR="00506AE6" w:rsidRDefault="0072598A">
            <w:pPr>
              <w:adjustRightInd w:val="0"/>
              <w:snapToGrid w:val="0"/>
              <w:spacing w:line="240" w:lineRule="auto"/>
              <w:ind w:firstLineChars="0" w:firstLine="0"/>
              <w:jc w:val="left"/>
            </w:pPr>
            <w:r>
              <w:rPr>
                <w:rFonts w:hint="eastAsia"/>
              </w:rPr>
              <w:t>熟料生产线</w:t>
            </w:r>
            <m:oMath>
              <m:r>
                <w:rPr>
                  <w:rFonts w:ascii="Cambria Math" w:hAnsi="Cambria Math" w:hint="eastAsia"/>
                  <w:szCs w:val="21"/>
                </w:rPr>
                <m:t>j</m:t>
              </m:r>
            </m:oMath>
            <w:r>
              <w:rPr>
                <w:rFonts w:hint="eastAsia"/>
              </w:rPr>
              <w:t>的过程排放量，单位为吨二氧化碳（</w:t>
            </w:r>
            <w:r>
              <w:rPr>
                <w:rFonts w:hint="eastAsia"/>
              </w:rPr>
              <w:t>t</w:t>
            </w:r>
            <w:r>
              <w:t>CO</w:t>
            </w:r>
            <w:r>
              <w:rPr>
                <w:vertAlign w:val="subscript"/>
              </w:rPr>
              <w:t>2</w:t>
            </w:r>
            <w:r>
              <w:rPr>
                <w:rFonts w:hint="eastAsia"/>
              </w:rPr>
              <w:t>）；</w:t>
            </w:r>
          </w:p>
        </w:tc>
      </w:tr>
      <w:tr w:rsidR="00506AE6">
        <w:trPr>
          <w:trHeight w:val="20"/>
          <w:jc w:val="right"/>
        </w:trPr>
        <w:tc>
          <w:tcPr>
            <w:tcW w:w="850" w:type="dxa"/>
          </w:tcPr>
          <w:p w:rsidR="00506AE6" w:rsidRDefault="0072598A">
            <w:pPr>
              <w:adjustRightInd w:val="0"/>
              <w:snapToGrid w:val="0"/>
              <w:spacing w:line="240" w:lineRule="auto"/>
              <w:ind w:firstLineChars="0" w:firstLine="0"/>
              <w:rPr>
                <w:iCs/>
              </w:rPr>
            </w:pPr>
            <m:oMathPara>
              <m:oMathParaPr>
                <m:jc m:val="left"/>
              </m:oMathParaPr>
              <m:oMath>
                <m:sSub>
                  <m:sSubPr>
                    <m:ctrlPr>
                      <w:rPr>
                        <w:rFonts w:ascii="Cambria Math" w:hAnsi="Cambria Math"/>
                        <w:i/>
                        <w:szCs w:val="21"/>
                      </w:rPr>
                    </m:ctrlPr>
                  </m:sSubPr>
                  <m:e>
                    <m:r>
                      <w:rPr>
                        <w:rFonts w:ascii="Cambria Math" w:hAnsi="Cambria Math"/>
                        <w:szCs w:val="21"/>
                      </w:rPr>
                      <m:t>Q</m:t>
                    </m:r>
                  </m:e>
                  <m:sub>
                    <m:r>
                      <w:rPr>
                        <w:rFonts w:ascii="Cambria Math" w:hAnsi="Cambria Math"/>
                        <w:szCs w:val="21"/>
                      </w:rPr>
                      <m:t>ck</m:t>
                    </m:r>
                    <m:r>
                      <w:rPr>
                        <w:rFonts w:ascii="Cambria Math" w:hAnsi="Cambria Math"/>
                      </w:rPr>
                      <m:t>,</m:t>
                    </m:r>
                    <m:r>
                      <w:rPr>
                        <w:rFonts w:ascii="Cambria Math" w:hAnsi="Cambria Math" w:hint="eastAsia"/>
                      </w:rPr>
                      <m:t>j</m:t>
                    </m:r>
                  </m:sub>
                </m:sSub>
              </m:oMath>
            </m:oMathPara>
          </w:p>
        </w:tc>
        <w:tc>
          <w:tcPr>
            <w:tcW w:w="340" w:type="dxa"/>
          </w:tcPr>
          <w:p w:rsidR="00506AE6" w:rsidRDefault="0072598A">
            <w:pPr>
              <w:adjustRightInd w:val="0"/>
              <w:snapToGrid w:val="0"/>
              <w:spacing w:line="240" w:lineRule="auto"/>
              <w:ind w:firstLineChars="0" w:firstLine="0"/>
              <w:jc w:val="left"/>
              <w:rPr>
                <w:szCs w:val="21"/>
              </w:rPr>
            </w:pPr>
            <w:r>
              <w:rPr>
                <w:szCs w:val="21"/>
              </w:rPr>
              <w:t>—</w:t>
            </w:r>
          </w:p>
        </w:tc>
        <w:tc>
          <w:tcPr>
            <w:tcW w:w="7143" w:type="dxa"/>
          </w:tcPr>
          <w:p w:rsidR="00506AE6" w:rsidRDefault="0072598A">
            <w:pPr>
              <w:adjustRightInd w:val="0"/>
              <w:snapToGrid w:val="0"/>
              <w:spacing w:line="240" w:lineRule="auto"/>
              <w:ind w:firstLineChars="0" w:firstLine="0"/>
              <w:jc w:val="left"/>
            </w:pPr>
            <w:r>
              <w:rPr>
                <w:rFonts w:hint="eastAsia"/>
              </w:rPr>
              <w:t>熟料生产线</w:t>
            </w:r>
            <m:oMath>
              <m:r>
                <w:rPr>
                  <w:rFonts w:ascii="Cambria Math" w:hAnsi="Cambria Math" w:hint="eastAsia"/>
                  <w:szCs w:val="21"/>
                </w:rPr>
                <m:t>j</m:t>
              </m:r>
            </m:oMath>
            <w:r>
              <w:rPr>
                <w:rFonts w:hint="eastAsia"/>
              </w:rPr>
              <w:t>的熟料产量，单位为吨（</w:t>
            </w:r>
            <w:r>
              <w:t>t</w:t>
            </w:r>
            <w:r>
              <w:rPr>
                <w:rFonts w:hint="eastAsia"/>
              </w:rPr>
              <w:t>）；</w:t>
            </w:r>
          </w:p>
        </w:tc>
      </w:tr>
      <w:tr w:rsidR="00506AE6">
        <w:trPr>
          <w:trHeight w:val="20"/>
          <w:jc w:val="right"/>
        </w:trPr>
        <w:tc>
          <w:tcPr>
            <w:tcW w:w="850" w:type="dxa"/>
          </w:tcPr>
          <w:p w:rsidR="00506AE6" w:rsidRDefault="0072598A">
            <w:pPr>
              <w:adjustRightInd w:val="0"/>
              <w:snapToGrid w:val="0"/>
              <w:spacing w:line="240" w:lineRule="auto"/>
              <w:ind w:firstLineChars="0" w:firstLine="0"/>
              <w:jc w:val="left"/>
              <w:rPr>
                <w:szCs w:val="21"/>
              </w:rPr>
            </w:pPr>
            <m:oMathPara>
              <m:oMathParaPr>
                <m:jc m:val="left"/>
              </m:oMathParaPr>
              <m:oMath>
                <m:sSub>
                  <m:sSubPr>
                    <m:ctrlPr>
                      <w:rPr>
                        <w:rFonts w:ascii="Cambria Math" w:hAnsi="Cambria Math"/>
                        <w:i/>
                        <w:szCs w:val="21"/>
                      </w:rPr>
                    </m:ctrlPr>
                  </m:sSubPr>
                  <m:e>
                    <m:r>
                      <w:rPr>
                        <w:rFonts w:ascii="Cambria Math" w:hAnsi="Cambria Math"/>
                        <w:szCs w:val="21"/>
                      </w:rPr>
                      <m:t>EF</m:t>
                    </m:r>
                  </m:e>
                  <m:sub>
                    <m:r>
                      <w:rPr>
                        <w:rFonts w:ascii="Cambria Math" w:hAnsi="Cambria Math" w:hint="eastAsia"/>
                        <w:szCs w:val="21"/>
                      </w:rPr>
                      <m:t>ck</m:t>
                    </m:r>
                    <m:r>
                      <w:rPr>
                        <w:rFonts w:ascii="Cambria Math" w:hAnsi="Cambria Math"/>
                      </w:rPr>
                      <m:t>,</m:t>
                    </m:r>
                    <m:r>
                      <w:rPr>
                        <w:rFonts w:ascii="Cambria Math" w:hAnsi="Cambria Math"/>
                      </w:rPr>
                      <m:t>j</m:t>
                    </m:r>
                  </m:sub>
                </m:sSub>
              </m:oMath>
            </m:oMathPara>
          </w:p>
        </w:tc>
        <w:tc>
          <w:tcPr>
            <w:tcW w:w="340" w:type="dxa"/>
          </w:tcPr>
          <w:p w:rsidR="00506AE6" w:rsidRDefault="0072598A">
            <w:pPr>
              <w:adjustRightInd w:val="0"/>
              <w:snapToGrid w:val="0"/>
              <w:spacing w:line="240" w:lineRule="auto"/>
              <w:ind w:firstLineChars="0" w:firstLine="0"/>
              <w:jc w:val="left"/>
              <w:rPr>
                <w:szCs w:val="21"/>
              </w:rPr>
            </w:pPr>
            <w:r>
              <w:rPr>
                <w:szCs w:val="21"/>
              </w:rPr>
              <w:t>—</w:t>
            </w:r>
          </w:p>
        </w:tc>
        <w:tc>
          <w:tcPr>
            <w:tcW w:w="7143" w:type="dxa"/>
          </w:tcPr>
          <w:p w:rsidR="00506AE6" w:rsidRDefault="0072598A">
            <w:pPr>
              <w:adjustRightInd w:val="0"/>
              <w:snapToGrid w:val="0"/>
              <w:spacing w:line="240" w:lineRule="auto"/>
              <w:ind w:firstLineChars="0" w:firstLine="0"/>
              <w:jc w:val="left"/>
            </w:pPr>
            <w:r>
              <w:rPr>
                <w:rFonts w:hint="eastAsia"/>
              </w:rPr>
              <w:t>熟料生产线</w:t>
            </w:r>
            <m:oMath>
              <m:r>
                <w:rPr>
                  <w:rFonts w:ascii="Cambria Math" w:hAnsi="Cambria Math" w:hint="eastAsia"/>
                  <w:szCs w:val="21"/>
                </w:rPr>
                <m:t>j</m:t>
              </m:r>
            </m:oMath>
            <w:r>
              <w:rPr>
                <w:rFonts w:hint="eastAsia"/>
              </w:rPr>
              <w:t>对应的过程排放因子，单位为吨二氧化碳每吨（</w:t>
            </w:r>
            <w:r>
              <w:rPr>
                <w:rFonts w:hint="eastAsia"/>
              </w:rPr>
              <w:t>t</w:t>
            </w:r>
            <w:r>
              <w:t>CO</w:t>
            </w:r>
            <w:r>
              <w:rPr>
                <w:vertAlign w:val="subscript"/>
              </w:rPr>
              <w:t>2</w:t>
            </w:r>
            <w:r>
              <w:t>/</w:t>
            </w:r>
            <w:r>
              <w:rPr>
                <w:rFonts w:hint="eastAsia"/>
              </w:rPr>
              <w:t>t</w:t>
            </w:r>
            <w:r>
              <w:rPr>
                <w:rFonts w:hint="eastAsia"/>
              </w:rPr>
              <w:t>）；</w:t>
            </w:r>
          </w:p>
        </w:tc>
      </w:tr>
      <w:tr w:rsidR="00506AE6">
        <w:trPr>
          <w:trHeight w:val="20"/>
          <w:jc w:val="right"/>
        </w:trPr>
        <w:tc>
          <w:tcPr>
            <w:tcW w:w="850" w:type="dxa"/>
          </w:tcPr>
          <w:p w:rsidR="00506AE6" w:rsidRDefault="0072598A">
            <w:pPr>
              <w:adjustRightInd w:val="0"/>
              <w:snapToGrid w:val="0"/>
              <w:spacing w:line="240" w:lineRule="auto"/>
              <w:ind w:firstLineChars="0" w:firstLine="0"/>
              <w:jc w:val="left"/>
              <w:rPr>
                <w:szCs w:val="21"/>
              </w:rPr>
            </w:pPr>
            <m:oMathPara>
              <m:oMathParaPr>
                <m:jc m:val="left"/>
              </m:oMathParaPr>
              <m:oMath>
                <m:sSub>
                  <m:sSubPr>
                    <m:ctrlPr>
                      <w:rPr>
                        <w:rFonts w:ascii="Cambria Math" w:hAnsi="Cambria Math"/>
                        <w:i/>
                        <w:szCs w:val="21"/>
                      </w:rPr>
                    </m:ctrlPr>
                  </m:sSubPr>
                  <m:e>
                    <m:r>
                      <w:rPr>
                        <w:rFonts w:ascii="Cambria Math" w:hAnsi="Cambria Math"/>
                        <w:szCs w:val="21"/>
                      </w:rPr>
                      <m:t>Q</m:t>
                    </m:r>
                  </m:e>
                  <m:sub>
                    <m:r>
                      <w:rPr>
                        <w:rFonts w:ascii="Cambria Math" w:hAnsi="Cambria Math"/>
                        <w:szCs w:val="21"/>
                      </w:rPr>
                      <m:t>a</m:t>
                    </m:r>
                    <m:r>
                      <w:rPr>
                        <w:rFonts w:ascii="Cambria Math" w:hAnsi="Cambria Math"/>
                        <w:szCs w:val="21"/>
                      </w:rPr>
                      <m:t>,</m:t>
                    </m:r>
                    <m:r>
                      <w:rPr>
                        <w:rFonts w:ascii="Cambria Math" w:hAnsi="Cambria Math"/>
                        <w:szCs w:val="21"/>
                      </w:rPr>
                      <m:t>i</m:t>
                    </m:r>
                    <m:r>
                      <w:rPr>
                        <w:rFonts w:ascii="Cambria Math" w:hAnsi="Cambria Math"/>
                      </w:rPr>
                      <m:t>,</m:t>
                    </m:r>
                    <m:r>
                      <w:rPr>
                        <w:rFonts w:ascii="Cambria Math" w:hAnsi="Cambria Math" w:hint="eastAsia"/>
                      </w:rPr>
                      <m:t>j</m:t>
                    </m:r>
                  </m:sub>
                </m:sSub>
              </m:oMath>
            </m:oMathPara>
          </w:p>
        </w:tc>
        <w:tc>
          <w:tcPr>
            <w:tcW w:w="340" w:type="dxa"/>
          </w:tcPr>
          <w:p w:rsidR="00506AE6" w:rsidRDefault="0072598A">
            <w:pPr>
              <w:adjustRightInd w:val="0"/>
              <w:snapToGrid w:val="0"/>
              <w:spacing w:line="240" w:lineRule="auto"/>
              <w:ind w:firstLineChars="0" w:firstLine="0"/>
              <w:jc w:val="left"/>
              <w:rPr>
                <w:szCs w:val="21"/>
              </w:rPr>
            </w:pPr>
            <w:r>
              <w:rPr>
                <w:szCs w:val="21"/>
              </w:rPr>
              <w:t>—</w:t>
            </w:r>
          </w:p>
        </w:tc>
        <w:tc>
          <w:tcPr>
            <w:tcW w:w="7143" w:type="dxa"/>
          </w:tcPr>
          <w:p w:rsidR="00506AE6" w:rsidRDefault="0072598A">
            <w:pPr>
              <w:adjustRightInd w:val="0"/>
              <w:snapToGrid w:val="0"/>
              <w:spacing w:line="240" w:lineRule="auto"/>
              <w:ind w:firstLineChars="0" w:firstLine="0"/>
              <w:jc w:val="left"/>
            </w:pPr>
            <w:r>
              <w:rPr>
                <w:rFonts w:hint="eastAsia"/>
              </w:rPr>
              <w:t>熟料生产线</w:t>
            </w:r>
            <m:oMath>
              <m:r>
                <w:rPr>
                  <w:rFonts w:ascii="Cambria Math" w:hAnsi="Cambria Math" w:hint="eastAsia"/>
                  <w:szCs w:val="21"/>
                </w:rPr>
                <m:t>j</m:t>
              </m:r>
            </m:oMath>
            <w:r>
              <w:rPr>
                <w:rFonts w:hint="eastAsia"/>
              </w:rPr>
              <w:t>的第</w:t>
            </w:r>
            <m:oMath>
              <m:r>
                <w:rPr>
                  <w:rFonts w:ascii="Cambria Math" w:hAnsi="Cambria Math"/>
                  <w:szCs w:val="21"/>
                </w:rPr>
                <m:t>i</m:t>
              </m:r>
            </m:oMath>
            <w:r>
              <w:rPr>
                <w:rFonts w:hint="eastAsia"/>
              </w:rPr>
              <w:t>类非碳酸盐替代原料消耗量，单位为吨（</w:t>
            </w:r>
            <w:r>
              <w:t>t</w:t>
            </w:r>
            <w:r>
              <w:rPr>
                <w:rFonts w:hint="eastAsia"/>
              </w:rPr>
              <w:t>）；</w:t>
            </w:r>
          </w:p>
        </w:tc>
      </w:tr>
      <w:tr w:rsidR="00506AE6">
        <w:trPr>
          <w:trHeight w:val="20"/>
          <w:jc w:val="right"/>
        </w:trPr>
        <w:tc>
          <w:tcPr>
            <w:tcW w:w="850" w:type="dxa"/>
          </w:tcPr>
          <w:p w:rsidR="00506AE6" w:rsidRDefault="0072598A">
            <w:pPr>
              <w:adjustRightInd w:val="0"/>
              <w:snapToGrid w:val="0"/>
              <w:spacing w:line="240" w:lineRule="auto"/>
              <w:ind w:firstLineChars="0" w:firstLine="0"/>
              <w:jc w:val="left"/>
              <w:rPr>
                <w:szCs w:val="21"/>
              </w:rPr>
            </w:pPr>
            <m:oMathPara>
              <m:oMathParaPr>
                <m:jc m:val="left"/>
              </m:oMathParaPr>
              <m:oMath>
                <m:sSub>
                  <m:sSubPr>
                    <m:ctrlPr>
                      <w:rPr>
                        <w:rFonts w:ascii="Cambria Math" w:hAnsi="Cambria Math"/>
                        <w:i/>
                        <w:szCs w:val="21"/>
                      </w:rPr>
                    </m:ctrlPr>
                  </m:sSubPr>
                  <m:e>
                    <m:r>
                      <w:rPr>
                        <w:rFonts w:ascii="Cambria Math" w:hAnsi="Cambria Math"/>
                        <w:szCs w:val="21"/>
                      </w:rPr>
                      <m:t>EF</m:t>
                    </m:r>
                  </m:e>
                  <m:sub>
                    <m:r>
                      <w:rPr>
                        <w:rFonts w:ascii="Cambria Math" w:hAnsi="Cambria Math"/>
                        <w:szCs w:val="21"/>
                      </w:rPr>
                      <m:t>a</m:t>
                    </m:r>
                    <m:r>
                      <w:rPr>
                        <w:rFonts w:ascii="Cambria Math" w:hAnsi="Cambria Math"/>
                      </w:rPr>
                      <m:t>,</m:t>
                    </m:r>
                    <m:r>
                      <w:rPr>
                        <w:rFonts w:ascii="Cambria Math" w:hAnsi="Cambria Math"/>
                      </w:rPr>
                      <m:t>i</m:t>
                    </m:r>
                  </m:sub>
                </m:sSub>
              </m:oMath>
            </m:oMathPara>
          </w:p>
        </w:tc>
        <w:tc>
          <w:tcPr>
            <w:tcW w:w="340" w:type="dxa"/>
          </w:tcPr>
          <w:p w:rsidR="00506AE6" w:rsidRDefault="0072598A">
            <w:pPr>
              <w:adjustRightInd w:val="0"/>
              <w:snapToGrid w:val="0"/>
              <w:spacing w:line="240" w:lineRule="auto"/>
              <w:ind w:firstLineChars="0" w:firstLine="0"/>
              <w:jc w:val="left"/>
              <w:rPr>
                <w:szCs w:val="21"/>
              </w:rPr>
            </w:pPr>
            <w:r>
              <w:rPr>
                <w:szCs w:val="21"/>
              </w:rPr>
              <w:t>—</w:t>
            </w:r>
          </w:p>
        </w:tc>
        <w:tc>
          <w:tcPr>
            <w:tcW w:w="7143" w:type="dxa"/>
          </w:tcPr>
          <w:p w:rsidR="00506AE6" w:rsidRDefault="0072598A">
            <w:pPr>
              <w:adjustRightInd w:val="0"/>
              <w:snapToGrid w:val="0"/>
              <w:spacing w:line="240" w:lineRule="auto"/>
              <w:ind w:firstLineChars="0" w:firstLine="0"/>
              <w:jc w:val="left"/>
            </w:pPr>
            <w:r>
              <w:rPr>
                <w:rFonts w:hint="eastAsia"/>
              </w:rPr>
              <w:t>第</w:t>
            </w:r>
            <m:oMath>
              <m:r>
                <w:rPr>
                  <w:rFonts w:ascii="Cambria Math" w:hAnsi="Cambria Math"/>
                  <w:szCs w:val="21"/>
                </w:rPr>
                <m:t>i</m:t>
              </m:r>
            </m:oMath>
            <w:r>
              <w:rPr>
                <w:rFonts w:hint="eastAsia"/>
              </w:rPr>
              <w:t>类非碳酸盐替代原料对应的扣减系数，单位为吨二氧化碳每吨（</w:t>
            </w:r>
            <w:r>
              <w:rPr>
                <w:rFonts w:hint="eastAsia"/>
              </w:rPr>
              <w:t>t</w:t>
            </w:r>
            <w:r>
              <w:t>CO</w:t>
            </w:r>
            <w:r>
              <w:rPr>
                <w:vertAlign w:val="subscript"/>
              </w:rPr>
              <w:t>2</w:t>
            </w:r>
            <w:r>
              <w:t>/</w:t>
            </w:r>
            <w:r>
              <w:rPr>
                <w:rFonts w:hint="eastAsia"/>
              </w:rPr>
              <w:t>t</w:t>
            </w:r>
            <w:r>
              <w:rPr>
                <w:rFonts w:hint="eastAsia"/>
              </w:rPr>
              <w:t>），见附录</w:t>
            </w:r>
            <w:r>
              <w:rPr>
                <w:rFonts w:hint="eastAsia"/>
              </w:rPr>
              <w:t>C</w:t>
            </w:r>
            <w:r>
              <w:rPr>
                <w:rFonts w:hint="eastAsia"/>
              </w:rPr>
              <w:t>；</w:t>
            </w:r>
          </w:p>
        </w:tc>
      </w:tr>
      <w:tr w:rsidR="00506AE6">
        <w:trPr>
          <w:trHeight w:val="20"/>
          <w:jc w:val="right"/>
        </w:trPr>
        <w:tc>
          <w:tcPr>
            <w:tcW w:w="850" w:type="dxa"/>
          </w:tcPr>
          <w:p w:rsidR="00506AE6" w:rsidRDefault="0072598A">
            <w:pPr>
              <w:adjustRightInd w:val="0"/>
              <w:snapToGrid w:val="0"/>
              <w:spacing w:line="240" w:lineRule="auto"/>
              <w:ind w:firstLineChars="0" w:firstLine="0"/>
              <w:jc w:val="left"/>
              <w:rPr>
                <w:i/>
                <w:szCs w:val="21"/>
              </w:rPr>
            </w:pPr>
            <m:oMathPara>
              <m:oMathParaPr>
                <m:jc m:val="left"/>
              </m:oMathParaPr>
              <m:oMath>
                <m:r>
                  <w:rPr>
                    <w:rFonts w:ascii="Cambria Math" w:hAnsi="Cambria Math"/>
                    <w:szCs w:val="21"/>
                  </w:rPr>
                  <m:t>i</m:t>
                </m:r>
              </m:oMath>
            </m:oMathPara>
          </w:p>
        </w:tc>
        <w:tc>
          <w:tcPr>
            <w:tcW w:w="340" w:type="dxa"/>
          </w:tcPr>
          <w:p w:rsidR="00506AE6" w:rsidRDefault="0072598A">
            <w:pPr>
              <w:adjustRightInd w:val="0"/>
              <w:snapToGrid w:val="0"/>
              <w:spacing w:line="240" w:lineRule="auto"/>
              <w:ind w:firstLineChars="0" w:firstLine="0"/>
              <w:jc w:val="left"/>
              <w:rPr>
                <w:szCs w:val="21"/>
              </w:rPr>
            </w:pPr>
            <w:r>
              <w:rPr>
                <w:szCs w:val="21"/>
              </w:rPr>
              <w:t>—</w:t>
            </w:r>
          </w:p>
        </w:tc>
        <w:tc>
          <w:tcPr>
            <w:tcW w:w="7143" w:type="dxa"/>
            <w:vAlign w:val="center"/>
          </w:tcPr>
          <w:p w:rsidR="00506AE6" w:rsidRDefault="0072598A">
            <w:pPr>
              <w:adjustRightInd w:val="0"/>
              <w:snapToGrid w:val="0"/>
              <w:spacing w:line="240" w:lineRule="auto"/>
              <w:ind w:firstLineChars="0" w:firstLine="0"/>
              <w:jc w:val="left"/>
            </w:pPr>
            <w:r>
              <w:rPr>
                <w:rFonts w:hint="eastAsia"/>
                <w:position w:val="-12"/>
              </w:rPr>
              <w:t>非碳酸盐替代原料种类；</w:t>
            </w:r>
          </w:p>
        </w:tc>
      </w:tr>
      <w:tr w:rsidR="00506AE6">
        <w:trPr>
          <w:trHeight w:val="20"/>
          <w:jc w:val="right"/>
        </w:trPr>
        <w:tc>
          <w:tcPr>
            <w:tcW w:w="850" w:type="dxa"/>
          </w:tcPr>
          <w:p w:rsidR="00506AE6" w:rsidRDefault="0072598A">
            <w:pPr>
              <w:adjustRightInd w:val="0"/>
              <w:snapToGrid w:val="0"/>
              <w:spacing w:line="240" w:lineRule="auto"/>
              <w:ind w:firstLineChars="0" w:firstLine="0"/>
              <w:jc w:val="left"/>
              <w:rPr>
                <w:szCs w:val="21"/>
              </w:rPr>
            </w:pPr>
            <m:oMathPara>
              <m:oMathParaPr>
                <m:jc m:val="left"/>
              </m:oMathParaPr>
              <m:oMath>
                <m:r>
                  <w:rPr>
                    <w:rFonts w:ascii="Cambria Math" w:hAnsi="Cambria Math" w:hint="eastAsia"/>
                    <w:szCs w:val="21"/>
                  </w:rPr>
                  <m:t>j</m:t>
                </m:r>
              </m:oMath>
            </m:oMathPara>
          </w:p>
        </w:tc>
        <w:tc>
          <w:tcPr>
            <w:tcW w:w="340" w:type="dxa"/>
          </w:tcPr>
          <w:p w:rsidR="00506AE6" w:rsidRDefault="0072598A">
            <w:pPr>
              <w:adjustRightInd w:val="0"/>
              <w:snapToGrid w:val="0"/>
              <w:spacing w:line="240" w:lineRule="auto"/>
              <w:ind w:firstLineChars="0" w:firstLine="0"/>
              <w:jc w:val="left"/>
              <w:rPr>
                <w:szCs w:val="21"/>
              </w:rPr>
            </w:pPr>
            <w:r>
              <w:rPr>
                <w:szCs w:val="21"/>
              </w:rPr>
              <w:t>—</w:t>
            </w:r>
          </w:p>
        </w:tc>
        <w:tc>
          <w:tcPr>
            <w:tcW w:w="7143" w:type="dxa"/>
            <w:vAlign w:val="center"/>
          </w:tcPr>
          <w:p w:rsidR="00506AE6" w:rsidRDefault="0072598A">
            <w:pPr>
              <w:adjustRightInd w:val="0"/>
              <w:snapToGrid w:val="0"/>
              <w:spacing w:line="240" w:lineRule="auto"/>
              <w:ind w:firstLineChars="0" w:firstLine="0"/>
              <w:jc w:val="left"/>
            </w:pPr>
            <w:r>
              <w:rPr>
                <w:rFonts w:hint="eastAsia"/>
                <w:position w:val="-12"/>
              </w:rPr>
              <w:t>熟料生产线编号。</w:t>
            </w:r>
          </w:p>
        </w:tc>
      </w:tr>
    </w:tbl>
    <w:p w:rsidR="00506AE6" w:rsidRDefault="0072598A">
      <w:pPr>
        <w:pStyle w:val="affa"/>
        <w:tabs>
          <w:tab w:val="clear" w:pos="-420"/>
          <w:tab w:val="clear" w:pos="0"/>
        </w:tabs>
        <w:spacing w:line="360" w:lineRule="exact"/>
      </w:pPr>
      <w:bookmarkStart w:id="288" w:name="_Toc140045481"/>
      <w:bookmarkStart w:id="289" w:name="_Toc140003035"/>
      <w:bookmarkStart w:id="290" w:name="_Ref144407256"/>
      <w:r>
        <w:rPr>
          <w:rFonts w:hint="eastAsia"/>
        </w:rPr>
        <w:t>若企业熟料的采样、制样、检测实施全流程视频监控且实验室通过</w:t>
      </w:r>
      <w:r>
        <w:rPr>
          <w:rFonts w:hint="eastAsia"/>
        </w:rPr>
        <w:t>CNAS</w:t>
      </w:r>
      <w:r>
        <w:rPr>
          <w:rFonts w:hint="eastAsia"/>
        </w:rPr>
        <w:t>认可，检测数据可同步上传至全国碳市场管理平台，熟料的过程排放因子可按公式（</w:t>
      </w:r>
      <w:r>
        <w:rPr>
          <w:rFonts w:hint="eastAsia"/>
        </w:rPr>
        <w:t>3</w:t>
      </w:r>
      <w:r>
        <w:rPr>
          <w:rFonts w:hint="eastAsia"/>
        </w:rPr>
        <w:t>）计算。</w:t>
      </w:r>
    </w:p>
    <w:p w:rsidR="00506AE6" w:rsidRDefault="0072598A">
      <w:pPr>
        <w:pStyle w:val="MTDisplayEquation"/>
      </w:pPr>
      <w:r>
        <w:tab/>
      </w:r>
      <m:oMath>
        <m:sSub>
          <m:sSubPr>
            <m:ctrlPr>
              <w:rPr>
                <w:rFonts w:ascii="Cambria Math" w:hAnsi="Cambria Math"/>
                <w:iCs/>
              </w:rPr>
            </m:ctrlPr>
          </m:sSubPr>
          <m:e>
            <m:r>
              <m:rPr>
                <m:sty m:val="p"/>
              </m:rPr>
              <w:rPr>
                <w:rFonts w:ascii="Cambria Math" w:hAnsi="Cambria Math"/>
              </w:rPr>
              <m:t>EF</m:t>
            </m:r>
          </m:e>
          <m:sub>
            <m:r>
              <m:rPr>
                <m:sty m:val="p"/>
              </m:rPr>
              <w:rPr>
                <w:rFonts w:ascii="Cambria Math" w:hAnsi="Cambria Math"/>
              </w:rPr>
              <m:t>ck,j</m:t>
            </m:r>
          </m:sub>
        </m:sSub>
        <m:r>
          <m:rPr>
            <m:sty m:val="p"/>
          </m:rPr>
          <w:rPr>
            <w:rFonts w:ascii="Cambria Math" w:hAnsi="Cambria Math"/>
          </w:rPr>
          <m:t>=F</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1,j</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44</m:t>
            </m:r>
          </m:num>
          <m:den>
            <m:r>
              <m:rPr>
                <m:sty m:val="p"/>
              </m:rPr>
              <w:rPr>
                <w:rFonts w:ascii="Cambria Math" w:hAnsi="Cambria Math"/>
              </w:rPr>
              <m:t>56</m:t>
            </m:r>
          </m:den>
        </m:f>
        <m:r>
          <m:rPr>
            <m:sty m:val="p"/>
          </m:rPr>
          <w:rPr>
            <w:rFonts w:ascii="Cambria Math" w:hAnsi="Cambria Math"/>
          </w:rPr>
          <m:t>+F</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2,j</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44</m:t>
            </m:r>
          </m:num>
          <m:den>
            <m:r>
              <m:rPr>
                <m:sty m:val="p"/>
              </m:rPr>
              <w:rPr>
                <w:rFonts w:ascii="Cambria Math" w:hAnsi="Cambria Math"/>
              </w:rPr>
              <m:t>40</m:t>
            </m:r>
          </m:den>
        </m:f>
      </m:oMath>
      <w:r>
        <w:tab/>
      </w:r>
      <w:r>
        <w:rPr>
          <w:rFonts w:hint="eastAsia"/>
        </w:rPr>
        <w:t>（</w:t>
      </w:r>
      <w:r>
        <w:rPr>
          <w:rFonts w:hint="eastAsia"/>
        </w:rPr>
        <w:t>3</w:t>
      </w:r>
      <w:r>
        <w:rPr>
          <w:rFonts w:hint="eastAsia"/>
        </w:rPr>
        <w:t>）</w:t>
      </w:r>
    </w:p>
    <w:p w:rsidR="00506AE6" w:rsidRDefault="0072598A">
      <w:pPr>
        <w:pStyle w:val="affa"/>
        <w:tabs>
          <w:tab w:val="clear" w:pos="-420"/>
          <w:tab w:val="clear" w:pos="0"/>
        </w:tabs>
      </w:pPr>
      <w:r>
        <w:rPr>
          <w:rFonts w:hint="eastAsia"/>
        </w:rPr>
        <w:t>式中：</w:t>
      </w:r>
    </w:p>
    <w:tbl>
      <w:tblPr>
        <w:tblW w:w="8334" w:type="dxa"/>
        <w:jc w:val="right"/>
        <w:tblLayout w:type="fixed"/>
        <w:tblLook w:val="04A0" w:firstRow="1" w:lastRow="0" w:firstColumn="1" w:lastColumn="0" w:noHBand="0" w:noVBand="1"/>
      </w:tblPr>
      <w:tblGrid>
        <w:gridCol w:w="737"/>
        <w:gridCol w:w="340"/>
        <w:gridCol w:w="7257"/>
      </w:tblGrid>
      <w:tr w:rsidR="00506AE6">
        <w:trPr>
          <w:trHeight w:val="20"/>
          <w:jc w:val="right"/>
        </w:trPr>
        <w:tc>
          <w:tcPr>
            <w:tcW w:w="737" w:type="dxa"/>
          </w:tcPr>
          <w:p w:rsidR="00506AE6" w:rsidRDefault="0072598A">
            <w:pPr>
              <w:adjustRightInd w:val="0"/>
              <w:snapToGrid w:val="0"/>
              <w:spacing w:line="240" w:lineRule="auto"/>
              <w:ind w:firstLineChars="0" w:firstLine="0"/>
              <w:jc w:val="left"/>
              <w:rPr>
                <w:szCs w:val="21"/>
              </w:rPr>
            </w:pPr>
            <m:oMathPara>
              <m:oMathParaPr>
                <m:jc m:val="left"/>
              </m:oMathParaPr>
              <m:oMath>
                <m:r>
                  <w:rPr>
                    <w:rFonts w:ascii="Cambria Math" w:hAnsi="Cambria Math"/>
                    <w:szCs w:val="21"/>
                  </w:rPr>
                  <m:t>F</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1,</m:t>
                    </m:r>
                    <m:r>
                      <w:rPr>
                        <w:rFonts w:ascii="Cambria Math" w:hAnsi="Cambria Math"/>
                        <w:szCs w:val="21"/>
                      </w:rPr>
                      <m:t>j</m:t>
                    </m:r>
                  </m:sub>
                </m:sSub>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257" w:type="dxa"/>
          </w:tcPr>
          <w:p w:rsidR="00506AE6" w:rsidRDefault="0072598A">
            <w:pPr>
              <w:adjustRightInd w:val="0"/>
              <w:snapToGrid w:val="0"/>
              <w:spacing w:line="240" w:lineRule="auto"/>
              <w:ind w:firstLineChars="0" w:firstLine="0"/>
            </w:pPr>
            <w:r>
              <w:rPr>
                <w:rFonts w:hint="eastAsia"/>
              </w:rPr>
              <w:t>熟料生产线</w:t>
            </w:r>
            <m:oMath>
              <m:r>
                <w:rPr>
                  <w:rFonts w:ascii="Cambria Math" w:hAnsi="Cambria Math" w:hint="eastAsia"/>
                  <w:szCs w:val="21"/>
                </w:rPr>
                <m:t>j</m:t>
              </m:r>
            </m:oMath>
            <w:r>
              <w:rPr>
                <w:rFonts w:hint="eastAsia"/>
              </w:rPr>
              <w:t>中氧化钙含量，以</w:t>
            </w:r>
            <w:r>
              <w:t>%</w:t>
            </w:r>
            <w:r>
              <w:rPr>
                <w:rFonts w:hint="eastAsia"/>
              </w:rPr>
              <w:t>表示；</w:t>
            </w:r>
          </w:p>
        </w:tc>
      </w:tr>
      <w:tr w:rsidR="00506AE6">
        <w:trPr>
          <w:trHeight w:val="20"/>
          <w:jc w:val="right"/>
        </w:trPr>
        <w:tc>
          <w:tcPr>
            <w:tcW w:w="737" w:type="dxa"/>
          </w:tcPr>
          <w:p w:rsidR="00506AE6" w:rsidRDefault="0072598A">
            <w:pPr>
              <w:adjustRightInd w:val="0"/>
              <w:snapToGrid w:val="0"/>
              <w:spacing w:line="240" w:lineRule="auto"/>
              <w:ind w:firstLineChars="0" w:firstLine="0"/>
              <w:jc w:val="left"/>
              <w:rPr>
                <w:szCs w:val="21"/>
              </w:rPr>
            </w:pPr>
            <m:oMathPara>
              <m:oMathParaPr>
                <m:jc m:val="left"/>
              </m:oMathParaP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2,</m:t>
                    </m:r>
                    <m:r>
                      <w:rPr>
                        <w:rFonts w:ascii="Cambria Math" w:hAnsi="Cambria Math"/>
                      </w:rPr>
                      <m:t>j</m:t>
                    </m:r>
                  </m:sub>
                </m:sSub>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257" w:type="dxa"/>
          </w:tcPr>
          <w:p w:rsidR="00506AE6" w:rsidRDefault="0072598A">
            <w:pPr>
              <w:adjustRightInd w:val="0"/>
              <w:snapToGrid w:val="0"/>
              <w:spacing w:line="240" w:lineRule="auto"/>
              <w:ind w:firstLineChars="0" w:firstLine="0"/>
            </w:pPr>
            <w:r>
              <w:rPr>
                <w:rFonts w:hint="eastAsia"/>
              </w:rPr>
              <w:t>熟料生产线</w:t>
            </w:r>
            <m:oMath>
              <m:r>
                <w:rPr>
                  <w:rFonts w:ascii="Cambria Math" w:hAnsi="Cambria Math" w:hint="eastAsia"/>
                  <w:szCs w:val="21"/>
                </w:rPr>
                <m:t>j</m:t>
              </m:r>
            </m:oMath>
            <w:r>
              <w:rPr>
                <w:rFonts w:hint="eastAsia"/>
              </w:rPr>
              <w:t>中氧化镁含量，以</w:t>
            </w:r>
            <w:r>
              <w:t>%</w:t>
            </w:r>
            <w:r>
              <w:rPr>
                <w:rFonts w:hint="eastAsia"/>
              </w:rPr>
              <w:t>表示；</w:t>
            </w:r>
          </w:p>
        </w:tc>
      </w:tr>
      <w:tr w:rsidR="00506AE6">
        <w:trPr>
          <w:trHeight w:val="20"/>
          <w:jc w:val="right"/>
        </w:trPr>
        <w:tc>
          <w:tcPr>
            <w:tcW w:w="737" w:type="dxa"/>
          </w:tcPr>
          <w:p w:rsidR="00506AE6" w:rsidRDefault="0072598A">
            <w:pPr>
              <w:adjustRightInd w:val="0"/>
              <w:snapToGrid w:val="0"/>
              <w:spacing w:line="240" w:lineRule="auto"/>
              <w:ind w:firstLineChars="0" w:firstLine="0"/>
              <w:jc w:val="left"/>
              <w:rPr>
                <w:szCs w:val="21"/>
              </w:rPr>
            </w:pPr>
            <w:r>
              <w:rPr>
                <w:rFonts w:hAnsi="Cambria Math" w:hint="eastAsia"/>
              </w:rPr>
              <w:t>44/56</w:t>
            </w:r>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257" w:type="dxa"/>
          </w:tcPr>
          <w:p w:rsidR="00506AE6" w:rsidRDefault="0072598A">
            <w:pPr>
              <w:adjustRightInd w:val="0"/>
              <w:snapToGrid w:val="0"/>
              <w:spacing w:line="240" w:lineRule="auto"/>
              <w:ind w:firstLineChars="0" w:firstLine="0"/>
            </w:pPr>
            <w:r>
              <w:rPr>
                <w:rFonts w:hint="eastAsia"/>
              </w:rPr>
              <w:t>二氧化碳与氧化钙的相对分子质量之比；</w:t>
            </w:r>
          </w:p>
        </w:tc>
      </w:tr>
      <w:tr w:rsidR="00506AE6">
        <w:trPr>
          <w:trHeight w:val="20"/>
          <w:jc w:val="right"/>
        </w:trPr>
        <w:tc>
          <w:tcPr>
            <w:tcW w:w="737" w:type="dxa"/>
          </w:tcPr>
          <w:p w:rsidR="00506AE6" w:rsidRDefault="0072598A">
            <w:pPr>
              <w:adjustRightInd w:val="0"/>
              <w:snapToGrid w:val="0"/>
              <w:spacing w:line="240" w:lineRule="auto"/>
              <w:ind w:firstLineChars="0" w:firstLine="0"/>
              <w:jc w:val="left"/>
              <w:rPr>
                <w:szCs w:val="21"/>
              </w:rPr>
            </w:pPr>
            <w:r>
              <w:rPr>
                <w:rFonts w:hAnsi="Cambria Math" w:hint="eastAsia"/>
              </w:rPr>
              <w:t>44/40</w:t>
            </w:r>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257" w:type="dxa"/>
          </w:tcPr>
          <w:p w:rsidR="00506AE6" w:rsidRDefault="0072598A">
            <w:pPr>
              <w:adjustRightInd w:val="0"/>
              <w:snapToGrid w:val="0"/>
              <w:spacing w:line="240" w:lineRule="auto"/>
              <w:ind w:firstLineChars="0" w:firstLine="0"/>
            </w:pPr>
            <w:r>
              <w:rPr>
                <w:rFonts w:hint="eastAsia"/>
              </w:rPr>
              <w:t>二氧化碳与氧化镁的相对分子质量之比。</w:t>
            </w:r>
          </w:p>
        </w:tc>
      </w:tr>
    </w:tbl>
    <w:p w:rsidR="00506AE6" w:rsidRDefault="0072598A">
      <w:pPr>
        <w:pStyle w:val="a4"/>
        <w:numPr>
          <w:ilvl w:val="2"/>
          <w:numId w:val="1"/>
        </w:numPr>
        <w:spacing w:before="156" w:after="156" w:line="360" w:lineRule="exact"/>
        <w:rPr>
          <w:rFonts w:ascii="Times New Roman"/>
        </w:rPr>
      </w:pPr>
      <w:r>
        <w:rPr>
          <w:rFonts w:ascii="Times New Roman" w:hint="eastAsia"/>
        </w:rPr>
        <w:t>数据的监测与获取</w:t>
      </w:r>
      <w:bookmarkEnd w:id="288"/>
      <w:bookmarkEnd w:id="289"/>
      <w:bookmarkEnd w:id="290"/>
    </w:p>
    <w:p w:rsidR="00506AE6" w:rsidRDefault="0072598A">
      <w:pPr>
        <w:pStyle w:val="a4"/>
        <w:numPr>
          <w:ilvl w:val="3"/>
          <w:numId w:val="1"/>
        </w:numPr>
        <w:spacing w:before="156" w:after="156" w:line="360" w:lineRule="exact"/>
        <w:outlineLvl w:val="3"/>
        <w:rPr>
          <w:rFonts w:ascii="Times New Roman"/>
        </w:rPr>
      </w:pPr>
      <w:r>
        <w:rPr>
          <w:rFonts w:ascii="Times New Roman" w:hint="eastAsia"/>
        </w:rPr>
        <w:t>熟料产量的计量与监测频次</w:t>
      </w:r>
    </w:p>
    <w:p w:rsidR="00506AE6" w:rsidRDefault="0072598A">
      <w:pPr>
        <w:pStyle w:val="affa"/>
        <w:tabs>
          <w:tab w:val="clear" w:pos="-420"/>
          <w:tab w:val="clear" w:pos="0"/>
        </w:tabs>
        <w:spacing w:line="360" w:lineRule="exact"/>
      </w:pPr>
      <w:r>
        <w:rPr>
          <w:rFonts w:hint="eastAsia"/>
        </w:rPr>
        <w:t>熟料产量根据消耗量、出厂量、购进量、熟料库和熟料仓的库存变化确定，即采用“消耗量</w:t>
      </w:r>
      <w:r>
        <w:rPr>
          <w:rFonts w:hint="eastAsia"/>
        </w:rPr>
        <w:t>+</w:t>
      </w:r>
      <w:r>
        <w:rPr>
          <w:rFonts w:hint="eastAsia"/>
        </w:rPr>
        <w:t>出厂量</w:t>
      </w:r>
      <w:r>
        <w:rPr>
          <w:rFonts w:hint="eastAsia"/>
        </w:rPr>
        <w:t>+</w:t>
      </w:r>
      <w:r>
        <w:rPr>
          <w:rFonts w:hint="eastAsia"/>
        </w:rPr>
        <w:t>期末库存</w:t>
      </w:r>
      <w:r>
        <w:rPr>
          <w:rFonts w:hint="eastAsia"/>
        </w:rPr>
        <w:t>-</w:t>
      </w:r>
      <w:r>
        <w:rPr>
          <w:rFonts w:hint="eastAsia"/>
        </w:rPr>
        <w:t>期初库存</w:t>
      </w:r>
      <w:r>
        <w:rPr>
          <w:rFonts w:hint="eastAsia"/>
        </w:rPr>
        <w:t>-</w:t>
      </w:r>
      <w:r>
        <w:rPr>
          <w:rFonts w:hint="eastAsia"/>
        </w:rPr>
        <w:t>购进量”核算。熟料消耗量应采用皮带秤等计量数据，皮带秤须每月采用实物或循环链码校验，并且至少每年</w:t>
      </w:r>
      <w:r>
        <w:rPr>
          <w:rFonts w:hint="eastAsia"/>
        </w:rPr>
        <w:t>进行检定</w:t>
      </w:r>
      <w:r>
        <w:rPr>
          <w:rFonts w:hint="eastAsia"/>
        </w:rPr>
        <w:t>/</w:t>
      </w:r>
      <w:r>
        <w:rPr>
          <w:rFonts w:hint="eastAsia"/>
        </w:rPr>
        <w:t>校准</w:t>
      </w:r>
      <w:r>
        <w:rPr>
          <w:rFonts w:hint="eastAsia"/>
        </w:rPr>
        <w:t>；出厂量和购进量应采用电子汽车衡等贸易结算计量数据；库存量应至少每月实际盘存，盘库方法见附录</w:t>
      </w:r>
      <w:r>
        <w:rPr>
          <w:rFonts w:hint="eastAsia"/>
        </w:rPr>
        <w:t>A</w:t>
      </w:r>
      <w:r>
        <w:rPr>
          <w:rFonts w:hint="eastAsia"/>
        </w:rPr>
        <w:t>。</w:t>
      </w:r>
    </w:p>
    <w:p w:rsidR="00506AE6" w:rsidRDefault="0072598A">
      <w:pPr>
        <w:pStyle w:val="affa"/>
        <w:tabs>
          <w:tab w:val="clear" w:pos="-420"/>
          <w:tab w:val="clear" w:pos="0"/>
        </w:tabs>
        <w:spacing w:line="360" w:lineRule="exact"/>
      </w:pPr>
      <w:r>
        <w:rPr>
          <w:rFonts w:hint="eastAsia"/>
        </w:rPr>
        <w:lastRenderedPageBreak/>
        <w:t>多条生产线共用熟料库时，各生产线的熟料产量根据生产线的入窑生料消耗量分摊计算，入窑生料消耗量采用生产系统记录的计量数据。</w:t>
      </w:r>
    </w:p>
    <w:p w:rsidR="00506AE6" w:rsidRDefault="0072598A">
      <w:pPr>
        <w:pStyle w:val="affa"/>
        <w:tabs>
          <w:tab w:val="clear" w:pos="-420"/>
          <w:tab w:val="clear" w:pos="0"/>
        </w:tabs>
        <w:spacing w:line="360" w:lineRule="exact"/>
      </w:pPr>
      <w:r>
        <w:rPr>
          <w:rFonts w:hint="eastAsia"/>
        </w:rPr>
        <w:t>若熟料产量在入库前直接计量的，可采用直接计量数据，计量过程实时视频监控且计量数据同步上传至全国碳市场管理平台。</w:t>
      </w:r>
    </w:p>
    <w:p w:rsidR="00506AE6" w:rsidRDefault="0072598A">
      <w:pPr>
        <w:pStyle w:val="affa"/>
        <w:tabs>
          <w:tab w:val="clear" w:pos="-420"/>
          <w:tab w:val="clear" w:pos="0"/>
        </w:tabs>
        <w:spacing w:line="360" w:lineRule="exact"/>
      </w:pPr>
      <w:r>
        <w:rPr>
          <w:rFonts w:hint="eastAsia"/>
        </w:rPr>
        <w:t>皮带秤、电子</w:t>
      </w:r>
      <w:r>
        <w:t>汽车衡</w:t>
      </w:r>
      <w:r>
        <w:rPr>
          <w:rFonts w:hint="eastAsia"/>
        </w:rPr>
        <w:t>等计量器具的准确度等级应符合</w:t>
      </w:r>
      <w:r>
        <w:t>GB/T 35461</w:t>
      </w:r>
      <w:r>
        <w:rPr>
          <w:rFonts w:hint="eastAsia"/>
        </w:rPr>
        <w:t>或相关计量检定规程的要求。计量器具应确保在有效的检定</w:t>
      </w:r>
      <w:r>
        <w:rPr>
          <w:rFonts w:hint="eastAsia"/>
        </w:rPr>
        <w:t>/</w:t>
      </w:r>
      <w:r>
        <w:rPr>
          <w:rFonts w:hint="eastAsia"/>
        </w:rPr>
        <w:t>校准周期内</w:t>
      </w:r>
      <w:r>
        <w:rPr>
          <w:rFonts w:hint="eastAsia"/>
          <w:szCs w:val="21"/>
        </w:rPr>
        <w:t>，由有资质的机构至少每年进行检定</w:t>
      </w:r>
      <w:r>
        <w:rPr>
          <w:rFonts w:hint="eastAsia"/>
          <w:szCs w:val="21"/>
        </w:rPr>
        <w:t>/</w:t>
      </w:r>
      <w:r>
        <w:rPr>
          <w:rFonts w:hint="eastAsia"/>
          <w:szCs w:val="21"/>
        </w:rPr>
        <w:t>校准，并符合</w:t>
      </w:r>
      <w:r>
        <w:rPr>
          <w:rFonts w:hint="eastAsia"/>
          <w:szCs w:val="21"/>
        </w:rPr>
        <w:t>JJG</w:t>
      </w:r>
      <w:r>
        <w:rPr>
          <w:szCs w:val="21"/>
        </w:rPr>
        <w:t xml:space="preserve"> </w:t>
      </w:r>
      <w:r>
        <w:rPr>
          <w:rFonts w:hint="eastAsia"/>
          <w:szCs w:val="21"/>
        </w:rPr>
        <w:t>539</w:t>
      </w:r>
      <w:r>
        <w:rPr>
          <w:rFonts w:hint="eastAsia"/>
          <w:szCs w:val="21"/>
        </w:rPr>
        <w:t>、</w:t>
      </w:r>
      <w:r>
        <w:rPr>
          <w:rFonts w:hint="eastAsia"/>
          <w:szCs w:val="21"/>
        </w:rPr>
        <w:t>JJG 1118</w:t>
      </w:r>
      <w:r>
        <w:rPr>
          <w:rFonts w:hint="eastAsia"/>
          <w:szCs w:val="21"/>
        </w:rPr>
        <w:t>等规程的要求</w:t>
      </w:r>
      <w:r>
        <w:rPr>
          <w:rFonts w:hint="eastAsia"/>
        </w:rPr>
        <w:t>。</w:t>
      </w:r>
    </w:p>
    <w:p w:rsidR="00506AE6" w:rsidRDefault="0072598A">
      <w:pPr>
        <w:pStyle w:val="a4"/>
        <w:numPr>
          <w:ilvl w:val="3"/>
          <w:numId w:val="1"/>
        </w:numPr>
        <w:spacing w:before="156" w:after="156" w:line="360" w:lineRule="exact"/>
        <w:outlineLvl w:val="3"/>
        <w:rPr>
          <w:rFonts w:ascii="Times New Roman"/>
        </w:rPr>
      </w:pPr>
      <w:r>
        <w:rPr>
          <w:rFonts w:ascii="Times New Roman" w:hint="eastAsia"/>
        </w:rPr>
        <w:t>熟料对应的过程排放因子的取值</w:t>
      </w:r>
    </w:p>
    <w:p w:rsidR="00506AE6" w:rsidRDefault="0072598A">
      <w:pPr>
        <w:pStyle w:val="affa"/>
        <w:tabs>
          <w:tab w:val="clear" w:pos="-420"/>
          <w:tab w:val="clear" w:pos="0"/>
        </w:tabs>
        <w:spacing w:line="360" w:lineRule="exact"/>
      </w:pPr>
      <w:r>
        <w:rPr>
          <w:rFonts w:hint="eastAsia"/>
        </w:rPr>
        <w:t>硅酸盐水泥熟料对应的过程</w:t>
      </w:r>
      <w:r>
        <w:rPr>
          <w:rFonts w:hint="eastAsia"/>
        </w:rPr>
        <w:t>排放因子取</w:t>
      </w:r>
      <w:r>
        <w:t>0.5</w:t>
      </w:r>
      <w:r>
        <w:rPr>
          <w:rFonts w:hint="eastAsia"/>
        </w:rPr>
        <w:t>3</w:t>
      </w:r>
      <w:r>
        <w:t>5</w:t>
      </w:r>
      <w:r>
        <w:rPr>
          <w:rFonts w:hint="eastAsia"/>
        </w:rPr>
        <w:t xml:space="preserve"> </w:t>
      </w:r>
      <w:r>
        <w:t>tCO</w:t>
      </w:r>
      <w:r>
        <w:rPr>
          <w:rFonts w:hint="eastAsia"/>
          <w:vertAlign w:val="subscript"/>
        </w:rPr>
        <w:t>2</w:t>
      </w:r>
      <w:r>
        <w:t>/t</w:t>
      </w:r>
      <w:r>
        <w:rPr>
          <w:rFonts w:hint="eastAsia"/>
        </w:rPr>
        <w:t>，</w:t>
      </w:r>
      <w:r>
        <w:rPr>
          <w:rFonts w:hint="eastAsia"/>
        </w:rPr>
        <w:t>白色硅酸盐</w:t>
      </w:r>
      <w:r>
        <w:rPr>
          <w:rFonts w:hint="eastAsia"/>
        </w:rPr>
        <w:t>水泥熟料对应的过程排放因子取</w:t>
      </w:r>
      <w:r>
        <w:t>0.5</w:t>
      </w:r>
      <w:r>
        <w:rPr>
          <w:rFonts w:hint="eastAsia"/>
        </w:rPr>
        <w:t xml:space="preserve">50 </w:t>
      </w:r>
      <w:r>
        <w:t>tCO</w:t>
      </w:r>
      <w:r>
        <w:rPr>
          <w:rFonts w:hint="eastAsia"/>
          <w:vertAlign w:val="subscript"/>
        </w:rPr>
        <w:t>2</w:t>
      </w:r>
      <w:r>
        <w:t>/t</w:t>
      </w:r>
      <w:r>
        <w:rPr>
          <w:rFonts w:hint="eastAsia"/>
        </w:rPr>
        <w:t>，</w:t>
      </w:r>
      <w:r>
        <w:rPr>
          <w:rFonts w:hint="eastAsia"/>
        </w:rPr>
        <w:t>硫（铁）铝酸盐</w:t>
      </w:r>
      <w:r>
        <w:rPr>
          <w:rFonts w:hint="eastAsia"/>
        </w:rPr>
        <w:t>水泥熟料对应的过程排放因子取</w:t>
      </w:r>
      <w:r>
        <w:t>0.</w:t>
      </w:r>
      <w:r>
        <w:rPr>
          <w:rFonts w:hint="eastAsia"/>
        </w:rPr>
        <w:t xml:space="preserve">413 </w:t>
      </w:r>
      <w:r>
        <w:t>tCO</w:t>
      </w:r>
      <w:r>
        <w:rPr>
          <w:rFonts w:hint="eastAsia"/>
          <w:vertAlign w:val="subscript"/>
        </w:rPr>
        <w:t>2</w:t>
      </w:r>
      <w:r>
        <w:t>/t</w:t>
      </w:r>
      <w:r>
        <w:rPr>
          <w:rFonts w:hint="eastAsia"/>
        </w:rPr>
        <w:t>，</w:t>
      </w:r>
      <w:r>
        <w:rPr>
          <w:rFonts w:hint="eastAsia"/>
        </w:rPr>
        <w:t>铝酸盐</w:t>
      </w:r>
      <w:r>
        <w:rPr>
          <w:rFonts w:hint="eastAsia"/>
        </w:rPr>
        <w:t>水泥熟料</w:t>
      </w:r>
      <w:r>
        <w:rPr>
          <w:rFonts w:hint="eastAsia"/>
        </w:rPr>
        <w:t>（</w:t>
      </w:r>
      <w:r>
        <w:rPr>
          <w:rFonts w:hint="eastAsia"/>
        </w:rPr>
        <w:t>有过程排放的）</w:t>
      </w:r>
      <w:r>
        <w:rPr>
          <w:rFonts w:hint="eastAsia"/>
        </w:rPr>
        <w:t>对应的过程排放因子取</w:t>
      </w:r>
      <w:r>
        <w:t>0.</w:t>
      </w:r>
      <w:r>
        <w:rPr>
          <w:rFonts w:hint="eastAsia"/>
        </w:rPr>
        <w:t xml:space="preserve">292 </w:t>
      </w:r>
      <w:r>
        <w:t>tCO</w:t>
      </w:r>
      <w:r>
        <w:rPr>
          <w:rFonts w:hint="eastAsia"/>
          <w:vertAlign w:val="subscript"/>
        </w:rPr>
        <w:t>2</w:t>
      </w:r>
      <w:r>
        <w:t>/t</w:t>
      </w:r>
      <w:r>
        <w:rPr>
          <w:rFonts w:hint="eastAsia"/>
        </w:rPr>
        <w:t>。生</w:t>
      </w:r>
      <w:r>
        <w:rPr>
          <w:rFonts w:hint="eastAsia"/>
        </w:rPr>
        <w:t>态环境部有更新的，采用其最新发布的数值。</w:t>
      </w:r>
    </w:p>
    <w:p w:rsidR="00506AE6" w:rsidRDefault="0072598A">
      <w:pPr>
        <w:pStyle w:val="affa"/>
        <w:tabs>
          <w:tab w:val="clear" w:pos="-420"/>
          <w:tab w:val="clear" w:pos="0"/>
        </w:tabs>
        <w:spacing w:line="360" w:lineRule="exact"/>
      </w:pPr>
      <w:r>
        <w:rPr>
          <w:rFonts w:hint="eastAsia"/>
        </w:rPr>
        <w:t>若企业熟料的采样、制样、检测实施全流程视频监控且实验室通过</w:t>
      </w:r>
      <w:r>
        <w:rPr>
          <w:rFonts w:hint="eastAsia"/>
        </w:rPr>
        <w:t>CNAS</w:t>
      </w:r>
      <w:r>
        <w:rPr>
          <w:rFonts w:hint="eastAsia"/>
        </w:rPr>
        <w:t>认可，检测数据可同步上传至全国碳市场管理平台，熟料的过程排放因子可</w:t>
      </w:r>
      <w:r>
        <w:rPr>
          <w:rFonts w:hint="eastAsia"/>
        </w:rPr>
        <w:t>采用</w:t>
      </w:r>
      <w:r>
        <w:rPr>
          <w:rFonts w:hint="eastAsia"/>
        </w:rPr>
        <w:t>实测值；采用实测值时，氧化钙和氧化镁含量</w:t>
      </w:r>
      <w:bookmarkStart w:id="291" w:name="_Hlk148465523"/>
      <w:r>
        <w:rPr>
          <w:rFonts w:hint="eastAsia"/>
        </w:rPr>
        <w:t>应依据</w:t>
      </w:r>
      <w:r>
        <w:rPr>
          <w:rFonts w:hint="eastAsia"/>
        </w:rPr>
        <w:t>GB</w:t>
      </w:r>
      <w:r>
        <w:t>/</w:t>
      </w:r>
      <w:r>
        <w:rPr>
          <w:rFonts w:hint="eastAsia"/>
        </w:rPr>
        <w:t>T</w:t>
      </w:r>
      <w:r>
        <w:t xml:space="preserve"> 176</w:t>
      </w:r>
      <w:r>
        <w:rPr>
          <w:rFonts w:hint="eastAsia"/>
        </w:rPr>
        <w:t>规定的方法进行检测</w:t>
      </w:r>
      <w:bookmarkEnd w:id="291"/>
      <w:r>
        <w:rPr>
          <w:rFonts w:hint="eastAsia"/>
        </w:rPr>
        <w:t>。氧化钙和氧化镁的年度平均含量由月度平均含量加权平均计算得到，其权重是月度熟料产量；月度平均含量由每日熟料中氧化钙和氧化镁含量算术平均计算得到。</w:t>
      </w:r>
    </w:p>
    <w:p w:rsidR="00506AE6" w:rsidRDefault="0072598A">
      <w:pPr>
        <w:pStyle w:val="a4"/>
        <w:numPr>
          <w:ilvl w:val="3"/>
          <w:numId w:val="1"/>
        </w:numPr>
        <w:spacing w:before="156" w:after="156" w:line="360" w:lineRule="exact"/>
        <w:outlineLvl w:val="3"/>
        <w:rPr>
          <w:rFonts w:ascii="Times New Roman"/>
        </w:rPr>
      </w:pPr>
      <w:r>
        <w:rPr>
          <w:rFonts w:ascii="Times New Roman" w:hint="eastAsia"/>
        </w:rPr>
        <w:t>非碳酸盐替代原料消耗量的计量与监测频次</w:t>
      </w:r>
    </w:p>
    <w:p w:rsidR="00506AE6" w:rsidRDefault="0072598A">
      <w:pPr>
        <w:pStyle w:val="affa"/>
        <w:tabs>
          <w:tab w:val="clear" w:pos="-420"/>
          <w:tab w:val="clear" w:pos="0"/>
        </w:tabs>
        <w:spacing w:line="360" w:lineRule="exact"/>
      </w:pPr>
      <w:r>
        <w:rPr>
          <w:rFonts w:hint="eastAsia"/>
        </w:rPr>
        <w:t>非碳酸盐替代原料按附录</w:t>
      </w:r>
      <w:r>
        <w:rPr>
          <w:rFonts w:hint="eastAsia"/>
        </w:rPr>
        <w:t>C</w:t>
      </w:r>
      <w:r>
        <w:rPr>
          <w:rFonts w:hint="eastAsia"/>
        </w:rPr>
        <w:t>进行分类，企业应于每月底前在全国碳市场管理平台上报下月非碳酸盐替代原料种类及预计消耗量。每类非碳酸盐替代原料消耗量应采用皮带秤等计量数据，且数据同步上传至全国碳市场管理平台。皮带秤须每月采用实物或循环链码校验，并且至少每年</w:t>
      </w:r>
      <w:r>
        <w:rPr>
          <w:rFonts w:hint="eastAsia"/>
        </w:rPr>
        <w:t>进行检定</w:t>
      </w:r>
      <w:r>
        <w:rPr>
          <w:rFonts w:hint="eastAsia"/>
        </w:rPr>
        <w:t>/</w:t>
      </w:r>
      <w:r>
        <w:rPr>
          <w:rFonts w:hint="eastAsia"/>
        </w:rPr>
        <w:t>校准</w:t>
      </w:r>
      <w:r>
        <w:rPr>
          <w:rFonts w:hint="eastAsia"/>
        </w:rPr>
        <w:t>。</w:t>
      </w:r>
    </w:p>
    <w:p w:rsidR="00506AE6" w:rsidRDefault="0072598A">
      <w:pPr>
        <w:pStyle w:val="a4"/>
        <w:numPr>
          <w:ilvl w:val="3"/>
          <w:numId w:val="1"/>
        </w:numPr>
        <w:spacing w:before="156" w:after="156" w:line="360" w:lineRule="exact"/>
        <w:outlineLvl w:val="3"/>
        <w:rPr>
          <w:rFonts w:ascii="Times New Roman"/>
        </w:rPr>
      </w:pPr>
      <w:r>
        <w:rPr>
          <w:rFonts w:ascii="Times New Roman" w:hint="eastAsia"/>
        </w:rPr>
        <w:t>非碳酸盐替代原料对应的扣减系数的取值</w:t>
      </w:r>
    </w:p>
    <w:p w:rsidR="00506AE6" w:rsidRDefault="0072598A">
      <w:pPr>
        <w:pStyle w:val="affa"/>
        <w:tabs>
          <w:tab w:val="clear" w:pos="-420"/>
          <w:tab w:val="clear" w:pos="0"/>
        </w:tabs>
        <w:spacing w:line="360" w:lineRule="exact"/>
      </w:pPr>
      <w:r>
        <w:rPr>
          <w:rFonts w:hint="eastAsia"/>
        </w:rPr>
        <w:t>非碳酸盐替代原料对应的扣</w:t>
      </w:r>
      <w:r>
        <w:rPr>
          <w:rFonts w:hint="eastAsia"/>
        </w:rPr>
        <w:t>减系数</w:t>
      </w:r>
      <w:r>
        <w:rPr>
          <w:rFonts w:hint="eastAsia"/>
        </w:rPr>
        <w:t>按</w:t>
      </w:r>
      <w:r>
        <w:rPr>
          <w:rFonts w:hint="eastAsia"/>
        </w:rPr>
        <w:t>附录</w:t>
      </w:r>
      <w:r>
        <w:rPr>
          <w:rFonts w:hint="eastAsia"/>
        </w:rPr>
        <w:t>C</w:t>
      </w:r>
      <w:r>
        <w:rPr>
          <w:rFonts w:hint="eastAsia"/>
        </w:rPr>
        <w:t>取值</w:t>
      </w:r>
      <w:r>
        <w:rPr>
          <w:rFonts w:hint="eastAsia"/>
        </w:rPr>
        <w:t>。生态环境部有更新的，采用其最新发布的数值。</w:t>
      </w:r>
    </w:p>
    <w:p w:rsidR="00506AE6" w:rsidRDefault="0072598A">
      <w:pPr>
        <w:pStyle w:val="affa"/>
        <w:tabs>
          <w:tab w:val="clear" w:pos="-420"/>
          <w:tab w:val="clear" w:pos="0"/>
        </w:tabs>
        <w:spacing w:line="360" w:lineRule="exact"/>
      </w:pPr>
      <w:r>
        <w:rPr>
          <w:rFonts w:hint="eastAsia"/>
        </w:rPr>
        <w:t>多类非碳酸盐替代原料混合入生料磨且无法单独计量时，扣减系数取各类非碳酸盐替代原料中的最小值。</w:t>
      </w:r>
    </w:p>
    <w:p w:rsidR="00506AE6" w:rsidRDefault="0072598A">
      <w:pPr>
        <w:pStyle w:val="a4"/>
        <w:spacing w:beforeLines="100" w:before="312" w:after="156" w:line="360" w:lineRule="exact"/>
        <w:ind w:left="0"/>
        <w:outlineLvl w:val="1"/>
      </w:pPr>
      <w:bookmarkStart w:id="292" w:name="_Toc140003041"/>
      <w:bookmarkStart w:id="293" w:name="_Toc144282473"/>
      <w:bookmarkStart w:id="294" w:name="_Toc140045482"/>
      <w:r>
        <w:rPr>
          <w:rFonts w:hint="eastAsia"/>
        </w:rPr>
        <w:t>消耗电力产生的排放核算要求</w:t>
      </w:r>
      <w:bookmarkEnd w:id="292"/>
      <w:bookmarkEnd w:id="293"/>
      <w:bookmarkEnd w:id="294"/>
    </w:p>
    <w:p w:rsidR="00506AE6" w:rsidRDefault="0072598A">
      <w:pPr>
        <w:pStyle w:val="a4"/>
        <w:numPr>
          <w:ilvl w:val="2"/>
          <w:numId w:val="1"/>
        </w:numPr>
        <w:spacing w:before="156" w:after="156" w:line="360" w:lineRule="exact"/>
        <w:rPr>
          <w:rFonts w:ascii="Times New Roman"/>
        </w:rPr>
      </w:pPr>
      <w:bookmarkStart w:id="295" w:name="_Toc140003042"/>
      <w:bookmarkStart w:id="296" w:name="_Toc140045483"/>
      <w:r>
        <w:rPr>
          <w:rFonts w:ascii="Times New Roman" w:hint="eastAsia"/>
        </w:rPr>
        <w:t>计算公式</w:t>
      </w:r>
      <w:bookmarkEnd w:id="295"/>
      <w:bookmarkEnd w:id="296"/>
    </w:p>
    <w:p w:rsidR="00506AE6" w:rsidRDefault="0072598A">
      <w:pPr>
        <w:pStyle w:val="affa"/>
        <w:tabs>
          <w:tab w:val="clear" w:pos="-420"/>
          <w:tab w:val="clear" w:pos="0"/>
        </w:tabs>
        <w:spacing w:line="360" w:lineRule="exact"/>
        <w:rPr>
          <w:szCs w:val="21"/>
        </w:rPr>
      </w:pPr>
      <w:r>
        <w:rPr>
          <w:rFonts w:hint="eastAsia"/>
        </w:rPr>
        <w:t>熟料生产</w:t>
      </w:r>
      <w:r>
        <w:rPr>
          <w:rFonts w:hint="eastAsia"/>
          <w:szCs w:val="21"/>
        </w:rPr>
        <w:t>消耗电力产生</w:t>
      </w:r>
      <w:r>
        <w:rPr>
          <w:szCs w:val="21"/>
        </w:rPr>
        <w:t>的排放</w:t>
      </w:r>
      <w:r>
        <w:rPr>
          <w:rFonts w:hint="eastAsia"/>
        </w:rPr>
        <w:t>量按</w:t>
      </w:r>
      <w:r>
        <w:rPr>
          <w:szCs w:val="21"/>
        </w:rPr>
        <w:t>公式</w:t>
      </w:r>
      <w:r>
        <w:rPr>
          <w:rFonts w:hint="eastAsia"/>
          <w:szCs w:val="21"/>
        </w:rPr>
        <w:t>（</w:t>
      </w:r>
      <w:r>
        <w:rPr>
          <w:rFonts w:hint="eastAsia"/>
          <w:szCs w:val="21"/>
        </w:rPr>
        <w:t>4</w:t>
      </w:r>
      <w:r>
        <w:rPr>
          <w:rFonts w:hint="eastAsia"/>
          <w:szCs w:val="21"/>
        </w:rPr>
        <w:t>）</w:t>
      </w:r>
      <w:r>
        <w:rPr>
          <w:szCs w:val="21"/>
        </w:rPr>
        <w:t>计算。</w:t>
      </w:r>
    </w:p>
    <w:p w:rsidR="00506AE6" w:rsidRDefault="0072598A">
      <w:pPr>
        <w:pStyle w:val="afe"/>
        <w:ind w:firstLine="400"/>
      </w:pPr>
      <m:oMath>
        <m:sSub>
          <m:sSubPr>
            <m:ctrlPr>
              <w:rPr>
                <w:rFonts w:ascii="Cambria Math" w:hAnsi="Cambria Math" w:cs="宋体" w:hint="eastAsia"/>
              </w:rPr>
            </m:ctrlPr>
          </m:sSubPr>
          <m:e>
            <m:r>
              <m:rPr>
                <m:sty m:val="p"/>
              </m:rPr>
              <w:rPr>
                <w:rFonts w:ascii="Cambria Math" w:hAnsi="Cambria Math" w:cs="宋体"/>
              </w:rPr>
              <m:t>E</m:t>
            </m:r>
          </m:e>
          <m:sub>
            <m:r>
              <m:rPr>
                <m:sty m:val="p"/>
              </m:rPr>
              <w:rPr>
                <w:rFonts w:ascii="Cambria Math" w:hAnsi="Cambria Math" w:cs="宋体"/>
              </w:rPr>
              <m:t>ck</m:t>
            </m:r>
            <m:r>
              <m:rPr>
                <m:sty m:val="p"/>
              </m:rPr>
              <w:rPr>
                <w:rFonts w:ascii="Cambria Math" w:hAnsi="Cambria Math" w:cs="宋体" w:hint="eastAsia"/>
              </w:rPr>
              <m:t>电</m:t>
            </m:r>
            <m:r>
              <m:rPr>
                <m:sty m:val="p"/>
              </m:rPr>
              <w:rPr>
                <w:rFonts w:ascii="Cambria Math" w:hAnsi="Cambria Math"/>
              </w:rPr>
              <m:t>,j</m:t>
            </m:r>
          </m:sub>
        </m:sSub>
        <m:r>
          <m:rPr>
            <m:sty m:val="p"/>
          </m:rPr>
          <w:rPr>
            <w:rFonts w:ascii="Cambria Math" w:hAnsi="Cambria Math" w:cs="宋体"/>
          </w:rPr>
          <m:t>=A</m:t>
        </m:r>
        <m:sSub>
          <m:sSubPr>
            <m:ctrlPr>
              <w:rPr>
                <w:rFonts w:ascii="Cambria Math" w:hAnsi="Cambria Math" w:cs="宋体" w:hint="eastAsia"/>
              </w:rPr>
            </m:ctrlPr>
          </m:sSubPr>
          <m:e>
            <m:r>
              <m:rPr>
                <m:sty m:val="p"/>
              </m:rPr>
              <w:rPr>
                <w:rFonts w:ascii="Cambria Math" w:hAnsi="Cambria Math" w:cs="宋体"/>
              </w:rPr>
              <m:t>D</m:t>
            </m:r>
          </m:e>
          <m:sub>
            <m:r>
              <m:rPr>
                <m:sty m:val="p"/>
              </m:rPr>
              <w:rPr>
                <w:rFonts w:ascii="Cambria Math" w:hAnsi="Cambria Math" w:cs="宋体"/>
              </w:rPr>
              <m:t>ck</m:t>
            </m:r>
            <m:r>
              <m:rPr>
                <m:sty m:val="p"/>
              </m:rPr>
              <w:rPr>
                <w:rFonts w:ascii="Cambria Math" w:hAnsi="Cambria Math" w:cs="宋体" w:hint="eastAsia"/>
              </w:rPr>
              <m:t>电</m:t>
            </m:r>
            <m:r>
              <m:rPr>
                <m:sty m:val="p"/>
              </m:rPr>
              <w:rPr>
                <w:rFonts w:ascii="Cambria Math" w:hAnsi="Cambria Math"/>
              </w:rPr>
              <m:t>,j</m:t>
            </m:r>
          </m:sub>
        </m:sSub>
        <m:r>
          <m:rPr>
            <m:sty m:val="p"/>
          </m:rPr>
          <w:rPr>
            <w:rFonts w:ascii="Cambria Math" w:hAnsi="Cambria Math" w:cs="宋体"/>
          </w:rPr>
          <m:t>×E</m:t>
        </m:r>
        <m:sSub>
          <m:sSubPr>
            <m:ctrlPr>
              <w:rPr>
                <w:rFonts w:ascii="Cambria Math" w:hAnsi="Cambria Math" w:cs="宋体" w:hint="eastAsia"/>
              </w:rPr>
            </m:ctrlPr>
          </m:sSubPr>
          <m:e>
            <m:r>
              <m:rPr>
                <m:sty m:val="p"/>
              </m:rPr>
              <w:rPr>
                <w:rFonts w:ascii="Cambria Math" w:hAnsi="Cambria Math" w:cs="宋体"/>
              </w:rPr>
              <m:t>F</m:t>
            </m:r>
          </m:e>
          <m:sub>
            <m:r>
              <m:rPr>
                <m:sty m:val="p"/>
              </m:rPr>
              <w:rPr>
                <w:rFonts w:ascii="Cambria Math" w:hAnsi="Cambria Math" w:cs="宋体" w:hint="eastAsia"/>
              </w:rPr>
              <m:t>电</m:t>
            </m:r>
          </m:sub>
        </m:sSub>
      </m:oMath>
      <w:r>
        <w:tab/>
      </w:r>
      <w:r>
        <w:rPr>
          <w:rFonts w:hint="eastAsia"/>
        </w:rPr>
        <w:t xml:space="preserve">     </w:t>
      </w:r>
      <w:r>
        <w:t xml:space="preserve">                     </w:t>
      </w:r>
      <w:r>
        <w:t>（</w:t>
      </w:r>
      <w:r>
        <w:rPr>
          <w:rFonts w:ascii="Times New Roman" w:hAnsi="Times New Roman"/>
        </w:rPr>
        <w:t>4</w:t>
      </w:r>
      <w:r>
        <w:t>）</w:t>
      </w:r>
    </w:p>
    <w:p w:rsidR="00506AE6" w:rsidRDefault="0072598A">
      <w:pPr>
        <w:pStyle w:val="affa"/>
        <w:tabs>
          <w:tab w:val="clear" w:pos="-420"/>
          <w:tab w:val="clear" w:pos="0"/>
        </w:tabs>
        <w:spacing w:line="360" w:lineRule="exact"/>
        <w:ind w:right="-210"/>
        <w:rPr>
          <w:szCs w:val="21"/>
        </w:rPr>
      </w:pPr>
      <w:r>
        <w:rPr>
          <w:szCs w:val="21"/>
        </w:rPr>
        <w:t>式中</w:t>
      </w:r>
      <w:r>
        <w:rPr>
          <w:rFonts w:hint="eastAsia"/>
          <w:szCs w:val="21"/>
        </w:rPr>
        <w:t>：</w:t>
      </w:r>
    </w:p>
    <w:tbl>
      <w:tblPr>
        <w:tblW w:w="8509" w:type="dxa"/>
        <w:jc w:val="right"/>
        <w:tblLayout w:type="fixed"/>
        <w:tblLook w:val="04A0" w:firstRow="1" w:lastRow="0" w:firstColumn="1" w:lastColumn="0" w:noHBand="0" w:noVBand="1"/>
      </w:tblPr>
      <w:tblGrid>
        <w:gridCol w:w="1026"/>
        <w:gridCol w:w="340"/>
        <w:gridCol w:w="7143"/>
      </w:tblGrid>
      <w:tr w:rsidR="00506AE6">
        <w:trPr>
          <w:trHeight w:val="20"/>
          <w:jc w:val="right"/>
        </w:trPr>
        <w:tc>
          <w:tcPr>
            <w:tcW w:w="1026" w:type="dxa"/>
            <w:vAlign w:val="center"/>
          </w:tcPr>
          <w:p w:rsidR="00506AE6" w:rsidRDefault="0072598A">
            <w:pPr>
              <w:adjustRightInd w:val="0"/>
              <w:snapToGrid w:val="0"/>
              <w:spacing w:line="240" w:lineRule="auto"/>
              <w:ind w:firstLineChars="0" w:firstLine="0"/>
              <w:jc w:val="left"/>
              <w:rPr>
                <w:i/>
                <w:iCs/>
                <w:szCs w:val="21"/>
                <w:vertAlign w:val="subscript"/>
              </w:rPr>
            </w:pPr>
            <m:oMathPara>
              <m:oMathParaPr>
                <m:jc m:val="left"/>
              </m:oMathParaPr>
              <m:oMath>
                <m:sSub>
                  <m:sSubPr>
                    <m:ctrlPr>
                      <w:rPr>
                        <w:rFonts w:ascii="Cambria Math" w:hAnsi="Cambria Math" w:cs="宋体" w:hint="eastAsia"/>
                        <w:szCs w:val="21"/>
                      </w:rPr>
                    </m:ctrlPr>
                  </m:sSubPr>
                  <m:e>
                    <m:r>
                      <w:rPr>
                        <w:rFonts w:ascii="Cambria Math" w:hAnsi="Cambria Math" w:cs="宋体"/>
                        <w:szCs w:val="21"/>
                      </w:rPr>
                      <m:t>E</m:t>
                    </m:r>
                  </m:e>
                  <m:sub>
                    <m:r>
                      <w:rPr>
                        <w:rFonts w:ascii="Cambria Math" w:hAnsi="Cambria Math" w:cs="宋体"/>
                        <w:szCs w:val="21"/>
                      </w:rPr>
                      <m:t>ck</m:t>
                    </m:r>
                    <m:r>
                      <w:rPr>
                        <w:rFonts w:ascii="Cambria Math" w:hAnsi="Cambria Math" w:cs="宋体" w:hint="eastAsia"/>
                        <w:szCs w:val="21"/>
                      </w:rPr>
                      <m:t>电</m:t>
                    </m:r>
                    <m:r>
                      <w:rPr>
                        <w:rFonts w:ascii="Cambria Math" w:hAnsi="Cambria Math"/>
                        <w:szCs w:val="21"/>
                      </w:rPr>
                      <m:t>,</m:t>
                    </m:r>
                    <m:r>
                      <w:rPr>
                        <w:rFonts w:ascii="Cambria Math" w:hAnsi="Cambria Math" w:hint="eastAsia"/>
                        <w:szCs w:val="21"/>
                      </w:rPr>
                      <m:t>j</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143" w:type="dxa"/>
            <w:vAlign w:val="center"/>
          </w:tcPr>
          <w:p w:rsidR="00506AE6" w:rsidRDefault="0072598A">
            <w:pPr>
              <w:adjustRightInd w:val="0"/>
              <w:snapToGrid w:val="0"/>
              <w:spacing w:line="240" w:lineRule="auto"/>
              <w:ind w:firstLineChars="0" w:firstLine="0"/>
              <w:jc w:val="left"/>
              <w:rPr>
                <w:szCs w:val="21"/>
              </w:rPr>
            </w:pPr>
            <w:r>
              <w:rPr>
                <w:rFonts w:hint="eastAsia"/>
              </w:rPr>
              <w:t>熟料生产线</w:t>
            </w:r>
            <m:oMath>
              <m:r>
                <w:rPr>
                  <w:rFonts w:ascii="Cambria Math" w:hAnsi="Cambria Math" w:hint="eastAsia"/>
                  <w:szCs w:val="21"/>
                </w:rPr>
                <m:t>j</m:t>
              </m:r>
            </m:oMath>
            <w:r>
              <w:rPr>
                <w:rFonts w:hint="eastAsia"/>
                <w:szCs w:val="21"/>
              </w:rPr>
              <w:t>消耗电量</w:t>
            </w:r>
            <w:r>
              <w:rPr>
                <w:szCs w:val="21"/>
              </w:rPr>
              <w:t>产生的</w:t>
            </w:r>
            <w:r>
              <w:t>排放量</w:t>
            </w:r>
            <w:r>
              <w:rPr>
                <w:szCs w:val="21"/>
              </w:rPr>
              <w:t>，单位为吨二氧化碳（</w:t>
            </w:r>
            <w:r>
              <w:rPr>
                <w:szCs w:val="21"/>
              </w:rPr>
              <w:t>tCO</w:t>
            </w:r>
            <w:r>
              <w:rPr>
                <w:szCs w:val="21"/>
                <w:vertAlign w:val="subscript"/>
              </w:rPr>
              <w:t>2</w:t>
            </w:r>
            <w:r>
              <w:rPr>
                <w:szCs w:val="21"/>
              </w:rPr>
              <w:t>）</w:t>
            </w:r>
            <w:r>
              <w:rPr>
                <w:rFonts w:hint="eastAsia"/>
                <w:szCs w:val="21"/>
              </w:rPr>
              <w:t>；</w:t>
            </w:r>
          </w:p>
        </w:tc>
      </w:tr>
      <w:tr w:rsidR="00506AE6">
        <w:trPr>
          <w:trHeight w:val="20"/>
          <w:jc w:val="right"/>
        </w:trPr>
        <w:tc>
          <w:tcPr>
            <w:tcW w:w="1026" w:type="dxa"/>
            <w:vAlign w:val="center"/>
          </w:tcPr>
          <w:p w:rsidR="00506AE6" w:rsidRDefault="0072598A">
            <w:pPr>
              <w:adjustRightInd w:val="0"/>
              <w:snapToGrid w:val="0"/>
              <w:spacing w:line="240" w:lineRule="auto"/>
              <w:ind w:firstLineChars="0" w:firstLine="0"/>
              <w:jc w:val="left"/>
              <w:rPr>
                <w:i/>
                <w:iCs/>
                <w:szCs w:val="21"/>
                <w:vertAlign w:val="subscript"/>
              </w:rPr>
            </w:pPr>
            <m:oMathPara>
              <m:oMathParaPr>
                <m:jc m:val="left"/>
              </m:oMathParaPr>
              <m:oMath>
                <m:r>
                  <w:rPr>
                    <w:rFonts w:ascii="Cambria Math" w:hAnsi="Cambria Math" w:cs="宋体"/>
                    <w:szCs w:val="21"/>
                  </w:rPr>
                  <w:lastRenderedPageBreak/>
                  <m:t>A</m:t>
                </m:r>
                <m:sSub>
                  <m:sSubPr>
                    <m:ctrlPr>
                      <w:rPr>
                        <w:rFonts w:ascii="Cambria Math" w:hAnsi="Cambria Math" w:cs="宋体" w:hint="eastAsia"/>
                        <w:szCs w:val="21"/>
                      </w:rPr>
                    </m:ctrlPr>
                  </m:sSubPr>
                  <m:e>
                    <m:r>
                      <w:rPr>
                        <w:rFonts w:ascii="Cambria Math" w:hAnsi="Cambria Math" w:cs="宋体"/>
                        <w:szCs w:val="21"/>
                      </w:rPr>
                      <m:t>D</m:t>
                    </m:r>
                  </m:e>
                  <m:sub>
                    <m:r>
                      <w:rPr>
                        <w:rFonts w:ascii="Cambria Math" w:hAnsi="Cambria Math" w:cs="宋体"/>
                        <w:szCs w:val="21"/>
                      </w:rPr>
                      <m:t>ck</m:t>
                    </m:r>
                    <m:r>
                      <w:rPr>
                        <w:rFonts w:ascii="Cambria Math" w:hAnsi="Cambria Math" w:cs="宋体" w:hint="eastAsia"/>
                        <w:szCs w:val="21"/>
                      </w:rPr>
                      <m:t>电</m:t>
                    </m:r>
                    <m:r>
                      <w:rPr>
                        <w:rFonts w:ascii="Cambria Math" w:hAnsi="Cambria Math"/>
                        <w:szCs w:val="21"/>
                      </w:rPr>
                      <m:t>,</m:t>
                    </m:r>
                    <m:r>
                      <w:rPr>
                        <w:rFonts w:ascii="Cambria Math" w:hAnsi="Cambria Math" w:hint="eastAsia"/>
                        <w:szCs w:val="21"/>
                      </w:rPr>
                      <m:t>j</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143" w:type="dxa"/>
            <w:vAlign w:val="center"/>
          </w:tcPr>
          <w:p w:rsidR="00506AE6" w:rsidRDefault="0072598A">
            <w:pPr>
              <w:adjustRightInd w:val="0"/>
              <w:snapToGrid w:val="0"/>
              <w:spacing w:line="240" w:lineRule="auto"/>
              <w:ind w:firstLineChars="0" w:firstLine="0"/>
              <w:jc w:val="left"/>
              <w:rPr>
                <w:szCs w:val="21"/>
              </w:rPr>
            </w:pPr>
            <w:r>
              <w:rPr>
                <w:rFonts w:hint="eastAsia"/>
              </w:rPr>
              <w:t>熟料生产线</w:t>
            </w:r>
            <m:oMath>
              <m:r>
                <w:rPr>
                  <w:rFonts w:ascii="Cambria Math" w:hAnsi="Cambria Math" w:hint="eastAsia"/>
                  <w:szCs w:val="21"/>
                </w:rPr>
                <m:t>j</m:t>
              </m:r>
            </m:oMath>
            <w:r>
              <w:rPr>
                <w:rFonts w:hint="eastAsia"/>
              </w:rPr>
              <w:t>的</w:t>
            </w:r>
            <w:r>
              <w:rPr>
                <w:rFonts w:hint="eastAsia"/>
                <w:iCs/>
                <w:szCs w:val="21"/>
              </w:rPr>
              <w:t>消耗</w:t>
            </w:r>
            <w:r>
              <w:rPr>
                <w:szCs w:val="21"/>
              </w:rPr>
              <w:t>电量，单位为兆瓦时（</w:t>
            </w:r>
            <w:r>
              <w:rPr>
                <w:szCs w:val="21"/>
              </w:rPr>
              <w:t>MW</w:t>
            </w:r>
            <w:r>
              <w:rPr>
                <w:rFonts w:hint="eastAsia"/>
                <w:szCs w:val="21"/>
              </w:rPr>
              <w:t>∙</w:t>
            </w:r>
            <w:r>
              <w:rPr>
                <w:szCs w:val="21"/>
              </w:rPr>
              <w:t>h</w:t>
            </w:r>
            <w:r>
              <w:rPr>
                <w:szCs w:val="21"/>
              </w:rPr>
              <w:t>）；</w:t>
            </w:r>
          </w:p>
        </w:tc>
      </w:tr>
      <w:tr w:rsidR="00506AE6">
        <w:trPr>
          <w:trHeight w:val="20"/>
          <w:jc w:val="right"/>
        </w:trPr>
        <w:tc>
          <w:tcPr>
            <w:tcW w:w="1026" w:type="dxa"/>
            <w:vAlign w:val="center"/>
          </w:tcPr>
          <w:p w:rsidR="00506AE6" w:rsidRDefault="0072598A">
            <w:pPr>
              <w:adjustRightInd w:val="0"/>
              <w:snapToGrid w:val="0"/>
              <w:spacing w:line="240" w:lineRule="auto"/>
              <w:ind w:firstLineChars="0" w:firstLine="0"/>
              <w:jc w:val="left"/>
              <w:rPr>
                <w:i/>
                <w:iCs/>
                <w:szCs w:val="21"/>
                <w:vertAlign w:val="subscript"/>
              </w:rPr>
            </w:pPr>
            <m:oMathPara>
              <m:oMathParaPr>
                <m:jc m:val="left"/>
              </m:oMathParaPr>
              <m:oMath>
                <m:r>
                  <w:rPr>
                    <w:rFonts w:ascii="Cambria Math" w:hAnsi="Cambria Math" w:cs="宋体"/>
                    <w:szCs w:val="21"/>
                  </w:rPr>
                  <m:t>E</m:t>
                </m:r>
                <m:sSub>
                  <m:sSubPr>
                    <m:ctrlPr>
                      <w:rPr>
                        <w:rFonts w:ascii="Cambria Math" w:hAnsi="Cambria Math" w:cs="宋体" w:hint="eastAsia"/>
                        <w:szCs w:val="21"/>
                      </w:rPr>
                    </m:ctrlPr>
                  </m:sSubPr>
                  <m:e>
                    <m:r>
                      <w:rPr>
                        <w:rFonts w:ascii="Cambria Math" w:hAnsi="Cambria Math" w:cs="宋体"/>
                        <w:szCs w:val="21"/>
                      </w:rPr>
                      <m:t>F</m:t>
                    </m:r>
                  </m:e>
                  <m:sub>
                    <m:r>
                      <w:rPr>
                        <w:rFonts w:ascii="Cambria Math" w:hAnsi="Cambria Math" w:cs="宋体" w:hint="eastAsia"/>
                        <w:szCs w:val="21"/>
                      </w:rPr>
                      <m:t>电</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143" w:type="dxa"/>
            <w:vAlign w:val="center"/>
          </w:tcPr>
          <w:p w:rsidR="00506AE6" w:rsidRDefault="0072598A">
            <w:pPr>
              <w:adjustRightInd w:val="0"/>
              <w:snapToGrid w:val="0"/>
              <w:spacing w:line="240" w:lineRule="auto"/>
              <w:ind w:firstLineChars="0" w:firstLine="0"/>
              <w:jc w:val="left"/>
              <w:rPr>
                <w:szCs w:val="21"/>
              </w:rPr>
            </w:pPr>
            <w:r>
              <w:rPr>
                <w:rFonts w:hint="eastAsia"/>
                <w:szCs w:val="21"/>
              </w:rPr>
              <w:t>电力排放因子</w:t>
            </w:r>
            <w:r>
              <w:rPr>
                <w:szCs w:val="21"/>
              </w:rPr>
              <w:t>，单位为吨二氧化碳</w:t>
            </w:r>
            <w:r>
              <w:rPr>
                <w:rFonts w:hint="eastAsia"/>
                <w:szCs w:val="21"/>
              </w:rPr>
              <w:t>每</w:t>
            </w:r>
            <w:r>
              <w:rPr>
                <w:szCs w:val="21"/>
              </w:rPr>
              <w:t>兆瓦时（</w:t>
            </w:r>
            <w:r>
              <w:rPr>
                <w:szCs w:val="21"/>
              </w:rPr>
              <w:t>tCO</w:t>
            </w:r>
            <w:r>
              <w:rPr>
                <w:szCs w:val="21"/>
                <w:vertAlign w:val="subscript"/>
              </w:rPr>
              <w:t>2</w:t>
            </w:r>
            <w:r>
              <w:rPr>
                <w:szCs w:val="21"/>
              </w:rPr>
              <w:t>/MW</w:t>
            </w:r>
            <w:r>
              <w:rPr>
                <w:rFonts w:hint="eastAsia"/>
                <w:szCs w:val="21"/>
              </w:rPr>
              <w:t>∙</w:t>
            </w:r>
            <w:r>
              <w:rPr>
                <w:szCs w:val="21"/>
              </w:rPr>
              <w:t>h</w:t>
            </w:r>
            <w:r>
              <w:rPr>
                <w:szCs w:val="21"/>
              </w:rPr>
              <w:t>）</w:t>
            </w:r>
            <w:r>
              <w:rPr>
                <w:rFonts w:hint="eastAsia"/>
                <w:szCs w:val="21"/>
              </w:rPr>
              <w:t>。</w:t>
            </w:r>
          </w:p>
        </w:tc>
      </w:tr>
    </w:tbl>
    <w:p w:rsidR="00506AE6" w:rsidRDefault="0072598A">
      <w:pPr>
        <w:pStyle w:val="affa"/>
        <w:tabs>
          <w:tab w:val="clear" w:pos="-420"/>
          <w:tab w:val="clear" w:pos="0"/>
        </w:tabs>
        <w:spacing w:line="360" w:lineRule="exact"/>
        <w:rPr>
          <w:szCs w:val="21"/>
        </w:rPr>
      </w:pPr>
      <w:r>
        <w:rPr>
          <w:rFonts w:hint="eastAsia"/>
        </w:rPr>
        <w:t>熟料生产的消耗</w:t>
      </w:r>
      <w:r>
        <w:rPr>
          <w:rFonts w:hint="eastAsia"/>
          <w:szCs w:val="21"/>
        </w:rPr>
        <w:t>电</w:t>
      </w:r>
      <w:r>
        <w:rPr>
          <w:rFonts w:hint="eastAsia"/>
        </w:rPr>
        <w:t>量按</w:t>
      </w:r>
      <w:r>
        <w:rPr>
          <w:szCs w:val="21"/>
        </w:rPr>
        <w:t>公式</w:t>
      </w:r>
      <w:r>
        <w:rPr>
          <w:rFonts w:hint="eastAsia"/>
          <w:szCs w:val="21"/>
        </w:rPr>
        <w:t>（</w:t>
      </w:r>
      <w:r>
        <w:rPr>
          <w:szCs w:val="21"/>
        </w:rPr>
        <w:t>5</w:t>
      </w:r>
      <w:r>
        <w:rPr>
          <w:rFonts w:hint="eastAsia"/>
          <w:szCs w:val="21"/>
        </w:rPr>
        <w:t>）</w:t>
      </w:r>
      <w:r>
        <w:rPr>
          <w:szCs w:val="21"/>
        </w:rPr>
        <w:t>计算。</w:t>
      </w:r>
    </w:p>
    <w:p w:rsidR="00506AE6" w:rsidRDefault="0072598A">
      <w:pPr>
        <w:pStyle w:val="afe"/>
        <w:ind w:firstLine="400"/>
        <w:rPr>
          <w:rFonts w:ascii="Times New Roman" w:hAnsi="Times New Roman"/>
        </w:rPr>
      </w:pPr>
      <m:oMath>
        <m:r>
          <m:rPr>
            <m:sty m:val="p"/>
          </m:rPr>
          <w:rPr>
            <w:rFonts w:ascii="Cambria Math" w:hAnsi="Cambria Math"/>
          </w:rPr>
          <m:t>A</m:t>
        </m:r>
        <m:sSub>
          <m:sSubPr>
            <m:ctrlPr>
              <w:rPr>
                <w:rFonts w:ascii="Cambria Math" w:hAnsi="Cambria Math" w:hint="eastAsia"/>
                <w:iCs/>
              </w:rPr>
            </m:ctrlPr>
          </m:sSubPr>
          <m:e>
            <m:r>
              <m:rPr>
                <m:sty m:val="p"/>
              </m:rPr>
              <w:rPr>
                <w:rFonts w:ascii="Cambria Math" w:hAnsi="Cambria Math"/>
              </w:rPr>
              <m:t>D</m:t>
            </m:r>
          </m:e>
          <m:sub>
            <m:r>
              <m:rPr>
                <m:sty m:val="p"/>
              </m:rPr>
              <w:rPr>
                <w:rFonts w:ascii="Cambria Math" w:hAnsi="Cambria Math" w:hint="eastAsia"/>
              </w:rPr>
              <m:t>ck</m:t>
            </m:r>
            <m:r>
              <m:rPr>
                <m:sty m:val="p"/>
              </m:rPr>
              <w:rPr>
                <w:rFonts w:ascii="Cambria Math" w:hAnsi="Cambria Math" w:hint="eastAsia"/>
              </w:rPr>
              <m:t>电</m:t>
            </m:r>
            <m:r>
              <m:rPr>
                <m:sty m:val="p"/>
              </m:rPr>
              <w:rPr>
                <w:rFonts w:ascii="Cambria Math" w:hAnsi="Cambria Math"/>
              </w:rPr>
              <m:t>,j</m:t>
            </m:r>
          </m:sub>
        </m:sSub>
        <m:r>
          <m:rPr>
            <m:sty m:val="p"/>
          </m:rPr>
          <w:rPr>
            <w:rFonts w:ascii="Cambria Math" w:hAnsi="Cambria Math"/>
          </w:rPr>
          <m:t>=A</m:t>
        </m:r>
        <m:sSub>
          <m:sSubPr>
            <m:ctrlPr>
              <w:rPr>
                <w:rFonts w:ascii="Cambria Math" w:hAnsi="Cambria Math" w:hint="eastAsia"/>
                <w:iCs/>
              </w:rPr>
            </m:ctrlPr>
          </m:sSubPr>
          <m:e>
            <m:r>
              <m:rPr>
                <m:sty m:val="p"/>
              </m:rPr>
              <w:rPr>
                <w:rFonts w:ascii="Cambria Math" w:hAnsi="Cambria Math"/>
              </w:rPr>
              <m:t>D</m:t>
            </m:r>
          </m:e>
          <m:sub>
            <m:r>
              <m:rPr>
                <m:sty m:val="p"/>
              </m:rPr>
              <w:rPr>
                <w:rFonts w:ascii="Cambria Math" w:hAnsi="Cambria Math" w:hint="eastAsia"/>
              </w:rPr>
              <m:t>消耗电</m:t>
            </m:r>
            <m:r>
              <m:rPr>
                <m:sty m:val="p"/>
              </m:rPr>
              <w:rPr>
                <w:rFonts w:ascii="Cambria Math" w:hAnsi="Cambria Math"/>
              </w:rPr>
              <m:t>,j</m:t>
            </m:r>
          </m:sub>
        </m:sSub>
        <m:r>
          <m:rPr>
            <m:sty m:val="p"/>
          </m:rPr>
          <w:rPr>
            <w:rFonts w:ascii="Cambria Math" w:hAnsi="Cambria Math"/>
          </w:rPr>
          <m:t>-</m:t>
        </m:r>
        <m:r>
          <m:rPr>
            <m:sty m:val="p"/>
          </m:rPr>
          <w:rPr>
            <w:rFonts w:ascii="Cambria Math" w:hAnsi="Cambria Math"/>
          </w:rPr>
          <m:t>A</m:t>
        </m:r>
        <m:sSub>
          <m:sSubPr>
            <m:ctrlPr>
              <w:rPr>
                <w:rFonts w:ascii="Cambria Math" w:hAnsi="Cambria Math" w:hint="eastAsia"/>
                <w:iCs/>
              </w:rPr>
            </m:ctrlPr>
          </m:sSubPr>
          <m:e>
            <m:r>
              <m:rPr>
                <m:sty m:val="p"/>
              </m:rPr>
              <w:rPr>
                <w:rFonts w:ascii="Cambria Math" w:hAnsi="Cambria Math"/>
              </w:rPr>
              <m:t>D</m:t>
            </m:r>
          </m:e>
          <m:sub>
            <m:r>
              <m:rPr>
                <m:sty m:val="p"/>
              </m:rPr>
              <w:rPr>
                <w:rFonts w:ascii="Cambria Math" w:hAnsi="Cambria Math" w:hint="eastAsia"/>
              </w:rPr>
              <m:t>余热发电</m:t>
            </m:r>
            <m:r>
              <m:rPr>
                <m:sty m:val="p"/>
              </m:rPr>
              <w:rPr>
                <w:rFonts w:ascii="Cambria Math" w:hAnsi="Cambria Math"/>
              </w:rPr>
              <m:t>,j</m:t>
            </m:r>
          </m:sub>
        </m:sSub>
        <m:r>
          <m:rPr>
            <m:sty m:val="p"/>
          </m:rPr>
          <w:rPr>
            <w:rFonts w:ascii="Cambria Math" w:hAnsi="Cambria Math"/>
          </w:rPr>
          <m:t>-</m:t>
        </m:r>
        <m:r>
          <m:rPr>
            <m:sty m:val="p"/>
          </m:rPr>
          <w:rPr>
            <w:rFonts w:ascii="Cambria Math" w:hAnsi="Cambria Math"/>
          </w:rPr>
          <m:t>A</m:t>
        </m:r>
        <m:sSub>
          <m:sSubPr>
            <m:ctrlPr>
              <w:rPr>
                <w:rFonts w:ascii="Cambria Math" w:hAnsi="Cambria Math" w:hint="eastAsia"/>
                <w:iCs/>
              </w:rPr>
            </m:ctrlPr>
          </m:sSubPr>
          <m:e>
            <m:r>
              <m:rPr>
                <m:sty m:val="p"/>
              </m:rPr>
              <w:rPr>
                <w:rFonts w:ascii="Cambria Math" w:hAnsi="Cambria Math"/>
              </w:rPr>
              <m:t>D</m:t>
            </m:r>
          </m:e>
          <m:sub>
            <m:r>
              <m:rPr>
                <m:sty m:val="p"/>
              </m:rPr>
              <w:rPr>
                <w:rFonts w:ascii="Cambria Math" w:hAnsi="Cambria Math" w:hint="eastAsia"/>
              </w:rPr>
              <m:t>购入电网非化石电</m:t>
            </m:r>
            <m:r>
              <m:rPr>
                <m:sty m:val="p"/>
              </m:rPr>
              <w:rPr>
                <w:rFonts w:ascii="Cambria Math" w:hAnsi="Cambria Math"/>
              </w:rPr>
              <m:t>,j</m:t>
            </m:r>
          </m:sub>
        </m:sSub>
        <m:r>
          <m:rPr>
            <m:sty m:val="p"/>
          </m:rPr>
          <w:rPr>
            <w:rFonts w:ascii="Cambria Math" w:hAnsi="Cambria Math"/>
          </w:rPr>
          <m:t>-</m:t>
        </m:r>
        <m:r>
          <m:rPr>
            <m:sty m:val="p"/>
          </m:rPr>
          <w:rPr>
            <w:rFonts w:ascii="Cambria Math" w:hAnsi="Cambria Math"/>
          </w:rPr>
          <m:t>A</m:t>
        </m:r>
        <m:sSub>
          <m:sSubPr>
            <m:ctrlPr>
              <w:rPr>
                <w:rFonts w:ascii="Cambria Math" w:hAnsi="Cambria Math" w:hint="eastAsia"/>
                <w:iCs/>
              </w:rPr>
            </m:ctrlPr>
          </m:sSubPr>
          <m:e>
            <m:r>
              <m:rPr>
                <m:sty m:val="p"/>
              </m:rPr>
              <w:rPr>
                <w:rFonts w:ascii="Cambria Math" w:hAnsi="Cambria Math"/>
              </w:rPr>
              <m:t>D</m:t>
            </m:r>
          </m:e>
          <m:sub>
            <m:r>
              <m:rPr>
                <m:sty m:val="p"/>
              </m:rPr>
              <w:rPr>
                <w:rFonts w:ascii="Cambria Math" w:hAnsi="Cambria Math" w:hint="eastAsia"/>
              </w:rPr>
              <m:t>自发自用非化石电</m:t>
            </m:r>
            <m:r>
              <m:rPr>
                <m:sty m:val="p"/>
              </m:rPr>
              <w:rPr>
                <w:rFonts w:ascii="Cambria Math" w:hAnsi="Cambria Math"/>
              </w:rPr>
              <m:t>,j</m:t>
            </m:r>
          </m:sub>
        </m:sSub>
      </m:oMath>
      <w:r>
        <w:rPr>
          <w:rFonts w:hAnsi="Cambria Math" w:hint="eastAsia"/>
          <w:iCs/>
        </w:rPr>
        <w:t xml:space="preserve">   </w:t>
      </w:r>
      <w:r>
        <w:rPr>
          <w:rFonts w:ascii="Times New Roman" w:hAnsi="Times New Roman"/>
          <w:iCs/>
        </w:rPr>
        <w:t>（</w:t>
      </w:r>
      <w:r>
        <w:rPr>
          <w:rFonts w:ascii="Times New Roman" w:hAnsi="Times New Roman" w:hint="eastAsia"/>
        </w:rPr>
        <w:t>5</w:t>
      </w:r>
      <w:r>
        <w:rPr>
          <w:rFonts w:ascii="Times New Roman" w:hAnsi="Times New Roman"/>
        </w:rPr>
        <w:t>）</w:t>
      </w:r>
    </w:p>
    <w:p w:rsidR="00506AE6" w:rsidRDefault="0072598A">
      <w:pPr>
        <w:pStyle w:val="affa"/>
        <w:tabs>
          <w:tab w:val="clear" w:pos="-420"/>
          <w:tab w:val="clear" w:pos="0"/>
        </w:tabs>
        <w:spacing w:line="360" w:lineRule="exact"/>
        <w:rPr>
          <w:szCs w:val="21"/>
        </w:rPr>
      </w:pPr>
      <w:r>
        <w:rPr>
          <w:szCs w:val="21"/>
        </w:rPr>
        <w:t>式中</w:t>
      </w:r>
      <w:r>
        <w:rPr>
          <w:rFonts w:hint="eastAsia"/>
          <w:szCs w:val="21"/>
        </w:rPr>
        <w:t>：</w:t>
      </w:r>
    </w:p>
    <w:tbl>
      <w:tblPr>
        <w:tblW w:w="8658" w:type="dxa"/>
        <w:jc w:val="right"/>
        <w:tblLayout w:type="fixed"/>
        <w:tblLook w:val="04A0" w:firstRow="1" w:lastRow="0" w:firstColumn="1" w:lastColumn="0" w:noHBand="0" w:noVBand="1"/>
      </w:tblPr>
      <w:tblGrid>
        <w:gridCol w:w="2037"/>
        <w:gridCol w:w="339"/>
        <w:gridCol w:w="6282"/>
      </w:tblGrid>
      <w:tr w:rsidR="00506AE6">
        <w:trPr>
          <w:trHeight w:val="392"/>
          <w:jc w:val="right"/>
        </w:trPr>
        <w:tc>
          <w:tcPr>
            <w:tcW w:w="2037" w:type="dxa"/>
            <w:vAlign w:val="center"/>
          </w:tcPr>
          <w:p w:rsidR="00506AE6" w:rsidRDefault="0072598A">
            <w:pPr>
              <w:adjustRightInd w:val="0"/>
              <w:snapToGrid w:val="0"/>
              <w:spacing w:line="240" w:lineRule="auto"/>
              <w:ind w:firstLineChars="0" w:firstLine="0"/>
              <w:jc w:val="left"/>
              <w:rPr>
                <w:i/>
                <w:iCs/>
                <w:szCs w:val="21"/>
                <w:vertAlign w:val="subscript"/>
              </w:rPr>
            </w:pPr>
            <m:oMathPara>
              <m:oMathParaPr>
                <m:jc m:val="left"/>
              </m:oMathParaPr>
              <m:oMath>
                <m:r>
                  <w:rPr>
                    <w:rFonts w:ascii="Cambria Math" w:hAnsi="Cambria Math" w:cs="宋体"/>
                    <w:szCs w:val="21"/>
                  </w:rPr>
                  <m:t>A</m:t>
                </m:r>
                <m:sSub>
                  <m:sSubPr>
                    <m:ctrlPr>
                      <w:rPr>
                        <w:rFonts w:ascii="Cambria Math" w:hAnsi="Cambria Math" w:cs="宋体" w:hint="eastAsia"/>
                        <w:szCs w:val="21"/>
                      </w:rPr>
                    </m:ctrlPr>
                  </m:sSubPr>
                  <m:e>
                    <m:r>
                      <w:rPr>
                        <w:rFonts w:ascii="Cambria Math" w:hAnsi="Cambria Math" w:cs="宋体"/>
                        <w:szCs w:val="21"/>
                      </w:rPr>
                      <m:t>D</m:t>
                    </m:r>
                  </m:e>
                  <m:sub>
                    <m:r>
                      <w:rPr>
                        <w:rFonts w:ascii="Cambria Math" w:hAnsi="Cambria Math" w:cs="宋体" w:hint="eastAsia"/>
                        <w:szCs w:val="21"/>
                      </w:rPr>
                      <m:t>消耗电</m:t>
                    </m:r>
                    <m:r>
                      <w:rPr>
                        <w:rFonts w:ascii="Cambria Math" w:hAnsi="Cambria Math"/>
                        <w:szCs w:val="21"/>
                      </w:rPr>
                      <m:t>,</m:t>
                    </m:r>
                    <m:r>
                      <w:rPr>
                        <w:rFonts w:ascii="Cambria Math" w:hAnsi="Cambria Math" w:hint="eastAsia"/>
                        <w:szCs w:val="21"/>
                      </w:rPr>
                      <m:t>j</m:t>
                    </m:r>
                  </m:sub>
                </m:sSub>
              </m:oMath>
            </m:oMathPara>
          </w:p>
        </w:tc>
        <w:tc>
          <w:tcPr>
            <w:tcW w:w="339"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6282" w:type="dxa"/>
            <w:vAlign w:val="center"/>
          </w:tcPr>
          <w:p w:rsidR="00506AE6" w:rsidRDefault="0072598A">
            <w:pPr>
              <w:adjustRightInd w:val="0"/>
              <w:snapToGrid w:val="0"/>
              <w:spacing w:line="240" w:lineRule="auto"/>
              <w:ind w:firstLineChars="0" w:firstLine="0"/>
              <w:jc w:val="left"/>
              <w:rPr>
                <w:szCs w:val="21"/>
              </w:rPr>
            </w:pPr>
            <w:bookmarkStart w:id="297" w:name="_Hlk148465851"/>
            <w:r>
              <w:rPr>
                <w:rFonts w:hint="eastAsia"/>
              </w:rPr>
              <w:t>熟料生产线</w:t>
            </w:r>
            <m:oMath>
              <m:r>
                <w:rPr>
                  <w:rFonts w:ascii="Cambria Math" w:hAnsi="Cambria Math" w:hint="eastAsia"/>
                  <w:szCs w:val="21"/>
                </w:rPr>
                <m:t>j</m:t>
              </m:r>
            </m:oMath>
            <w:r>
              <w:rPr>
                <w:rFonts w:hint="eastAsia"/>
              </w:rPr>
              <w:t>的</w:t>
            </w:r>
            <w:r>
              <w:rPr>
                <w:rFonts w:hint="eastAsia"/>
                <w:iCs/>
                <w:szCs w:val="21"/>
              </w:rPr>
              <w:t>总</w:t>
            </w:r>
            <w:r>
              <w:rPr>
                <w:rFonts w:hint="eastAsia"/>
                <w:szCs w:val="21"/>
              </w:rPr>
              <w:t>消耗电量</w:t>
            </w:r>
            <w:bookmarkEnd w:id="297"/>
            <w:r>
              <w:rPr>
                <w:rFonts w:hint="eastAsia"/>
                <w:szCs w:val="21"/>
              </w:rPr>
              <w:t>，单位为兆瓦时（</w:t>
            </w:r>
            <w:r>
              <w:rPr>
                <w:rFonts w:hint="eastAsia"/>
                <w:szCs w:val="21"/>
              </w:rPr>
              <w:t>MW</w:t>
            </w:r>
            <w:r>
              <w:rPr>
                <w:szCs w:val="21"/>
              </w:rPr>
              <w:t>∙</w:t>
            </w:r>
            <w:r>
              <w:rPr>
                <w:rFonts w:hint="eastAsia"/>
                <w:szCs w:val="21"/>
              </w:rPr>
              <w:t>h</w:t>
            </w:r>
            <w:r>
              <w:rPr>
                <w:rFonts w:hint="eastAsia"/>
                <w:szCs w:val="21"/>
              </w:rPr>
              <w:t>）；</w:t>
            </w:r>
          </w:p>
        </w:tc>
      </w:tr>
      <w:tr w:rsidR="00506AE6">
        <w:trPr>
          <w:trHeight w:val="392"/>
          <w:jc w:val="right"/>
        </w:trPr>
        <w:tc>
          <w:tcPr>
            <w:tcW w:w="2037" w:type="dxa"/>
            <w:vAlign w:val="center"/>
          </w:tcPr>
          <w:p w:rsidR="00506AE6" w:rsidRDefault="0072598A">
            <w:pPr>
              <w:adjustRightInd w:val="0"/>
              <w:snapToGrid w:val="0"/>
              <w:spacing w:line="240" w:lineRule="auto"/>
              <w:ind w:firstLineChars="0" w:firstLine="0"/>
              <w:jc w:val="left"/>
              <w:rPr>
                <w:rFonts w:ascii="Cambria Math" w:hAnsi="Cambria Math" w:cs="宋体"/>
                <w:szCs w:val="21"/>
              </w:rPr>
            </w:pPr>
            <m:oMathPara>
              <m:oMathParaPr>
                <m:jc m:val="left"/>
              </m:oMathParaPr>
              <m:oMath>
                <m:r>
                  <w:rPr>
                    <w:rFonts w:ascii="Cambria Math" w:hAnsi="Cambria Math" w:cs="宋体"/>
                    <w:szCs w:val="21"/>
                  </w:rPr>
                  <m:t>A</m:t>
                </m:r>
                <m:sSub>
                  <m:sSubPr>
                    <m:ctrlPr>
                      <w:rPr>
                        <w:rFonts w:ascii="Cambria Math" w:hAnsi="Cambria Math" w:cs="宋体" w:hint="eastAsia"/>
                        <w:szCs w:val="21"/>
                      </w:rPr>
                    </m:ctrlPr>
                  </m:sSubPr>
                  <m:e>
                    <m:r>
                      <w:rPr>
                        <w:rFonts w:ascii="Cambria Math" w:hAnsi="Cambria Math" w:cs="宋体"/>
                        <w:szCs w:val="21"/>
                      </w:rPr>
                      <m:t>D</m:t>
                    </m:r>
                  </m:e>
                  <m:sub>
                    <m:r>
                      <w:rPr>
                        <w:rFonts w:ascii="Cambria Math" w:hAnsi="Cambria Math" w:cs="宋体" w:hint="eastAsia"/>
                        <w:szCs w:val="21"/>
                      </w:rPr>
                      <m:t>余热发电</m:t>
                    </m:r>
                    <m:r>
                      <w:rPr>
                        <w:rFonts w:ascii="Cambria Math" w:hAnsi="Cambria Math"/>
                        <w:szCs w:val="21"/>
                      </w:rPr>
                      <m:t>,</m:t>
                    </m:r>
                    <m:r>
                      <w:rPr>
                        <w:rFonts w:ascii="Cambria Math" w:hAnsi="Cambria Math" w:hint="eastAsia"/>
                        <w:szCs w:val="21"/>
                      </w:rPr>
                      <m:t>j</m:t>
                    </m:r>
                  </m:sub>
                </m:sSub>
              </m:oMath>
            </m:oMathPara>
          </w:p>
        </w:tc>
        <w:tc>
          <w:tcPr>
            <w:tcW w:w="339"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6282" w:type="dxa"/>
            <w:vAlign w:val="center"/>
          </w:tcPr>
          <w:p w:rsidR="00506AE6" w:rsidRDefault="0072598A">
            <w:pPr>
              <w:adjustRightInd w:val="0"/>
              <w:snapToGrid w:val="0"/>
              <w:spacing w:line="240" w:lineRule="auto"/>
              <w:ind w:firstLineChars="0" w:firstLine="0"/>
              <w:jc w:val="left"/>
            </w:pPr>
            <w:r>
              <w:rPr>
                <w:rFonts w:hint="eastAsia"/>
              </w:rPr>
              <w:t>熟料生产线</w:t>
            </w:r>
            <m:oMath>
              <m:r>
                <w:rPr>
                  <w:rFonts w:ascii="Cambria Math" w:hAnsi="Cambria Math" w:hint="eastAsia"/>
                  <w:szCs w:val="21"/>
                </w:rPr>
                <m:t>j</m:t>
              </m:r>
            </m:oMath>
            <w:r>
              <w:rPr>
                <w:rFonts w:hint="eastAsia"/>
                <w:szCs w:val="21"/>
              </w:rPr>
              <w:t>分摊</w:t>
            </w:r>
            <w:r>
              <w:rPr>
                <w:rFonts w:hint="eastAsia"/>
              </w:rPr>
              <w:t>的</w:t>
            </w:r>
            <w:r>
              <w:rPr>
                <w:rFonts w:hint="eastAsia"/>
                <w:iCs/>
                <w:szCs w:val="21"/>
              </w:rPr>
              <w:t>余热电站发电量，</w:t>
            </w:r>
            <w:r>
              <w:rPr>
                <w:rFonts w:hint="eastAsia"/>
                <w:szCs w:val="21"/>
              </w:rPr>
              <w:t>单位为兆瓦时（</w:t>
            </w:r>
            <w:r>
              <w:rPr>
                <w:rFonts w:hint="eastAsia"/>
                <w:szCs w:val="21"/>
              </w:rPr>
              <w:t>MW</w:t>
            </w:r>
            <w:r>
              <w:rPr>
                <w:szCs w:val="21"/>
              </w:rPr>
              <w:t>∙</w:t>
            </w:r>
            <w:r>
              <w:rPr>
                <w:rFonts w:hint="eastAsia"/>
                <w:szCs w:val="21"/>
              </w:rPr>
              <w:t>h</w:t>
            </w:r>
            <w:r>
              <w:rPr>
                <w:rFonts w:hint="eastAsia"/>
                <w:szCs w:val="21"/>
              </w:rPr>
              <w:t>）；</w:t>
            </w:r>
          </w:p>
        </w:tc>
      </w:tr>
      <w:tr w:rsidR="00506AE6">
        <w:trPr>
          <w:trHeight w:val="676"/>
          <w:jc w:val="right"/>
        </w:trPr>
        <w:tc>
          <w:tcPr>
            <w:tcW w:w="2037" w:type="dxa"/>
          </w:tcPr>
          <w:p w:rsidR="00506AE6" w:rsidRDefault="0072598A">
            <w:pPr>
              <w:adjustRightInd w:val="0"/>
              <w:snapToGrid w:val="0"/>
              <w:spacing w:line="240" w:lineRule="auto"/>
              <w:ind w:firstLineChars="0" w:firstLine="0"/>
              <w:jc w:val="left"/>
              <w:rPr>
                <w:i/>
                <w:iCs/>
                <w:szCs w:val="21"/>
                <w:vertAlign w:val="subscript"/>
              </w:rPr>
            </w:pPr>
            <m:oMathPara>
              <m:oMathParaPr>
                <m:jc m:val="left"/>
              </m:oMathParaPr>
              <m:oMath>
                <m:r>
                  <w:rPr>
                    <w:rFonts w:ascii="Cambria Math" w:hAnsi="Cambria Math" w:cs="宋体"/>
                    <w:szCs w:val="21"/>
                  </w:rPr>
                  <m:t>A</m:t>
                </m:r>
                <m:sSub>
                  <m:sSubPr>
                    <m:ctrlPr>
                      <w:rPr>
                        <w:rFonts w:ascii="Cambria Math" w:hAnsi="Cambria Math" w:cs="宋体" w:hint="eastAsia"/>
                        <w:szCs w:val="21"/>
                      </w:rPr>
                    </m:ctrlPr>
                  </m:sSubPr>
                  <m:e>
                    <m:r>
                      <w:rPr>
                        <w:rFonts w:ascii="Cambria Math" w:hAnsi="Cambria Math" w:cs="宋体"/>
                        <w:szCs w:val="21"/>
                      </w:rPr>
                      <m:t>D</m:t>
                    </m:r>
                  </m:e>
                  <m:sub>
                    <m:r>
                      <w:rPr>
                        <w:rFonts w:ascii="Cambria Math" w:hAnsi="Cambria Math" w:cs="宋体" w:hint="eastAsia"/>
                        <w:szCs w:val="21"/>
                      </w:rPr>
                      <m:t>购入电网非化石电</m:t>
                    </m:r>
                    <m:r>
                      <w:rPr>
                        <w:rFonts w:ascii="Cambria Math" w:hAnsi="Cambria Math"/>
                        <w:szCs w:val="21"/>
                      </w:rPr>
                      <m:t>,</m:t>
                    </m:r>
                    <m:r>
                      <w:rPr>
                        <w:rFonts w:ascii="Cambria Math" w:hAnsi="Cambria Math" w:hint="eastAsia"/>
                        <w:szCs w:val="21"/>
                      </w:rPr>
                      <m:t>j</m:t>
                    </m:r>
                  </m:sub>
                </m:sSub>
              </m:oMath>
            </m:oMathPara>
          </w:p>
        </w:tc>
        <w:tc>
          <w:tcPr>
            <w:tcW w:w="339" w:type="dxa"/>
          </w:tcPr>
          <w:p w:rsidR="00506AE6" w:rsidRDefault="0072598A">
            <w:pPr>
              <w:adjustRightInd w:val="0"/>
              <w:snapToGrid w:val="0"/>
              <w:spacing w:line="240" w:lineRule="auto"/>
              <w:ind w:firstLineChars="0" w:firstLine="0"/>
              <w:jc w:val="left"/>
              <w:rPr>
                <w:szCs w:val="21"/>
              </w:rPr>
            </w:pPr>
            <w:r>
              <w:rPr>
                <w:szCs w:val="21"/>
              </w:rPr>
              <w:t>—</w:t>
            </w:r>
          </w:p>
        </w:tc>
        <w:tc>
          <w:tcPr>
            <w:tcW w:w="6282" w:type="dxa"/>
          </w:tcPr>
          <w:p w:rsidR="00506AE6" w:rsidRDefault="0072598A">
            <w:pPr>
              <w:adjustRightInd w:val="0"/>
              <w:snapToGrid w:val="0"/>
              <w:spacing w:line="240" w:lineRule="auto"/>
              <w:ind w:firstLineChars="0" w:firstLine="0"/>
              <w:jc w:val="left"/>
              <w:rPr>
                <w:szCs w:val="21"/>
              </w:rPr>
            </w:pPr>
            <w:r>
              <w:rPr>
                <w:rFonts w:hint="eastAsia"/>
              </w:rPr>
              <w:t>熟料生产线</w:t>
            </w:r>
            <m:oMath>
              <m:r>
                <w:rPr>
                  <w:rFonts w:ascii="Cambria Math" w:hAnsi="Cambria Math" w:hint="eastAsia"/>
                  <w:szCs w:val="21"/>
                </w:rPr>
                <m:t>j</m:t>
              </m:r>
            </m:oMath>
            <w:r>
              <w:rPr>
                <w:rFonts w:hint="eastAsia"/>
                <w:szCs w:val="21"/>
              </w:rPr>
              <w:t>分摊的通过市场化交易购入使用</w:t>
            </w:r>
            <w:r>
              <w:rPr>
                <w:rFonts w:hint="eastAsia"/>
              </w:rPr>
              <w:t>的非化石能源电力消费量</w:t>
            </w:r>
            <w:r>
              <w:rPr>
                <w:rFonts w:hint="eastAsia"/>
                <w:szCs w:val="21"/>
              </w:rPr>
              <w:t>，单位为兆瓦时（</w:t>
            </w:r>
            <w:r>
              <w:rPr>
                <w:szCs w:val="21"/>
              </w:rPr>
              <w:t>MW∙h</w:t>
            </w:r>
            <w:r>
              <w:rPr>
                <w:rFonts w:hint="eastAsia"/>
                <w:szCs w:val="21"/>
              </w:rPr>
              <w:t>）；</w:t>
            </w:r>
          </w:p>
        </w:tc>
      </w:tr>
      <w:tr w:rsidR="00506AE6">
        <w:trPr>
          <w:trHeight w:val="676"/>
          <w:jc w:val="right"/>
        </w:trPr>
        <w:tc>
          <w:tcPr>
            <w:tcW w:w="2037" w:type="dxa"/>
          </w:tcPr>
          <w:p w:rsidR="00506AE6" w:rsidRDefault="0072598A">
            <w:pPr>
              <w:adjustRightInd w:val="0"/>
              <w:snapToGrid w:val="0"/>
              <w:spacing w:line="240" w:lineRule="auto"/>
              <w:ind w:firstLineChars="0" w:firstLine="0"/>
              <w:jc w:val="left"/>
              <w:rPr>
                <w:i/>
                <w:iCs/>
                <w:szCs w:val="21"/>
                <w:vertAlign w:val="subscript"/>
              </w:rPr>
            </w:pPr>
            <m:oMathPara>
              <m:oMathParaPr>
                <m:jc m:val="left"/>
              </m:oMathParaPr>
              <m:oMath>
                <m:r>
                  <w:rPr>
                    <w:rFonts w:ascii="Cambria Math" w:hAnsi="Cambria Math" w:cs="宋体"/>
                    <w:szCs w:val="21"/>
                  </w:rPr>
                  <m:t>A</m:t>
                </m:r>
                <m:sSub>
                  <m:sSubPr>
                    <m:ctrlPr>
                      <w:rPr>
                        <w:rFonts w:ascii="Cambria Math" w:hAnsi="Cambria Math" w:cs="宋体" w:hint="eastAsia"/>
                        <w:szCs w:val="21"/>
                      </w:rPr>
                    </m:ctrlPr>
                  </m:sSubPr>
                  <m:e>
                    <m:r>
                      <w:rPr>
                        <w:rFonts w:ascii="Cambria Math" w:hAnsi="Cambria Math" w:cs="宋体"/>
                        <w:szCs w:val="21"/>
                      </w:rPr>
                      <m:t>D</m:t>
                    </m:r>
                  </m:e>
                  <m:sub>
                    <m:r>
                      <w:rPr>
                        <w:rFonts w:ascii="Cambria Math" w:hAnsi="Cambria Math" w:cs="宋体" w:hint="eastAsia"/>
                        <w:szCs w:val="21"/>
                      </w:rPr>
                      <m:t>自发自用非化石电</m:t>
                    </m:r>
                    <m:r>
                      <w:rPr>
                        <w:rFonts w:ascii="Cambria Math" w:hAnsi="Cambria Math"/>
                        <w:szCs w:val="21"/>
                      </w:rPr>
                      <m:t>,</m:t>
                    </m:r>
                    <m:r>
                      <w:rPr>
                        <w:rFonts w:ascii="Cambria Math" w:hAnsi="Cambria Math" w:hint="eastAsia"/>
                        <w:szCs w:val="21"/>
                      </w:rPr>
                      <m:t>j</m:t>
                    </m:r>
                  </m:sub>
                </m:sSub>
              </m:oMath>
            </m:oMathPara>
          </w:p>
        </w:tc>
        <w:tc>
          <w:tcPr>
            <w:tcW w:w="339" w:type="dxa"/>
          </w:tcPr>
          <w:p w:rsidR="00506AE6" w:rsidRDefault="0072598A">
            <w:pPr>
              <w:adjustRightInd w:val="0"/>
              <w:snapToGrid w:val="0"/>
              <w:spacing w:line="240" w:lineRule="auto"/>
              <w:ind w:firstLineChars="0" w:firstLine="0"/>
              <w:jc w:val="left"/>
              <w:rPr>
                <w:szCs w:val="21"/>
              </w:rPr>
            </w:pPr>
            <w:r>
              <w:rPr>
                <w:szCs w:val="21"/>
              </w:rPr>
              <w:t>—</w:t>
            </w:r>
          </w:p>
        </w:tc>
        <w:tc>
          <w:tcPr>
            <w:tcW w:w="6282" w:type="dxa"/>
          </w:tcPr>
          <w:p w:rsidR="00506AE6" w:rsidRDefault="0072598A">
            <w:pPr>
              <w:adjustRightInd w:val="0"/>
              <w:snapToGrid w:val="0"/>
              <w:spacing w:line="240" w:lineRule="auto"/>
              <w:ind w:firstLineChars="0" w:firstLine="0"/>
              <w:jc w:val="left"/>
              <w:rPr>
                <w:szCs w:val="21"/>
              </w:rPr>
            </w:pPr>
            <w:r>
              <w:rPr>
                <w:rFonts w:hint="eastAsia"/>
              </w:rPr>
              <w:t>熟料生产线</w:t>
            </w:r>
            <m:oMath>
              <m:r>
                <w:rPr>
                  <w:rFonts w:ascii="Cambria Math" w:hAnsi="Cambria Math" w:hint="eastAsia"/>
                  <w:szCs w:val="21"/>
                </w:rPr>
                <m:t>j</m:t>
              </m:r>
            </m:oMath>
            <w:bookmarkStart w:id="298" w:name="_Hlk148465884"/>
            <w:r>
              <w:rPr>
                <w:rFonts w:hint="eastAsia"/>
                <w:szCs w:val="21"/>
              </w:rPr>
              <w:t>分摊的企业自发自用非化石能源电量</w:t>
            </w:r>
            <w:bookmarkEnd w:id="298"/>
            <w:r>
              <w:rPr>
                <w:rFonts w:hint="eastAsia"/>
                <w:szCs w:val="21"/>
              </w:rPr>
              <w:t>，单位为兆瓦时（</w:t>
            </w:r>
            <w:r>
              <w:rPr>
                <w:rFonts w:hint="eastAsia"/>
                <w:szCs w:val="21"/>
              </w:rPr>
              <w:t>MW</w:t>
            </w:r>
            <w:r>
              <w:rPr>
                <w:szCs w:val="21"/>
              </w:rPr>
              <w:t>∙</w:t>
            </w:r>
            <w:r>
              <w:rPr>
                <w:rFonts w:hint="eastAsia"/>
                <w:szCs w:val="21"/>
              </w:rPr>
              <w:t>h</w:t>
            </w:r>
            <w:r>
              <w:rPr>
                <w:rFonts w:hint="eastAsia"/>
                <w:szCs w:val="21"/>
              </w:rPr>
              <w:t>）。</w:t>
            </w:r>
          </w:p>
        </w:tc>
      </w:tr>
    </w:tbl>
    <w:p w:rsidR="00506AE6" w:rsidRDefault="0072598A">
      <w:pPr>
        <w:pStyle w:val="a4"/>
        <w:numPr>
          <w:ilvl w:val="2"/>
          <w:numId w:val="1"/>
        </w:numPr>
        <w:spacing w:before="156" w:after="156" w:line="360" w:lineRule="exact"/>
        <w:rPr>
          <w:rFonts w:ascii="Times New Roman"/>
        </w:rPr>
      </w:pPr>
      <w:r>
        <w:tab/>
      </w:r>
      <w:bookmarkStart w:id="299" w:name="_Toc140003043"/>
      <w:bookmarkStart w:id="300" w:name="_Toc140045484"/>
      <w:r>
        <w:rPr>
          <w:rFonts w:ascii="Times New Roman" w:hint="eastAsia"/>
        </w:rPr>
        <w:t>数据的监测与获取</w:t>
      </w:r>
      <w:bookmarkEnd w:id="299"/>
      <w:bookmarkEnd w:id="300"/>
    </w:p>
    <w:p w:rsidR="00506AE6" w:rsidRDefault="0072598A">
      <w:pPr>
        <w:pStyle w:val="a5"/>
        <w:numPr>
          <w:ilvl w:val="3"/>
          <w:numId w:val="1"/>
        </w:numPr>
      </w:pPr>
      <w:r>
        <w:rPr>
          <w:rFonts w:hint="eastAsia"/>
        </w:rPr>
        <w:t>熟料生产线总消耗电量根据电表</w:t>
      </w:r>
      <w:bookmarkStart w:id="301" w:name="_Hlk148466072"/>
      <w:r>
        <w:rPr>
          <w:rFonts w:hint="eastAsia"/>
        </w:rPr>
        <w:t>记录的读数统计，并且</w:t>
      </w:r>
      <w:r>
        <w:t>电量统计应符合</w:t>
      </w:r>
      <w:r>
        <w:t>GB/T 27977</w:t>
      </w:r>
      <w:r>
        <w:t>相关规定</w:t>
      </w:r>
      <w:r>
        <w:rPr>
          <w:rFonts w:hint="eastAsia"/>
        </w:rPr>
        <w:t>。存在</w:t>
      </w:r>
      <w:r>
        <w:t>熟料生产</w:t>
      </w:r>
      <w:r>
        <w:rPr>
          <w:rFonts w:hint="eastAsia"/>
        </w:rPr>
        <w:t>与水泥粉磨、骨料加工等共用辅助生产系统的，</w:t>
      </w:r>
      <w:r>
        <w:t>可</w:t>
      </w:r>
      <w:r>
        <w:rPr>
          <w:rFonts w:hint="eastAsia"/>
        </w:rPr>
        <w:t>根据主要生产系统耗电量按比例分摊</w:t>
      </w:r>
      <w:bookmarkEnd w:id="301"/>
      <w:r>
        <w:rPr>
          <w:rFonts w:hint="eastAsia"/>
        </w:rPr>
        <w:t>。存在多条熟料生产线共用主要生产系统或辅助生产系统的，可根据各生产线的熟料产量分摊。</w:t>
      </w:r>
    </w:p>
    <w:p w:rsidR="00506AE6" w:rsidRDefault="0072598A">
      <w:pPr>
        <w:pStyle w:val="a5"/>
        <w:numPr>
          <w:ilvl w:val="3"/>
          <w:numId w:val="1"/>
        </w:numPr>
      </w:pPr>
      <w:r>
        <w:rPr>
          <w:rFonts w:hint="eastAsia"/>
        </w:rPr>
        <w:t>余热电站发电量依据电表读数统计且全部纳入熟料生产核算边界，存在多条熟料生产线共用的，可根据各生产线的熟料产量分摊。存在合同能源管理的余热</w:t>
      </w:r>
      <w:r>
        <w:rPr>
          <w:rFonts w:hint="eastAsia"/>
        </w:rPr>
        <w:t>电站</w:t>
      </w:r>
      <w:r>
        <w:rPr>
          <w:rFonts w:hint="eastAsia"/>
        </w:rPr>
        <w:t>发电量全部纳入熟料生产核算边界。</w:t>
      </w:r>
    </w:p>
    <w:p w:rsidR="00506AE6" w:rsidRDefault="0072598A">
      <w:pPr>
        <w:pStyle w:val="a5"/>
        <w:numPr>
          <w:ilvl w:val="3"/>
          <w:numId w:val="1"/>
        </w:numPr>
      </w:pPr>
      <w:bookmarkStart w:id="302" w:name="_Hlk142653772"/>
      <w:r>
        <w:rPr>
          <w:rFonts w:hint="eastAsia"/>
        </w:rPr>
        <w:t>通过市场化交易购入使用的非化石能源电力消费量，是指以交易方式购买并实际执行、结算的电量，应提供发电与用电双方签订的市场化交易合同（对于无法提供合同的，应同时提供交易承诺书、交易公告和交易结果），以及按合同执行的绿色电力证书交易凭证和由省级及以上电力交易机构出具的交易结算凭证。交易结算凭证应载明在核算与报告周期内的月度结算电量及其项目类型</w:t>
      </w:r>
      <w:r>
        <w:rPr>
          <w:rFonts w:hint="eastAsia"/>
        </w:rPr>
        <w:t>、发电企业名称、用电企业名称等。绿色电力证书交易凭证载明的内容应包括项目名称、项目代码、项目类型、项目所在地、电量生产日期等。存量常规水电</w:t>
      </w:r>
      <w:r>
        <w:rPr>
          <w:rFonts w:hint="eastAsia"/>
          <w:vertAlign w:val="superscript"/>
        </w:rPr>
        <w:t>[</w:t>
      </w:r>
      <w:r>
        <w:rPr>
          <w:rStyle w:val="afff8"/>
          <w:rFonts w:hint="eastAsia"/>
        </w:rPr>
        <w:footnoteReference w:id="1"/>
      </w:r>
      <w:r>
        <w:rPr>
          <w:rFonts w:hint="eastAsia"/>
          <w:vertAlign w:val="superscript"/>
        </w:rPr>
        <w:t>]</w:t>
      </w:r>
      <w:r>
        <w:rPr>
          <w:rFonts w:hint="eastAsia"/>
        </w:rPr>
        <w:t>和核电可不提供绿色电力证书交易凭证。熟料生产分摊的通过市场化交易购入使用的非化石能源电力消费量可根据熟料生产总消耗电量占全厂总耗电量的比例分摊。存在多条熟料生产线共用的，可根据各生产线的熟料产量分摊。</w:t>
      </w:r>
    </w:p>
    <w:p w:rsidR="00506AE6" w:rsidRDefault="0072598A">
      <w:pPr>
        <w:pStyle w:val="a5"/>
        <w:numPr>
          <w:ilvl w:val="3"/>
          <w:numId w:val="1"/>
        </w:numPr>
      </w:pPr>
      <w:bookmarkStart w:id="303" w:name="_Hlk148466168"/>
      <w:r>
        <w:rPr>
          <w:rFonts w:hint="eastAsia"/>
        </w:rPr>
        <w:t>熟料生产分摊的企业自发自用非化石能源电量可根据熟料生产总消耗电量占全厂总耗电量的比例分摊。</w:t>
      </w:r>
      <w:bookmarkEnd w:id="303"/>
      <w:r>
        <w:rPr>
          <w:rFonts w:hint="eastAsia"/>
        </w:rPr>
        <w:t>存在多条熟料生产线共用的，可根据各生产线的熟料产量分摊。</w:t>
      </w:r>
    </w:p>
    <w:p w:rsidR="00506AE6" w:rsidRDefault="0072598A">
      <w:pPr>
        <w:pStyle w:val="a5"/>
        <w:numPr>
          <w:ilvl w:val="3"/>
          <w:numId w:val="1"/>
        </w:numPr>
      </w:pPr>
      <w:r>
        <w:rPr>
          <w:rFonts w:hint="eastAsia"/>
        </w:rPr>
        <w:t>企业应使用依法经计</w:t>
      </w:r>
      <w:r>
        <w:rPr>
          <w:rFonts w:hint="eastAsia"/>
        </w:rPr>
        <w:t>量检定合格或者校准的计量器具，电表的配备和管理应符合</w:t>
      </w:r>
      <w:r>
        <w:t>GB 17167</w:t>
      </w:r>
      <w:r>
        <w:rPr>
          <w:rFonts w:hint="eastAsia"/>
        </w:rPr>
        <w:t>、</w:t>
      </w:r>
      <w:r>
        <w:t>GB/T 35461</w:t>
      </w:r>
      <w:r>
        <w:rPr>
          <w:rFonts w:hint="eastAsia"/>
        </w:rPr>
        <w:t>等标准的要求，并确保在有效的检定</w:t>
      </w:r>
      <w:r>
        <w:rPr>
          <w:rFonts w:hint="eastAsia"/>
        </w:rPr>
        <w:t>/</w:t>
      </w:r>
      <w:r>
        <w:rPr>
          <w:rFonts w:hint="eastAsia"/>
        </w:rPr>
        <w:t>校准周期内。</w:t>
      </w:r>
    </w:p>
    <w:bookmarkEnd w:id="302"/>
    <w:p w:rsidR="00506AE6" w:rsidRDefault="0072598A">
      <w:pPr>
        <w:pStyle w:val="a5"/>
        <w:numPr>
          <w:ilvl w:val="3"/>
          <w:numId w:val="1"/>
        </w:numPr>
      </w:pPr>
      <w:r>
        <w:rPr>
          <w:rFonts w:hint="eastAsia"/>
        </w:rPr>
        <w:t>电力排放因子采用</w:t>
      </w:r>
      <w:r>
        <w:rPr>
          <w:rFonts w:hint="eastAsia"/>
        </w:rPr>
        <w:t>0.5942 tCO</w:t>
      </w:r>
      <w:r>
        <w:rPr>
          <w:vertAlign w:val="subscript"/>
        </w:rPr>
        <w:t>2</w:t>
      </w:r>
      <w:r>
        <w:rPr>
          <w:rFonts w:hint="eastAsia"/>
        </w:rPr>
        <w:t>/MW</w:t>
      </w:r>
      <w:r>
        <w:rPr>
          <w:rFonts w:hint="eastAsia"/>
        </w:rPr>
        <w:t>∙</w:t>
      </w:r>
      <w:r>
        <w:rPr>
          <w:rFonts w:hint="eastAsia"/>
        </w:rPr>
        <w:t>h</w:t>
      </w:r>
      <w:r>
        <w:rPr>
          <w:rStyle w:val="afff8"/>
          <w:rFonts w:hint="eastAsia"/>
        </w:rPr>
        <w:t>[</w:t>
      </w:r>
      <w:r>
        <w:rPr>
          <w:rStyle w:val="afff8"/>
          <w:rFonts w:hint="eastAsia"/>
        </w:rPr>
        <w:footnoteReference w:id="2"/>
      </w:r>
      <w:r>
        <w:rPr>
          <w:rStyle w:val="afff8"/>
          <w:rFonts w:hint="eastAsia"/>
        </w:rPr>
        <w:t>]</w:t>
      </w:r>
      <w:r>
        <w:rPr>
          <w:rFonts w:hint="eastAsia"/>
        </w:rPr>
        <w:t>，生态环境部有更新的，采用其最新发布的数值。</w:t>
      </w:r>
    </w:p>
    <w:p w:rsidR="00506AE6" w:rsidRDefault="0072598A">
      <w:pPr>
        <w:pStyle w:val="a4"/>
        <w:spacing w:beforeLines="100" w:before="312" w:after="156" w:line="360" w:lineRule="exact"/>
        <w:ind w:left="0"/>
        <w:outlineLvl w:val="1"/>
      </w:pPr>
      <w:bookmarkStart w:id="304" w:name="_Toc144282474"/>
      <w:bookmarkStart w:id="305" w:name="_Toc140045485"/>
      <w:bookmarkStart w:id="306" w:name="_Toc140003044"/>
      <w:r>
        <w:rPr>
          <w:rFonts w:hint="eastAsia"/>
        </w:rPr>
        <w:lastRenderedPageBreak/>
        <w:t>熟料生产排放量计算</w:t>
      </w:r>
      <w:bookmarkEnd w:id="304"/>
      <w:bookmarkEnd w:id="305"/>
      <w:bookmarkEnd w:id="306"/>
    </w:p>
    <w:p w:rsidR="00506AE6" w:rsidRDefault="0072598A">
      <w:pPr>
        <w:pStyle w:val="affa"/>
        <w:tabs>
          <w:tab w:val="clear" w:pos="-420"/>
          <w:tab w:val="clear" w:pos="0"/>
        </w:tabs>
        <w:spacing w:line="360" w:lineRule="exact"/>
      </w:pPr>
      <w:r>
        <w:rPr>
          <w:rFonts w:hint="eastAsia"/>
        </w:rPr>
        <w:t>熟料生产线</w:t>
      </w:r>
      <m:oMath>
        <m:r>
          <w:rPr>
            <w:rFonts w:ascii="Cambria Math" w:hAnsi="Cambria Math" w:hint="eastAsia"/>
            <w:szCs w:val="21"/>
          </w:rPr>
          <m:t>j</m:t>
        </m:r>
      </m:oMath>
      <w:r>
        <w:rPr>
          <w:szCs w:val="21"/>
        </w:rPr>
        <w:t>的</w:t>
      </w:r>
      <w:r>
        <w:rPr>
          <w:rFonts w:hint="eastAsia"/>
        </w:rPr>
        <w:t>二氧化碳排放量等于该生产线化石燃料燃烧排放量、过程排放量和消耗电力产生的排放量之和</w:t>
      </w:r>
      <w:r>
        <w:t>，</w:t>
      </w:r>
      <w:r>
        <w:rPr>
          <w:rFonts w:hint="eastAsia"/>
        </w:rPr>
        <w:t>按</w:t>
      </w:r>
      <w:r>
        <w:t>公式（</w:t>
      </w:r>
      <w:r>
        <w:rPr>
          <w:rFonts w:hint="eastAsia"/>
        </w:rPr>
        <w:t>6</w:t>
      </w:r>
      <w:r>
        <w:t>）计算。</w:t>
      </w:r>
    </w:p>
    <w:p w:rsidR="00506AE6" w:rsidRDefault="0072598A">
      <w:pPr>
        <w:pStyle w:val="MTDisplayEquation"/>
      </w:pPr>
      <w:r>
        <w:tab/>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r>
              <m:rPr>
                <m:sty m:val="p"/>
              </m:rPr>
              <w:rPr>
                <w:rFonts w:ascii="Cambria Math" w:hAnsi="Cambria Math"/>
              </w:rPr>
              <m:t>燃烧</m:t>
            </m:r>
            <m:r>
              <m:rPr>
                <m:sty m:val="p"/>
              </m:rPr>
              <w:rPr>
                <w:rFonts w:ascii="Cambria Math" w:hAnsi="Cambria Math"/>
              </w:rPr>
              <m:t>,j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r>
              <m:rPr>
                <m:sty m:val="p"/>
              </m:rPr>
              <w:rPr>
                <w:rFonts w:ascii="Cambria Math" w:hAnsi="Cambria Math"/>
              </w:rPr>
              <m:t>过程</m:t>
            </m:r>
            <m:r>
              <m:rPr>
                <m:sty m:val="p"/>
              </m:rPr>
              <w:rPr>
                <w:rFonts w:ascii="Cambria Math" w:hAnsi="Cambria Math"/>
              </w:rPr>
              <m:t>,j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r>
              <m:rPr>
                <m:sty m:val="p"/>
              </m:rPr>
              <w:rPr>
                <w:rFonts w:ascii="Cambria Math" w:hAnsi="Cambria Math"/>
              </w:rPr>
              <m:t>电</m:t>
            </m:r>
            <m:r>
              <m:rPr>
                <m:sty m:val="p"/>
              </m:rPr>
              <w:rPr>
                <w:rFonts w:ascii="Cambria Math" w:hAnsi="Cambria Math"/>
              </w:rPr>
              <m:t>,j</m:t>
            </m:r>
          </m:sub>
        </m:sSub>
      </m:oMath>
      <w:r>
        <w:tab/>
      </w:r>
      <w:r>
        <w:rPr>
          <w:rFonts w:hint="eastAsia"/>
        </w:rPr>
        <w:t>（</w:t>
      </w:r>
      <w:r>
        <w:rPr>
          <w:rFonts w:hint="eastAsia"/>
        </w:rPr>
        <w:t>6</w:t>
      </w:r>
      <w:r>
        <w:rPr>
          <w:rFonts w:hint="eastAsia"/>
        </w:rPr>
        <w:t>）</w:t>
      </w:r>
    </w:p>
    <w:p w:rsidR="00506AE6" w:rsidRDefault="0072598A">
      <w:pPr>
        <w:pStyle w:val="affa"/>
        <w:tabs>
          <w:tab w:val="clear" w:pos="-420"/>
          <w:tab w:val="clear" w:pos="0"/>
        </w:tabs>
        <w:spacing w:line="360" w:lineRule="exact"/>
        <w:ind w:right="-210"/>
        <w:rPr>
          <w:szCs w:val="21"/>
        </w:rPr>
      </w:pPr>
      <w:r>
        <w:rPr>
          <w:szCs w:val="21"/>
        </w:rPr>
        <w:t>式中</w:t>
      </w:r>
      <w:r>
        <w:rPr>
          <w:rFonts w:hint="eastAsia"/>
          <w:szCs w:val="21"/>
        </w:rPr>
        <w:t>：</w:t>
      </w:r>
    </w:p>
    <w:tbl>
      <w:tblPr>
        <w:tblW w:w="8499" w:type="dxa"/>
        <w:jc w:val="right"/>
        <w:tblLayout w:type="fixed"/>
        <w:tblLook w:val="04A0" w:firstRow="1" w:lastRow="0" w:firstColumn="1" w:lastColumn="0" w:noHBand="0" w:noVBand="1"/>
      </w:tblPr>
      <w:tblGrid>
        <w:gridCol w:w="676"/>
        <w:gridCol w:w="340"/>
        <w:gridCol w:w="7483"/>
      </w:tblGrid>
      <w:tr w:rsidR="00506AE6">
        <w:trPr>
          <w:trHeight w:val="20"/>
          <w:jc w:val="right"/>
        </w:trPr>
        <w:tc>
          <w:tcPr>
            <w:tcW w:w="676" w:type="dxa"/>
          </w:tcPr>
          <w:p w:rsidR="00506AE6" w:rsidRDefault="0072598A">
            <w:pPr>
              <w:adjustRightInd w:val="0"/>
              <w:snapToGrid w:val="0"/>
              <w:spacing w:line="240" w:lineRule="auto"/>
              <w:ind w:firstLineChars="0" w:firstLine="0"/>
              <w:jc w:val="left"/>
              <w:rPr>
                <w:i/>
              </w:rPr>
            </w:pPr>
            <m:oMathPara>
              <m:oMathParaPr>
                <m:jc m:val="left"/>
              </m:oMathParaPr>
              <m:oMath>
                <m:sSub>
                  <m:sSubPr>
                    <m:ctrlPr>
                      <w:rPr>
                        <w:rFonts w:ascii="Cambria Math" w:hAnsi="Cambria Math" w:cs="宋体" w:hint="eastAsia"/>
                        <w:i/>
                        <w:szCs w:val="21"/>
                      </w:rPr>
                    </m:ctrlPr>
                  </m:sSubPr>
                  <m:e>
                    <m:r>
                      <w:rPr>
                        <w:rFonts w:ascii="Cambria Math" w:hAnsi="Cambria Math" w:cs="宋体"/>
                        <w:szCs w:val="21"/>
                      </w:rPr>
                      <m:t>E</m:t>
                    </m:r>
                  </m:e>
                  <m:sub>
                    <m:r>
                      <w:rPr>
                        <w:rFonts w:ascii="Cambria Math" w:hAnsi="Cambria Math"/>
                      </w:rPr>
                      <m:t>ck</m:t>
                    </m:r>
                    <m:r>
                      <w:rPr>
                        <w:rFonts w:ascii="Cambria Math" w:hAnsi="Cambria Math"/>
                        <w:szCs w:val="21"/>
                      </w:rPr>
                      <m:t>,</m:t>
                    </m:r>
                    <m:r>
                      <w:rPr>
                        <w:rFonts w:ascii="Cambria Math" w:hAnsi="Cambria Math" w:hint="eastAsia"/>
                        <w:szCs w:val="21"/>
                      </w:rPr>
                      <m:t>j</m:t>
                    </m:r>
                  </m:sub>
                </m:sSub>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483" w:type="dxa"/>
          </w:tcPr>
          <w:p w:rsidR="00506AE6" w:rsidRDefault="0072598A">
            <w:pPr>
              <w:adjustRightInd w:val="0"/>
              <w:snapToGrid w:val="0"/>
              <w:spacing w:line="240" w:lineRule="auto"/>
              <w:ind w:firstLineChars="0" w:firstLine="0"/>
              <w:rPr>
                <w:position w:val="-12"/>
              </w:rPr>
            </w:pPr>
            <w:r>
              <w:rPr>
                <w:rFonts w:hint="eastAsia"/>
              </w:rPr>
              <w:t>熟料生产线</w:t>
            </w:r>
            <m:oMath>
              <m:r>
                <w:rPr>
                  <w:rFonts w:ascii="Cambria Math" w:hAnsi="Cambria Math" w:hint="eastAsia"/>
                  <w:szCs w:val="21"/>
                </w:rPr>
                <m:t>j</m:t>
              </m:r>
            </m:oMath>
            <w:r>
              <w:rPr>
                <w:szCs w:val="21"/>
              </w:rPr>
              <w:t>的</w:t>
            </w:r>
            <w:r>
              <w:rPr>
                <w:rFonts w:hint="eastAsia"/>
              </w:rPr>
              <w:t>二氧化碳排放量</w:t>
            </w:r>
            <w:r>
              <w:rPr>
                <w:szCs w:val="21"/>
              </w:rPr>
              <w:t>，单位为吨二氧化碳（</w:t>
            </w:r>
            <w:r>
              <w:rPr>
                <w:szCs w:val="21"/>
              </w:rPr>
              <w:t>tCO</w:t>
            </w:r>
            <w:r>
              <w:rPr>
                <w:szCs w:val="21"/>
                <w:vertAlign w:val="subscript"/>
              </w:rPr>
              <w:t>2</w:t>
            </w:r>
            <w:r>
              <w:rPr>
                <w:szCs w:val="21"/>
              </w:rPr>
              <w:t>）</w:t>
            </w:r>
            <w:r>
              <w:rPr>
                <w:rFonts w:hint="eastAsia"/>
                <w:szCs w:val="21"/>
              </w:rPr>
              <w:t>。</w:t>
            </w:r>
          </w:p>
        </w:tc>
      </w:tr>
    </w:tbl>
    <w:p w:rsidR="00506AE6" w:rsidRDefault="0072598A">
      <w:pPr>
        <w:pStyle w:val="affa"/>
        <w:tabs>
          <w:tab w:val="clear" w:pos="-420"/>
          <w:tab w:val="clear" w:pos="0"/>
        </w:tabs>
      </w:pPr>
      <w:bookmarkStart w:id="307" w:name="_Toc146201695"/>
      <w:bookmarkEnd w:id="272"/>
      <w:bookmarkEnd w:id="273"/>
      <w:bookmarkEnd w:id="274"/>
      <w:bookmarkEnd w:id="275"/>
      <w:bookmarkEnd w:id="276"/>
      <w:bookmarkEnd w:id="277"/>
      <w:r>
        <w:rPr>
          <w:rFonts w:hint="eastAsia"/>
        </w:rPr>
        <w:t>熟料生产二氧化碳排放总量等于各熟料生产线排放量之和</w:t>
      </w:r>
      <w:r>
        <w:t>，</w:t>
      </w:r>
      <w:r>
        <w:rPr>
          <w:rFonts w:hint="eastAsia"/>
        </w:rPr>
        <w:t>按</w:t>
      </w:r>
      <w:r>
        <w:t>公式（</w:t>
      </w:r>
      <w:r>
        <w:rPr>
          <w:rFonts w:hint="eastAsia"/>
        </w:rPr>
        <w:t>7</w:t>
      </w:r>
      <w:r>
        <w:t>）计算。</w:t>
      </w:r>
    </w:p>
    <w:p w:rsidR="00506AE6" w:rsidRDefault="0072598A">
      <w:pPr>
        <w:pStyle w:val="MTDisplayEquation"/>
      </w:pPr>
      <w:r>
        <w:tab/>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sub>
        </m:sSub>
        <m:r>
          <m:rPr>
            <m:sty m:val="p"/>
          </m:rPr>
          <w:rPr>
            <w:rFonts w:ascii="Cambria Math" w:hAnsi="Cambria Math"/>
          </w:rPr>
          <m:t>=</m:t>
        </m:r>
        <m:nary>
          <m:naryPr>
            <m:chr m:val="∑"/>
            <m:limLoc m:val="undOvr"/>
            <m:ctrlPr>
              <w:rPr>
                <w:rFonts w:ascii="Cambria Math" w:hAnsi="Cambria Math"/>
                <w:iCs/>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ck,j</m:t>
                </m:r>
              </m:sub>
            </m:sSub>
          </m:e>
        </m:nary>
      </m:oMath>
      <w:r>
        <w:tab/>
      </w:r>
      <w:r>
        <w:rPr>
          <w:rFonts w:hint="eastAsia"/>
        </w:rPr>
        <w:t>（</w:t>
      </w:r>
      <w:r>
        <w:rPr>
          <w:rFonts w:hint="eastAsia"/>
        </w:rPr>
        <w:t>7</w:t>
      </w:r>
      <w:r>
        <w:rPr>
          <w:rFonts w:hint="eastAsia"/>
        </w:rPr>
        <w:t>）</w:t>
      </w:r>
    </w:p>
    <w:p w:rsidR="00506AE6" w:rsidRDefault="0072598A">
      <w:pPr>
        <w:pStyle w:val="affa"/>
        <w:tabs>
          <w:tab w:val="clear" w:pos="-420"/>
          <w:tab w:val="clear" w:pos="0"/>
        </w:tabs>
        <w:spacing w:line="360" w:lineRule="exact"/>
        <w:ind w:right="-210"/>
        <w:rPr>
          <w:szCs w:val="21"/>
        </w:rPr>
      </w:pPr>
      <w:r>
        <w:rPr>
          <w:szCs w:val="21"/>
        </w:rPr>
        <w:t>式中</w:t>
      </w:r>
      <w:r>
        <w:rPr>
          <w:rFonts w:hint="eastAsia"/>
          <w:szCs w:val="21"/>
        </w:rPr>
        <w:t>：</w:t>
      </w:r>
    </w:p>
    <w:tbl>
      <w:tblPr>
        <w:tblW w:w="8474" w:type="dxa"/>
        <w:jc w:val="right"/>
        <w:tblLayout w:type="fixed"/>
        <w:tblLook w:val="04A0" w:firstRow="1" w:lastRow="0" w:firstColumn="1" w:lastColumn="0" w:noHBand="0" w:noVBand="1"/>
      </w:tblPr>
      <w:tblGrid>
        <w:gridCol w:w="651"/>
        <w:gridCol w:w="340"/>
        <w:gridCol w:w="7483"/>
      </w:tblGrid>
      <w:tr w:rsidR="00506AE6">
        <w:trPr>
          <w:trHeight w:val="20"/>
          <w:jc w:val="right"/>
        </w:trPr>
        <w:tc>
          <w:tcPr>
            <w:tcW w:w="651" w:type="dxa"/>
            <w:vAlign w:val="center"/>
          </w:tcPr>
          <w:p w:rsidR="00506AE6" w:rsidRDefault="0072598A">
            <w:pPr>
              <w:adjustRightInd w:val="0"/>
              <w:snapToGrid w:val="0"/>
              <w:spacing w:line="240" w:lineRule="auto"/>
              <w:ind w:firstLineChars="0" w:firstLine="0"/>
              <w:jc w:val="left"/>
              <w:rPr>
                <w:i/>
              </w:rPr>
            </w:pPr>
            <m:oMathPara>
              <m:oMathParaPr>
                <m:jc m:val="left"/>
              </m:oMathParaPr>
              <m:oMath>
                <m:sSub>
                  <m:sSubPr>
                    <m:ctrlPr>
                      <w:rPr>
                        <w:rFonts w:ascii="Cambria Math" w:hAnsi="Cambria Math" w:cs="宋体" w:hint="eastAsia"/>
                        <w:i/>
                        <w:szCs w:val="21"/>
                      </w:rPr>
                    </m:ctrlPr>
                  </m:sSubPr>
                  <m:e>
                    <m:r>
                      <w:rPr>
                        <w:rFonts w:ascii="Cambria Math" w:hAnsi="Cambria Math" w:cs="宋体"/>
                        <w:szCs w:val="21"/>
                      </w:rPr>
                      <m:t>E</m:t>
                    </m:r>
                  </m:e>
                  <m:sub>
                    <m:r>
                      <w:rPr>
                        <w:rFonts w:ascii="Cambria Math" w:hAnsi="Cambria Math"/>
                      </w:rPr>
                      <m:t>ck</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483" w:type="dxa"/>
            <w:vAlign w:val="center"/>
          </w:tcPr>
          <w:p w:rsidR="00506AE6" w:rsidRDefault="0072598A">
            <w:pPr>
              <w:adjustRightInd w:val="0"/>
              <w:snapToGrid w:val="0"/>
              <w:spacing w:line="240" w:lineRule="auto"/>
              <w:ind w:firstLineChars="0" w:firstLine="0"/>
              <w:jc w:val="left"/>
              <w:rPr>
                <w:position w:val="-12"/>
              </w:rPr>
            </w:pPr>
            <w:r>
              <w:rPr>
                <w:rFonts w:hint="eastAsia"/>
              </w:rPr>
              <w:t>熟料生产二氧化碳排放总量</w:t>
            </w:r>
            <w:r>
              <w:rPr>
                <w:szCs w:val="21"/>
              </w:rPr>
              <w:t>，单位为吨二氧化碳（</w:t>
            </w:r>
            <w:r>
              <w:rPr>
                <w:szCs w:val="21"/>
              </w:rPr>
              <w:t>tCO</w:t>
            </w:r>
            <w:r>
              <w:rPr>
                <w:szCs w:val="21"/>
                <w:vertAlign w:val="subscript"/>
              </w:rPr>
              <w:t>2</w:t>
            </w:r>
            <w:r>
              <w:rPr>
                <w:szCs w:val="21"/>
              </w:rPr>
              <w:t>）</w:t>
            </w:r>
            <w:r>
              <w:rPr>
                <w:rFonts w:hint="eastAsia"/>
                <w:szCs w:val="21"/>
              </w:rPr>
              <w:t>。</w:t>
            </w:r>
          </w:p>
        </w:tc>
      </w:tr>
    </w:tbl>
    <w:p w:rsidR="00506AE6" w:rsidRDefault="0072598A">
      <w:pPr>
        <w:pStyle w:val="a3"/>
        <w:spacing w:before="312" w:after="312" w:line="360" w:lineRule="exact"/>
        <w:ind w:left="0"/>
        <w:outlineLvl w:val="0"/>
        <w:rPr>
          <w:rFonts w:ascii="Times New Roman"/>
        </w:rPr>
      </w:pPr>
      <w:bookmarkStart w:id="308" w:name="_Toc1262530439"/>
      <w:bookmarkStart w:id="309" w:name="_Toc159419085"/>
      <w:r>
        <w:rPr>
          <w:rFonts w:ascii="Times New Roman" w:hint="eastAsia"/>
        </w:rPr>
        <w:t>企业层级排放核算要求及排放量计算</w:t>
      </w:r>
      <w:bookmarkEnd w:id="307"/>
      <w:bookmarkEnd w:id="308"/>
      <w:bookmarkEnd w:id="309"/>
    </w:p>
    <w:p w:rsidR="00506AE6" w:rsidRDefault="0072598A">
      <w:pPr>
        <w:pStyle w:val="a4"/>
        <w:spacing w:before="156" w:after="156" w:line="360" w:lineRule="exact"/>
        <w:ind w:left="0"/>
        <w:jc w:val="both"/>
        <w:outlineLvl w:val="1"/>
        <w:rPr>
          <w:rFonts w:ascii="Times New Roman"/>
        </w:rPr>
      </w:pPr>
      <w:bookmarkStart w:id="310" w:name="_Toc144282466"/>
      <w:r>
        <w:rPr>
          <w:rFonts w:ascii="Times New Roman" w:hint="eastAsia"/>
        </w:rPr>
        <w:t>化石燃料燃烧排放核算要求</w:t>
      </w:r>
      <w:bookmarkEnd w:id="310"/>
    </w:p>
    <w:p w:rsidR="00506AE6" w:rsidRDefault="0072598A">
      <w:pPr>
        <w:pStyle w:val="a4"/>
        <w:numPr>
          <w:ilvl w:val="2"/>
          <w:numId w:val="1"/>
        </w:numPr>
        <w:spacing w:before="156" w:after="156" w:line="360" w:lineRule="exact"/>
        <w:rPr>
          <w:rFonts w:ascii="Times New Roman"/>
        </w:rPr>
      </w:pPr>
      <w:bookmarkStart w:id="311" w:name="_Ref143361257"/>
      <w:r>
        <w:rPr>
          <w:rFonts w:ascii="Times New Roman" w:hint="eastAsia"/>
        </w:rPr>
        <w:t>计算公式</w:t>
      </w:r>
      <w:bookmarkEnd w:id="311"/>
    </w:p>
    <w:p w:rsidR="00506AE6" w:rsidRDefault="0072598A">
      <w:pPr>
        <w:pStyle w:val="affa"/>
        <w:tabs>
          <w:tab w:val="clear" w:pos="-420"/>
          <w:tab w:val="clear" w:pos="0"/>
        </w:tabs>
        <w:spacing w:line="360" w:lineRule="exact"/>
      </w:pPr>
      <w:r>
        <w:rPr>
          <w:rFonts w:hint="eastAsia"/>
        </w:rPr>
        <w:t>化石燃料燃烧排放量按公</w:t>
      </w:r>
      <w:r>
        <w:t>式</w:t>
      </w:r>
      <w:r>
        <w:rPr>
          <w:rFonts w:hint="eastAsia"/>
        </w:rPr>
        <w:t>（</w:t>
      </w:r>
      <w:r>
        <w:rPr>
          <w:rFonts w:hint="eastAsia"/>
        </w:rPr>
        <w:t>8</w:t>
      </w:r>
      <w:r>
        <w:rPr>
          <w:rFonts w:hint="eastAsia"/>
        </w:rPr>
        <w:t>）</w:t>
      </w:r>
      <w:r>
        <w:t>计算。</w:t>
      </w:r>
    </w:p>
    <w:p w:rsidR="00506AE6" w:rsidRDefault="0072598A">
      <w:pPr>
        <w:pStyle w:val="MTDisplayEquation"/>
      </w:p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hint="eastAsia"/>
              </w:rPr>
              <m:t>燃烧</m:t>
            </m:r>
          </m:sub>
        </m:sSub>
        <m:r>
          <m:rPr>
            <m:sty m:val="p"/>
          </m:rPr>
          <w:rPr>
            <w:rFonts w:ascii="Cambria Math" w:hAnsi="Cambria Math"/>
          </w:rPr>
          <m:t>=</m:t>
        </m:r>
        <m:nary>
          <m:naryPr>
            <m:chr m:val="∑"/>
            <m:ctrlPr>
              <w:rPr>
                <w:rFonts w:ascii="Cambria Math" w:hAnsi="Cambria Math"/>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rPr>
                </m:ctrlPr>
              </m:dPr>
              <m:e>
                <m:r>
                  <m:rPr>
                    <m:sty m:val="p"/>
                  </m:rPr>
                  <w:rPr>
                    <w:rFonts w:ascii="Cambria Math" w:hAnsi="Cambria Math"/>
                  </w:rPr>
                  <m:t>F</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×NC</m:t>
                </m:r>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a</m:t>
                    </m:r>
                    <m:r>
                      <m:rPr>
                        <m:sty m:val="p"/>
                      </m:rPr>
                      <w:rPr>
                        <w:rFonts w:ascii="Cambria Math" w:hAnsi="Cambria Math" w:hint="eastAsia"/>
                      </w:rPr>
                      <m:t>r</m:t>
                    </m:r>
                    <m:r>
                      <m:rPr>
                        <m:sty m:val="p"/>
                      </m:rPr>
                      <w:rPr>
                        <w:rFonts w:ascii="Cambria Math" w:hAnsi="Cambria Math"/>
                      </w:rPr>
                      <m:t>,i</m:t>
                    </m:r>
                  </m:sub>
                </m:sSub>
                <m:r>
                  <m:rPr>
                    <m:sty m:val="p"/>
                  </m:rPr>
                  <w:rPr>
                    <w:rFonts w:ascii="Cambria Math" w:hAnsi="Cambria Math"/>
                  </w:rPr>
                  <m:t>×C</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×O</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i</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44</m:t>
                    </m:r>
                  </m:num>
                  <m:den>
                    <m:r>
                      <m:rPr>
                        <m:sty m:val="p"/>
                      </m:rPr>
                      <w:rPr>
                        <w:rFonts w:ascii="Cambria Math" w:hAnsi="Cambria Math"/>
                      </w:rPr>
                      <m:t>12</m:t>
                    </m:r>
                  </m:den>
                </m:f>
              </m:e>
            </m:d>
          </m:e>
        </m:nary>
        <m:r>
          <m:rPr>
            <m:sty m:val="p"/>
          </m:rPr>
          <w:rPr>
            <w:rFonts w:ascii="Cambria Math" w:hAnsi="Cambria Math"/>
          </w:rPr>
          <m:t xml:space="preserve"> </m:t>
        </m:r>
      </m:oMath>
      <w:r>
        <w:t xml:space="preserve">                </w:t>
      </w:r>
      <w:r>
        <w:rPr>
          <w:rFonts w:hint="eastAsia"/>
        </w:rPr>
        <w:t>（</w:t>
      </w:r>
      <w:r>
        <w:rPr>
          <w:rFonts w:hint="eastAsia"/>
        </w:rPr>
        <w:t>8</w:t>
      </w:r>
      <w:r>
        <w:rPr>
          <w:rFonts w:hint="eastAsia"/>
        </w:rPr>
        <w:t>）</w:t>
      </w:r>
    </w:p>
    <w:p w:rsidR="00506AE6" w:rsidRDefault="0072598A">
      <w:pPr>
        <w:pStyle w:val="affa"/>
        <w:tabs>
          <w:tab w:val="clear" w:pos="-420"/>
          <w:tab w:val="clear" w:pos="0"/>
        </w:tabs>
        <w:spacing w:line="360" w:lineRule="exact"/>
      </w:pPr>
      <w:r>
        <w:rPr>
          <w:rFonts w:hint="eastAsia"/>
        </w:rPr>
        <w:t>式中：</w:t>
      </w:r>
    </w:p>
    <w:tbl>
      <w:tblPr>
        <w:tblW w:w="8334" w:type="dxa"/>
        <w:jc w:val="right"/>
        <w:tblLayout w:type="fixed"/>
        <w:tblLook w:val="04A0" w:firstRow="1" w:lastRow="0" w:firstColumn="1" w:lastColumn="0" w:noHBand="0" w:noVBand="1"/>
      </w:tblPr>
      <w:tblGrid>
        <w:gridCol w:w="794"/>
        <w:gridCol w:w="340"/>
        <w:gridCol w:w="7200"/>
      </w:tblGrid>
      <w:tr w:rsidR="00506AE6">
        <w:trPr>
          <w:trHeight w:val="20"/>
          <w:jc w:val="right"/>
        </w:trPr>
        <w:tc>
          <w:tcPr>
            <w:tcW w:w="794" w:type="dxa"/>
            <w:vAlign w:val="center"/>
          </w:tcPr>
          <w:p w:rsidR="00506AE6" w:rsidRDefault="0072598A">
            <w:pPr>
              <w:adjustRightInd w:val="0"/>
              <w:snapToGrid w:val="0"/>
              <w:spacing w:line="240" w:lineRule="auto"/>
              <w:ind w:firstLineChars="0" w:firstLine="0"/>
              <w:jc w:val="left"/>
              <w:rPr>
                <w:szCs w:val="21"/>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燃烧</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200" w:type="dxa"/>
            <w:vAlign w:val="center"/>
          </w:tcPr>
          <w:p w:rsidR="00506AE6" w:rsidRDefault="0072598A">
            <w:pPr>
              <w:adjustRightInd w:val="0"/>
              <w:snapToGrid w:val="0"/>
              <w:spacing w:line="240" w:lineRule="auto"/>
              <w:ind w:firstLineChars="0" w:firstLine="0"/>
              <w:jc w:val="left"/>
              <w:rPr>
                <w:szCs w:val="21"/>
              </w:rPr>
            </w:pPr>
            <w:r>
              <w:rPr>
                <w:rFonts w:hint="eastAsia"/>
              </w:rPr>
              <w:t>化石燃料燃烧排放量，单位为吨二氧化碳（</w:t>
            </w:r>
            <w:r>
              <w:rPr>
                <w:rFonts w:hint="eastAsia"/>
              </w:rPr>
              <w:t>t</w:t>
            </w:r>
            <w:r>
              <w:t>CO</w:t>
            </w:r>
            <w:r>
              <w:rPr>
                <w:vertAlign w:val="subscript"/>
              </w:rPr>
              <w:t>2</w:t>
            </w:r>
            <w:r>
              <w:rPr>
                <w:rFonts w:hint="eastAsia"/>
              </w:rPr>
              <w:t>）；</w:t>
            </w:r>
          </w:p>
        </w:tc>
      </w:tr>
      <w:tr w:rsidR="00506AE6">
        <w:trPr>
          <w:trHeight w:val="20"/>
          <w:jc w:val="right"/>
        </w:trPr>
        <w:tc>
          <w:tcPr>
            <w:tcW w:w="794" w:type="dxa"/>
          </w:tcPr>
          <w:p w:rsidR="00506AE6" w:rsidRDefault="0072598A">
            <w:pPr>
              <w:adjustRightInd w:val="0"/>
              <w:snapToGrid w:val="0"/>
              <w:spacing w:line="240" w:lineRule="auto"/>
              <w:ind w:firstLineChars="0" w:firstLine="0"/>
              <w:jc w:val="left"/>
              <w:rPr>
                <w:iCs/>
                <w:szCs w:val="21"/>
              </w:rPr>
            </w:pPr>
            <m:oMathPara>
              <m:oMathParaPr>
                <m:jc m:val="left"/>
              </m:oMathParaPr>
              <m:oMath>
                <m:r>
                  <w:rPr>
                    <w:rFonts w:ascii="Cambria Math" w:hAnsi="Cambria Math"/>
                  </w:rPr>
                  <m:t>F</m:t>
                </m:r>
                <m:sSub>
                  <m:sSubPr>
                    <m:ctrlPr>
                      <w:rPr>
                        <w:rFonts w:ascii="Cambria Math" w:hAnsi="Cambria Math"/>
                        <w:i/>
                      </w:rPr>
                    </m:ctrlPr>
                  </m:sSubPr>
                  <m:e>
                    <m:r>
                      <w:rPr>
                        <w:rFonts w:ascii="Cambria Math" w:hAnsi="Cambria Math"/>
                      </w:rPr>
                      <m:t>C</m:t>
                    </m:r>
                  </m:e>
                  <m:sub>
                    <m:r>
                      <w:rPr>
                        <w:rFonts w:ascii="Cambria Math" w:hAnsi="Cambria Math"/>
                      </w:rPr>
                      <m:t>i</m:t>
                    </m:r>
                  </m:sub>
                </m:sSub>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200" w:type="dxa"/>
          </w:tcPr>
          <w:p w:rsidR="00506AE6" w:rsidRDefault="0072598A">
            <w:pPr>
              <w:adjustRightInd w:val="0"/>
              <w:snapToGrid w:val="0"/>
              <w:spacing w:line="240" w:lineRule="auto"/>
              <w:ind w:firstLineChars="0" w:firstLine="0"/>
            </w:pPr>
            <w:r>
              <w:rPr>
                <w:rFonts w:hint="eastAsia"/>
              </w:rPr>
              <w:t>第</w:t>
            </w:r>
            <m:oMath>
              <m:r>
                <w:rPr>
                  <w:rFonts w:ascii="Cambria Math" w:hAnsi="Cambria Math"/>
                  <w:szCs w:val="21"/>
                </w:rPr>
                <m:t>i</m:t>
              </m:r>
            </m:oMath>
            <w:r>
              <w:rPr>
                <w:rFonts w:hint="eastAsia"/>
              </w:rPr>
              <w:t>种化石燃料消耗量。一般对于固体或液体燃料，单位为吨（</w:t>
            </w:r>
            <w:r>
              <w:t>t</w:t>
            </w:r>
            <w:r>
              <w:rPr>
                <w:rFonts w:hint="eastAsia"/>
              </w:rPr>
              <w:t>）；一般对于气体燃料，单位为万标</w:t>
            </w:r>
            <w:r>
              <w:rPr>
                <w:rFonts w:hint="eastAsia"/>
              </w:rPr>
              <w:t>准</w:t>
            </w:r>
            <w:r>
              <w:rPr>
                <w:rFonts w:hint="eastAsia"/>
              </w:rPr>
              <w:t>立方米（</w:t>
            </w:r>
            <w:r>
              <w:t>10</w:t>
            </w:r>
            <w:r>
              <w:rPr>
                <w:vertAlign w:val="superscript"/>
              </w:rPr>
              <w:t>4</w:t>
            </w:r>
            <w:r>
              <w:t>Nm</w:t>
            </w:r>
            <w:r>
              <w:rPr>
                <w:vertAlign w:val="superscript"/>
              </w:rPr>
              <w:t>3</w:t>
            </w:r>
            <w:r>
              <w:rPr>
                <w:rFonts w:hint="eastAsia"/>
              </w:rPr>
              <w:t>）；</w:t>
            </w:r>
          </w:p>
        </w:tc>
      </w:tr>
      <w:tr w:rsidR="00506AE6">
        <w:trPr>
          <w:trHeight w:val="20"/>
          <w:jc w:val="right"/>
        </w:trPr>
        <w:tc>
          <w:tcPr>
            <w:tcW w:w="794" w:type="dxa"/>
          </w:tcPr>
          <w:p w:rsidR="00506AE6" w:rsidRDefault="0072598A">
            <w:pPr>
              <w:adjustRightInd w:val="0"/>
              <w:snapToGrid w:val="0"/>
              <w:spacing w:line="240" w:lineRule="auto"/>
              <w:ind w:firstLineChars="0" w:firstLine="0"/>
              <w:jc w:val="left"/>
            </w:pPr>
            <m:oMathPara>
              <m:oMathParaPr>
                <m:jc m:val="left"/>
              </m:oMathParaPr>
              <m:oMath>
                <m:r>
                  <w:rPr>
                    <w:rFonts w:ascii="Cambria Math" w:hAnsi="Cambria Math"/>
                    <w:szCs w:val="21"/>
                  </w:rPr>
                  <m:t>NC</m:t>
                </m:r>
                <m:sSub>
                  <m:sSubPr>
                    <m:ctrlPr>
                      <w:rPr>
                        <w:rFonts w:ascii="Cambria Math" w:hAnsi="Cambria Math"/>
                        <w:i/>
                        <w:szCs w:val="21"/>
                      </w:rPr>
                    </m:ctrlPr>
                  </m:sSubPr>
                  <m:e>
                    <m:r>
                      <w:rPr>
                        <w:rFonts w:ascii="Cambria Math" w:hAnsi="Cambria Math"/>
                        <w:szCs w:val="21"/>
                      </w:rPr>
                      <m:t>V</m:t>
                    </m:r>
                  </m:e>
                  <m:sub>
                    <m:r>
                      <w:rPr>
                        <w:rFonts w:ascii="Cambria Math" w:hAnsi="Cambria Math"/>
                        <w:szCs w:val="21"/>
                      </w:rPr>
                      <m:t>ar</m:t>
                    </m:r>
                    <m:r>
                      <w:rPr>
                        <w:rFonts w:ascii="Cambria Math" w:hAnsi="Cambria Math"/>
                        <w:szCs w:val="21"/>
                      </w:rPr>
                      <m:t>,</m:t>
                    </m:r>
                    <m:r>
                      <w:rPr>
                        <w:rFonts w:ascii="Cambria Math" w:hAnsi="Cambria Math"/>
                        <w:szCs w:val="21"/>
                      </w:rPr>
                      <m:t>i</m:t>
                    </m:r>
                  </m:sub>
                </m:sSub>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200" w:type="dxa"/>
          </w:tcPr>
          <w:p w:rsidR="00506AE6" w:rsidRDefault="0072598A">
            <w:pPr>
              <w:adjustRightInd w:val="0"/>
              <w:snapToGrid w:val="0"/>
              <w:spacing w:line="240" w:lineRule="auto"/>
              <w:ind w:firstLineChars="0" w:firstLine="0"/>
            </w:pPr>
            <w:r>
              <w:rPr>
                <w:rFonts w:hint="eastAsia"/>
              </w:rPr>
              <w:t>第</w:t>
            </w:r>
            <m:oMath>
              <m:r>
                <w:rPr>
                  <w:rFonts w:ascii="Cambria Math" w:hAnsi="Cambria Math"/>
                  <w:szCs w:val="21"/>
                </w:rPr>
                <m:t>i</m:t>
              </m:r>
            </m:oMath>
            <w:r>
              <w:rPr>
                <w:rFonts w:hint="eastAsia"/>
              </w:rPr>
              <w:t>种</w:t>
            </w:r>
            <w:r>
              <w:rPr>
                <w:rFonts w:hint="eastAsia"/>
                <w:szCs w:val="21"/>
              </w:rPr>
              <w:t>化石燃料收到基低位发热量，一般对于固体或液体燃料，单位为吉焦每吨（</w:t>
            </w:r>
            <w:r>
              <w:rPr>
                <w:szCs w:val="21"/>
              </w:rPr>
              <w:t>GJ/t</w:t>
            </w:r>
            <w:r>
              <w:rPr>
                <w:rFonts w:hint="eastAsia"/>
                <w:szCs w:val="21"/>
              </w:rPr>
              <w:t>）；一般对于气体燃料，单位为吉焦每万标</w:t>
            </w:r>
            <w:r>
              <w:rPr>
                <w:rFonts w:hint="eastAsia"/>
                <w:szCs w:val="21"/>
              </w:rPr>
              <w:t>准</w:t>
            </w:r>
            <w:r>
              <w:rPr>
                <w:rFonts w:hint="eastAsia"/>
                <w:szCs w:val="21"/>
              </w:rPr>
              <w:t>立方米（</w:t>
            </w:r>
            <w:r>
              <w:rPr>
                <w:szCs w:val="21"/>
              </w:rPr>
              <w:t>GJ/10</w:t>
            </w:r>
            <w:r>
              <w:rPr>
                <w:szCs w:val="21"/>
                <w:vertAlign w:val="superscript"/>
              </w:rPr>
              <w:t>4</w:t>
            </w:r>
            <w:r>
              <w:rPr>
                <w:szCs w:val="21"/>
              </w:rPr>
              <w:t>Nm</w:t>
            </w:r>
            <w:r>
              <w:rPr>
                <w:szCs w:val="21"/>
                <w:vertAlign w:val="superscript"/>
              </w:rPr>
              <w:t>3</w:t>
            </w:r>
            <w:r>
              <w:rPr>
                <w:rFonts w:hint="eastAsia"/>
              </w:rPr>
              <w:t>）；</w:t>
            </w:r>
          </w:p>
        </w:tc>
      </w:tr>
      <w:tr w:rsidR="00506AE6">
        <w:trPr>
          <w:trHeight w:val="20"/>
          <w:jc w:val="right"/>
        </w:trPr>
        <w:tc>
          <w:tcPr>
            <w:tcW w:w="794" w:type="dxa"/>
            <w:vAlign w:val="center"/>
          </w:tcPr>
          <w:p w:rsidR="00506AE6" w:rsidRDefault="0072598A">
            <w:pPr>
              <w:adjustRightInd w:val="0"/>
              <w:snapToGrid w:val="0"/>
              <w:spacing w:line="240" w:lineRule="auto"/>
              <w:ind w:firstLineChars="0" w:firstLine="0"/>
              <w:jc w:val="left"/>
              <w:rPr>
                <w:szCs w:val="21"/>
              </w:rPr>
            </w:pPr>
            <m:oMathPara>
              <m:oMathParaPr>
                <m:jc m:val="left"/>
              </m:oMathParaPr>
              <m:oMath>
                <m:r>
                  <w:rPr>
                    <w:rFonts w:ascii="Cambria Math" w:hAnsi="Cambria Math"/>
                    <w:szCs w:val="21"/>
                  </w:rPr>
                  <m:t>C</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i</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200" w:type="dxa"/>
            <w:vAlign w:val="center"/>
          </w:tcPr>
          <w:p w:rsidR="00506AE6" w:rsidRDefault="0072598A">
            <w:pPr>
              <w:adjustRightInd w:val="0"/>
              <w:snapToGrid w:val="0"/>
              <w:spacing w:line="240" w:lineRule="auto"/>
              <w:ind w:firstLineChars="0" w:firstLine="0"/>
              <w:jc w:val="left"/>
              <w:rPr>
                <w:szCs w:val="21"/>
              </w:rPr>
            </w:pPr>
            <w:r>
              <w:rPr>
                <w:rFonts w:hint="eastAsia"/>
              </w:rPr>
              <w:t>第</w:t>
            </w:r>
            <w:r>
              <w:rPr>
                <w:rFonts w:hint="eastAsia"/>
                <w:i/>
                <w:iCs/>
              </w:rPr>
              <w:t>i</w:t>
            </w:r>
            <w:r>
              <w:rPr>
                <w:rFonts w:hint="eastAsia"/>
              </w:rPr>
              <w:t>种</w:t>
            </w:r>
            <w:r>
              <w:rPr>
                <w:rFonts w:hint="eastAsia"/>
                <w:szCs w:val="21"/>
              </w:rPr>
              <w:t>化石燃料单位热值含碳量，单位为吨碳每吉焦（</w:t>
            </w:r>
            <w:r>
              <w:rPr>
                <w:szCs w:val="21"/>
              </w:rPr>
              <w:t>tC/GJ</w:t>
            </w:r>
            <w:r>
              <w:rPr>
                <w:rFonts w:hint="eastAsia"/>
                <w:szCs w:val="21"/>
              </w:rPr>
              <w:t>）；</w:t>
            </w:r>
          </w:p>
        </w:tc>
      </w:tr>
      <w:tr w:rsidR="00506AE6">
        <w:trPr>
          <w:trHeight w:val="20"/>
          <w:jc w:val="right"/>
        </w:trPr>
        <w:tc>
          <w:tcPr>
            <w:tcW w:w="794" w:type="dxa"/>
          </w:tcPr>
          <w:p w:rsidR="00506AE6" w:rsidRDefault="0072598A">
            <w:pPr>
              <w:adjustRightInd w:val="0"/>
              <w:snapToGrid w:val="0"/>
              <w:spacing w:line="240" w:lineRule="auto"/>
              <w:ind w:firstLineChars="0" w:firstLine="0"/>
              <w:jc w:val="left"/>
              <w:rPr>
                <w:szCs w:val="21"/>
              </w:rPr>
            </w:pPr>
            <m:oMathPara>
              <m:oMathParaPr>
                <m:jc m:val="left"/>
              </m:oMathParaPr>
              <m:oMath>
                <m:r>
                  <w:rPr>
                    <w:rFonts w:ascii="Cambria Math" w:hAnsi="Cambria Math"/>
                    <w:szCs w:val="21"/>
                  </w:rPr>
                  <m:t>O</m:t>
                </m:r>
                <m:sSub>
                  <m:sSubPr>
                    <m:ctrlPr>
                      <w:rPr>
                        <w:rFonts w:ascii="Cambria Math" w:hAnsi="Cambria Math"/>
                        <w:i/>
                        <w:szCs w:val="21"/>
                      </w:rPr>
                    </m:ctrlPr>
                  </m:sSubPr>
                  <m:e>
                    <m:r>
                      <w:rPr>
                        <w:rFonts w:ascii="Cambria Math" w:hAnsi="Cambria Math"/>
                        <w:szCs w:val="21"/>
                      </w:rPr>
                      <m:t>F</m:t>
                    </m:r>
                  </m:e>
                  <m:sub>
                    <m:r>
                      <w:rPr>
                        <w:rFonts w:ascii="Cambria Math" w:hAnsi="Cambria Math"/>
                        <w:szCs w:val="21"/>
                      </w:rPr>
                      <m:t>i</m:t>
                    </m:r>
                  </m:sub>
                </m:sSub>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200" w:type="dxa"/>
          </w:tcPr>
          <w:p w:rsidR="00506AE6" w:rsidRDefault="0072598A">
            <w:pPr>
              <w:adjustRightInd w:val="0"/>
              <w:snapToGrid w:val="0"/>
              <w:spacing w:line="240" w:lineRule="auto"/>
              <w:ind w:firstLineChars="0" w:firstLine="0"/>
              <w:rPr>
                <w:szCs w:val="21"/>
              </w:rPr>
            </w:pPr>
            <w:r>
              <w:rPr>
                <w:rFonts w:hint="eastAsia"/>
              </w:rPr>
              <w:t>第</w:t>
            </w:r>
            <w:r>
              <w:rPr>
                <w:rFonts w:hint="eastAsia"/>
                <w:i/>
                <w:iCs/>
              </w:rPr>
              <w:t>i</w:t>
            </w:r>
            <w:r>
              <w:rPr>
                <w:rFonts w:hint="eastAsia"/>
              </w:rPr>
              <w:t>种化石燃料碳氧化率</w:t>
            </w:r>
            <w:r>
              <w:rPr>
                <w:rFonts w:hint="eastAsia"/>
              </w:rPr>
              <w:t>，</w:t>
            </w:r>
            <w:r>
              <w:rPr>
                <w:rFonts w:hint="eastAsia"/>
              </w:rPr>
              <w:t>以</w:t>
            </w:r>
            <w:r>
              <w:rPr>
                <w:rFonts w:hint="eastAsia"/>
              </w:rPr>
              <w:t>%</w:t>
            </w:r>
            <w:r>
              <w:rPr>
                <w:rFonts w:hint="eastAsia"/>
              </w:rPr>
              <w:t>表示</w:t>
            </w:r>
            <w:r>
              <w:rPr>
                <w:rFonts w:hint="eastAsia"/>
              </w:rPr>
              <w:t>；</w:t>
            </w:r>
          </w:p>
        </w:tc>
      </w:tr>
      <w:tr w:rsidR="00506AE6">
        <w:trPr>
          <w:trHeight w:val="20"/>
          <w:jc w:val="right"/>
        </w:trPr>
        <w:tc>
          <w:tcPr>
            <w:tcW w:w="794" w:type="dxa"/>
          </w:tcPr>
          <w:p w:rsidR="00506AE6" w:rsidRDefault="0072598A">
            <w:pPr>
              <w:adjustRightInd w:val="0"/>
              <w:snapToGrid w:val="0"/>
              <w:spacing w:line="240" w:lineRule="auto"/>
              <w:ind w:firstLineChars="0" w:firstLine="0"/>
              <w:jc w:val="left"/>
              <w:rPr>
                <w:szCs w:val="21"/>
              </w:rPr>
            </w:pPr>
            <w:r>
              <w:rPr>
                <w:rFonts w:hAnsi="Cambria Math" w:hint="eastAsia"/>
              </w:rPr>
              <w:t>44/12</w:t>
            </w:r>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200" w:type="dxa"/>
          </w:tcPr>
          <w:p w:rsidR="00506AE6" w:rsidRDefault="0072598A">
            <w:pPr>
              <w:adjustRightInd w:val="0"/>
              <w:snapToGrid w:val="0"/>
              <w:spacing w:line="240" w:lineRule="auto"/>
              <w:ind w:firstLineChars="0" w:firstLine="0"/>
            </w:pPr>
            <w:r>
              <w:rPr>
                <w:rFonts w:hint="eastAsia"/>
                <w:position w:val="-12"/>
              </w:rPr>
              <w:t>二氧化碳与碳的相对分子质量之比。</w:t>
            </w:r>
          </w:p>
        </w:tc>
      </w:tr>
    </w:tbl>
    <w:p w:rsidR="00506AE6" w:rsidRDefault="0072598A">
      <w:pPr>
        <w:pStyle w:val="a4"/>
        <w:numPr>
          <w:ilvl w:val="2"/>
          <w:numId w:val="1"/>
        </w:numPr>
        <w:spacing w:before="156" w:after="156" w:line="360" w:lineRule="exact"/>
        <w:rPr>
          <w:rFonts w:ascii="Times New Roman"/>
        </w:rPr>
      </w:pPr>
      <w:r>
        <w:tab/>
      </w:r>
      <w:bookmarkStart w:id="312" w:name="_Ref144290306"/>
      <w:r>
        <w:rPr>
          <w:rFonts w:ascii="Times New Roman" w:hint="eastAsia"/>
        </w:rPr>
        <w:t>数据的监测与获取</w:t>
      </w:r>
      <w:bookmarkEnd w:id="312"/>
    </w:p>
    <w:p w:rsidR="00506AE6" w:rsidRDefault="0072598A">
      <w:pPr>
        <w:pStyle w:val="affa"/>
        <w:tabs>
          <w:tab w:val="clear" w:pos="-420"/>
          <w:tab w:val="clear" w:pos="0"/>
        </w:tabs>
        <w:spacing w:line="360" w:lineRule="exact"/>
      </w:pPr>
      <w:r>
        <w:rPr>
          <w:rFonts w:hint="eastAsia"/>
        </w:rPr>
        <w:t>燃</w:t>
      </w:r>
      <w:r>
        <w:rPr>
          <w:rFonts w:hint="eastAsia"/>
        </w:rPr>
        <w:t>煤</w:t>
      </w:r>
      <w:r>
        <w:t>消耗量、低位发热量、单位热值含碳量、碳氧化率的监测与获取应满足</w:t>
      </w:r>
      <w:r>
        <w:t>6.1.2</w:t>
      </w:r>
      <w:r>
        <w:t>的要求。</w:t>
      </w:r>
    </w:p>
    <w:p w:rsidR="00506AE6" w:rsidRDefault="0072598A">
      <w:pPr>
        <w:pStyle w:val="affa"/>
        <w:tabs>
          <w:tab w:val="clear" w:pos="-420"/>
          <w:tab w:val="clear" w:pos="0"/>
        </w:tabs>
        <w:spacing w:line="360" w:lineRule="exact"/>
      </w:pPr>
      <w:r>
        <w:t>其他</w:t>
      </w:r>
      <w:r>
        <w:rPr>
          <w:rFonts w:hint="eastAsia"/>
        </w:rPr>
        <w:t>化石</w:t>
      </w:r>
      <w:r>
        <w:t>燃料消耗量应采用连续测量结果。不具备连续测量条件的，通过盘存测量得到购销存台账中消耗量数据。</w:t>
      </w:r>
    </w:p>
    <w:p w:rsidR="00506AE6" w:rsidRDefault="0072598A">
      <w:pPr>
        <w:pStyle w:val="affa"/>
        <w:tabs>
          <w:tab w:val="clear" w:pos="-420"/>
          <w:tab w:val="clear" w:pos="0"/>
        </w:tabs>
        <w:spacing w:line="360" w:lineRule="exact"/>
      </w:pPr>
      <w:r>
        <w:t>其他化石燃料低位发热量、单位热值含碳量、碳氧化率采用</w:t>
      </w:r>
      <w:r>
        <w:rPr>
          <w:rFonts w:hint="eastAsia"/>
        </w:rPr>
        <w:t>附录</w:t>
      </w:r>
      <w:r>
        <w:rPr>
          <w:rFonts w:hint="eastAsia"/>
        </w:rPr>
        <w:t>B</w:t>
      </w:r>
      <w:r>
        <w:t>给出的缺省值。</w:t>
      </w:r>
      <w:r>
        <w:rPr>
          <w:rFonts w:hint="eastAsia"/>
        </w:rPr>
        <w:t>生态环境部有更新的，采用其最新发布的数值。</w:t>
      </w:r>
    </w:p>
    <w:p w:rsidR="00506AE6" w:rsidRDefault="0072598A">
      <w:pPr>
        <w:pStyle w:val="affa"/>
        <w:tabs>
          <w:tab w:val="clear" w:pos="-420"/>
          <w:tab w:val="clear" w:pos="0"/>
        </w:tabs>
        <w:spacing w:line="360" w:lineRule="exact"/>
      </w:pPr>
      <w:r>
        <w:rPr>
          <w:rFonts w:hint="eastAsia"/>
        </w:rPr>
        <w:t>皮带秤、电子汽车衡、流量计等计量器具的准确度等级应符合</w:t>
      </w:r>
      <w:r>
        <w:t>GB/T 35461</w:t>
      </w:r>
      <w:r>
        <w:rPr>
          <w:rFonts w:hint="eastAsia"/>
        </w:rPr>
        <w:t>或相关计量检定规程的要求。计量器具应确保在有效的检定</w:t>
      </w:r>
      <w:r>
        <w:rPr>
          <w:rFonts w:hint="eastAsia"/>
        </w:rPr>
        <w:t>/</w:t>
      </w:r>
      <w:r>
        <w:rPr>
          <w:rFonts w:hint="eastAsia"/>
        </w:rPr>
        <w:t>校准周期内</w:t>
      </w:r>
      <w:r>
        <w:t>，由有资质的机构至少每年进行检定</w:t>
      </w:r>
      <w:r>
        <w:t>/</w:t>
      </w:r>
      <w:r>
        <w:t>校准，并符合</w:t>
      </w:r>
      <w:r>
        <w:t>JJG</w:t>
      </w:r>
      <w:r>
        <w:t xml:space="preserve"> </w:t>
      </w:r>
      <w:r>
        <w:t>539</w:t>
      </w:r>
      <w:r>
        <w:t>、</w:t>
      </w:r>
      <w:r>
        <w:t>JJG 1118</w:t>
      </w:r>
      <w:r>
        <w:t>等规程的要求</w:t>
      </w:r>
      <w:r>
        <w:rPr>
          <w:rFonts w:hint="eastAsia"/>
        </w:rPr>
        <w:t>。</w:t>
      </w:r>
    </w:p>
    <w:p w:rsidR="00506AE6" w:rsidRDefault="0072598A">
      <w:pPr>
        <w:pStyle w:val="a4"/>
        <w:spacing w:beforeLines="100" w:before="312" w:after="156" w:line="360" w:lineRule="exact"/>
        <w:ind w:left="0"/>
        <w:outlineLvl w:val="1"/>
        <w:rPr>
          <w:rFonts w:ascii="Times New Roman"/>
        </w:rPr>
      </w:pPr>
      <w:bookmarkStart w:id="313" w:name="_Toc144282467"/>
      <w:r>
        <w:rPr>
          <w:rFonts w:ascii="Times New Roman" w:hint="eastAsia"/>
        </w:rPr>
        <w:lastRenderedPageBreak/>
        <w:t>过程排放核算要求</w:t>
      </w:r>
      <w:bookmarkEnd w:id="313"/>
    </w:p>
    <w:p w:rsidR="00506AE6" w:rsidRDefault="0072598A">
      <w:pPr>
        <w:pStyle w:val="a4"/>
        <w:numPr>
          <w:ilvl w:val="2"/>
          <w:numId w:val="1"/>
        </w:numPr>
        <w:spacing w:before="156" w:after="156" w:line="360" w:lineRule="exact"/>
        <w:rPr>
          <w:rFonts w:ascii="Times New Roman"/>
        </w:rPr>
      </w:pPr>
      <w:r>
        <w:rPr>
          <w:rFonts w:ascii="Times New Roman" w:hint="eastAsia"/>
        </w:rPr>
        <w:t>计算公式</w:t>
      </w:r>
    </w:p>
    <w:p w:rsidR="00506AE6" w:rsidRDefault="0072598A">
      <w:pPr>
        <w:pStyle w:val="affa"/>
        <w:tabs>
          <w:tab w:val="clear" w:pos="-420"/>
          <w:tab w:val="clear" w:pos="0"/>
        </w:tabs>
        <w:spacing w:line="360" w:lineRule="exact"/>
      </w:pPr>
      <w:r>
        <w:rPr>
          <w:rFonts w:hint="eastAsia"/>
        </w:rPr>
        <w:t>过程排放量按公式</w:t>
      </w:r>
      <w:r>
        <w:rPr>
          <w:rFonts w:hint="eastAsia"/>
          <w:iCs/>
        </w:rPr>
        <w:t>（</w:t>
      </w:r>
      <w:r>
        <w:rPr>
          <w:rFonts w:hint="eastAsia"/>
          <w:iCs/>
        </w:rPr>
        <w:t>9</w:t>
      </w:r>
      <w:r>
        <w:rPr>
          <w:rFonts w:hint="eastAsia"/>
          <w:iCs/>
        </w:rPr>
        <w:t>）</w:t>
      </w:r>
      <w:r>
        <w:rPr>
          <w:rFonts w:hint="eastAsia"/>
        </w:rPr>
        <w:t>计算。</w:t>
      </w:r>
    </w:p>
    <w:p w:rsidR="00506AE6" w:rsidRDefault="0072598A">
      <w:pPr>
        <w:pStyle w:val="MTDisplayEquation"/>
      </w:pPr>
      <w:r>
        <w:tab/>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过程</m:t>
            </m:r>
          </m:sub>
        </m:sSub>
        <m:r>
          <m:rPr>
            <m:nor/>
          </m:rPr>
          <w:rPr>
            <w:iCs/>
          </w:rPr>
          <m:t>=</m:t>
        </m:r>
        <m:nary>
          <m:naryPr>
            <m:chr m:val="∑"/>
            <m:limLoc m:val="subSup"/>
            <m:ctrlPr>
              <w:rPr>
                <w:rFonts w:ascii="Cambria Math" w:hAnsi="Cambria Math"/>
                <w:iCs/>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r>
                  <m:rPr>
                    <m:sty m:val="p"/>
                  </m:rPr>
                  <w:rPr>
                    <w:rFonts w:ascii="Cambria Math" w:hAnsi="Cambria Math"/>
                  </w:rPr>
                  <m:t>过程</m:t>
                </m:r>
                <m:r>
                  <m:rPr>
                    <m:sty m:val="p"/>
                  </m:rPr>
                  <w:rPr>
                    <w:rFonts w:ascii="Cambria Math" w:hAnsi="Cambria Math"/>
                  </w:rPr>
                  <m:t>,j</m:t>
                </m:r>
              </m:sub>
            </m:sSub>
          </m:e>
        </m:nary>
      </m:oMath>
      <w:r>
        <w:tab/>
      </w:r>
      <w:r>
        <w:rPr>
          <w:rFonts w:hint="eastAsia"/>
        </w:rPr>
        <w:t>（</w:t>
      </w:r>
      <w:r>
        <w:rPr>
          <w:rFonts w:hint="eastAsia"/>
        </w:rPr>
        <w:t>9</w:t>
      </w:r>
      <w:r>
        <w:rPr>
          <w:rFonts w:hint="eastAsia"/>
        </w:rPr>
        <w:t>）</w:t>
      </w:r>
    </w:p>
    <w:p w:rsidR="00506AE6" w:rsidRDefault="0072598A">
      <w:pPr>
        <w:pStyle w:val="affa"/>
        <w:tabs>
          <w:tab w:val="clear" w:pos="-420"/>
          <w:tab w:val="clear" w:pos="0"/>
        </w:tabs>
        <w:spacing w:line="360" w:lineRule="exact"/>
      </w:pPr>
      <w:r>
        <w:rPr>
          <w:rFonts w:hint="eastAsia"/>
        </w:rPr>
        <w:t>式中：</w:t>
      </w:r>
    </w:p>
    <w:tbl>
      <w:tblPr>
        <w:tblW w:w="8333" w:type="dxa"/>
        <w:jc w:val="right"/>
        <w:tblLayout w:type="fixed"/>
        <w:tblLook w:val="04A0" w:firstRow="1" w:lastRow="0" w:firstColumn="1" w:lastColumn="0" w:noHBand="0" w:noVBand="1"/>
      </w:tblPr>
      <w:tblGrid>
        <w:gridCol w:w="1247"/>
        <w:gridCol w:w="340"/>
        <w:gridCol w:w="6746"/>
      </w:tblGrid>
      <w:tr w:rsidR="00506AE6">
        <w:trPr>
          <w:trHeight w:val="20"/>
          <w:jc w:val="right"/>
        </w:trPr>
        <w:tc>
          <w:tcPr>
            <w:tcW w:w="1247" w:type="dxa"/>
            <w:vAlign w:val="center"/>
          </w:tcPr>
          <w:p w:rsidR="00506AE6" w:rsidRDefault="0072598A">
            <w:pPr>
              <w:adjustRightInd w:val="0"/>
              <w:snapToGrid w:val="0"/>
              <w:spacing w:line="240" w:lineRule="auto"/>
              <w:ind w:firstLineChars="0" w:firstLine="0"/>
              <w:jc w:val="left"/>
              <w:rPr>
                <w:i/>
                <w:iCs/>
                <w:szCs w:val="21"/>
              </w:rPr>
            </w:pPr>
            <m:oMathPara>
              <m:oMathParaPr>
                <m:jc m:val="left"/>
              </m:oMathParaPr>
              <m:oMath>
                <m:sSub>
                  <m:sSubPr>
                    <m:ctrlPr>
                      <w:rPr>
                        <w:rFonts w:ascii="Cambria Math" w:hAnsi="Cambria Math"/>
                        <w:i/>
                        <w:iCs/>
                        <w:szCs w:val="21"/>
                      </w:rPr>
                    </m:ctrlPr>
                  </m:sSubPr>
                  <m:e>
                    <m:r>
                      <w:rPr>
                        <w:rFonts w:ascii="Cambria Math" w:hAnsi="Cambria Math"/>
                        <w:szCs w:val="21"/>
                      </w:rPr>
                      <m:t>E</m:t>
                    </m:r>
                  </m:e>
                  <m:sub>
                    <m:r>
                      <w:rPr>
                        <w:rFonts w:ascii="Cambria Math" w:hAnsi="Cambria Math"/>
                        <w:szCs w:val="21"/>
                      </w:rPr>
                      <m:t>过程</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6746" w:type="dxa"/>
            <w:vAlign w:val="center"/>
          </w:tcPr>
          <w:p w:rsidR="00506AE6" w:rsidRDefault="0072598A">
            <w:pPr>
              <w:adjustRightInd w:val="0"/>
              <w:snapToGrid w:val="0"/>
              <w:spacing w:line="240" w:lineRule="auto"/>
              <w:ind w:firstLineChars="0" w:firstLine="0"/>
              <w:jc w:val="left"/>
              <w:rPr>
                <w:szCs w:val="21"/>
              </w:rPr>
            </w:pPr>
            <w:r>
              <w:rPr>
                <w:rFonts w:hint="eastAsia"/>
              </w:rPr>
              <w:t>过程排放量，单位为吨二氧化碳（</w:t>
            </w:r>
            <w:r>
              <w:rPr>
                <w:rFonts w:hint="eastAsia"/>
              </w:rPr>
              <w:t>t</w:t>
            </w:r>
            <w:r>
              <w:t>CO</w:t>
            </w:r>
            <w:r>
              <w:rPr>
                <w:vertAlign w:val="subscript"/>
              </w:rPr>
              <w:t>2</w:t>
            </w:r>
            <w:r>
              <w:rPr>
                <w:rFonts w:hint="eastAsia"/>
              </w:rPr>
              <w:t>）；</w:t>
            </w:r>
          </w:p>
        </w:tc>
      </w:tr>
      <w:tr w:rsidR="00506AE6">
        <w:trPr>
          <w:trHeight w:val="20"/>
          <w:jc w:val="right"/>
        </w:trPr>
        <w:tc>
          <w:tcPr>
            <w:tcW w:w="1247" w:type="dxa"/>
            <w:vAlign w:val="center"/>
          </w:tcPr>
          <w:p w:rsidR="00506AE6" w:rsidRDefault="0072598A">
            <w:pPr>
              <w:adjustRightInd w:val="0"/>
              <w:snapToGrid w:val="0"/>
              <w:spacing w:line="240" w:lineRule="auto"/>
              <w:ind w:firstLineChars="0" w:firstLine="0"/>
              <w:jc w:val="left"/>
              <w:rPr>
                <w:i/>
                <w:iCs/>
                <w:szCs w:val="21"/>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ck</m:t>
                    </m:r>
                    <m:r>
                      <w:rPr>
                        <w:rFonts w:ascii="Cambria Math" w:hAnsi="Cambria Math"/>
                      </w:rPr>
                      <m:t>过程</m:t>
                    </m:r>
                    <m:r>
                      <w:rPr>
                        <w:rFonts w:ascii="Cambria Math" w:hAnsi="Cambria Math"/>
                      </w:rPr>
                      <m:t>,</m:t>
                    </m:r>
                    <m:r>
                      <w:rPr>
                        <w:rFonts w:ascii="Cambria Math" w:hAnsi="Cambria Math"/>
                      </w:rPr>
                      <m:t>j</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6746" w:type="dxa"/>
            <w:vAlign w:val="center"/>
          </w:tcPr>
          <w:p w:rsidR="00506AE6" w:rsidRDefault="0072598A">
            <w:pPr>
              <w:adjustRightInd w:val="0"/>
              <w:snapToGrid w:val="0"/>
              <w:spacing w:line="240" w:lineRule="auto"/>
              <w:ind w:firstLineChars="0" w:firstLine="0"/>
              <w:jc w:val="left"/>
            </w:pPr>
            <w:r>
              <w:rPr>
                <w:rFonts w:hint="eastAsia"/>
              </w:rPr>
              <w:t>熟料生产线</w:t>
            </w:r>
            <m:oMath>
              <m:r>
                <w:rPr>
                  <w:rFonts w:ascii="Cambria Math" w:hAnsi="Cambria Math" w:hint="eastAsia"/>
                  <w:szCs w:val="21"/>
                </w:rPr>
                <m:t>j</m:t>
              </m:r>
            </m:oMath>
            <w:r>
              <w:rPr>
                <w:szCs w:val="21"/>
              </w:rPr>
              <w:t>的</w:t>
            </w:r>
            <w:r>
              <w:rPr>
                <w:rFonts w:hint="eastAsia"/>
              </w:rPr>
              <w:t>过程排放量，单位为吨二氧化碳（</w:t>
            </w:r>
            <w:r>
              <w:rPr>
                <w:rFonts w:hint="eastAsia"/>
              </w:rPr>
              <w:t>t</w:t>
            </w:r>
            <w:r>
              <w:t>CO</w:t>
            </w:r>
            <w:r>
              <w:rPr>
                <w:vertAlign w:val="subscript"/>
              </w:rPr>
              <w:t>2</w:t>
            </w:r>
            <w:r>
              <w:rPr>
                <w:rFonts w:hint="eastAsia"/>
              </w:rPr>
              <w:t>）</w:t>
            </w:r>
            <w:r>
              <w:rPr>
                <w:rFonts w:hint="eastAsia"/>
              </w:rPr>
              <w:t>。</w:t>
            </w:r>
          </w:p>
        </w:tc>
      </w:tr>
    </w:tbl>
    <w:p w:rsidR="00506AE6" w:rsidRDefault="0072598A">
      <w:pPr>
        <w:pStyle w:val="a4"/>
        <w:numPr>
          <w:ilvl w:val="2"/>
          <w:numId w:val="1"/>
        </w:numPr>
        <w:spacing w:before="156" w:after="156" w:line="360" w:lineRule="exact"/>
        <w:rPr>
          <w:rFonts w:ascii="Times New Roman"/>
        </w:rPr>
      </w:pPr>
      <w:bookmarkStart w:id="314" w:name="_Ref144289827"/>
      <w:r>
        <w:rPr>
          <w:rFonts w:ascii="Times New Roman" w:hint="eastAsia"/>
        </w:rPr>
        <w:t>数据的监测与获取</w:t>
      </w:r>
      <w:bookmarkEnd w:id="314"/>
    </w:p>
    <w:p w:rsidR="00506AE6" w:rsidRDefault="0072598A">
      <w:pPr>
        <w:pStyle w:val="affa"/>
        <w:numPr>
          <w:ilvl w:val="1"/>
          <w:numId w:val="0"/>
        </w:numPr>
        <w:tabs>
          <w:tab w:val="clear" w:pos="-420"/>
          <w:tab w:val="clear" w:pos="0"/>
        </w:tabs>
        <w:spacing w:before="156" w:after="156" w:line="360" w:lineRule="exact"/>
        <w:ind w:firstLineChars="200" w:firstLine="420"/>
      </w:pPr>
      <w:bookmarkStart w:id="315" w:name="_Ref143248080"/>
      <w:r>
        <w:rPr>
          <w:rFonts w:hint="eastAsia"/>
        </w:rPr>
        <w:t>熟料生产的过程排放相关参数</w:t>
      </w:r>
      <w:bookmarkEnd w:id="315"/>
      <w:r>
        <w:t>的监测与获取</w:t>
      </w:r>
      <w:r>
        <w:rPr>
          <w:rFonts w:hint="eastAsia"/>
        </w:rPr>
        <w:t>应满足</w:t>
      </w:r>
      <w:r>
        <w:rPr>
          <w:rFonts w:hint="eastAsia"/>
        </w:rPr>
        <w:t>6</w:t>
      </w:r>
      <w:r>
        <w:t>.2.2</w:t>
      </w:r>
      <w:r>
        <w:rPr>
          <w:rFonts w:hint="eastAsia"/>
        </w:rPr>
        <w:t>的要求</w:t>
      </w:r>
      <w:r>
        <w:t>。</w:t>
      </w:r>
    </w:p>
    <w:p w:rsidR="00506AE6" w:rsidRDefault="0072598A">
      <w:pPr>
        <w:pStyle w:val="a4"/>
        <w:spacing w:beforeLines="100" w:before="312" w:after="156" w:line="360" w:lineRule="exact"/>
        <w:ind w:left="0"/>
        <w:outlineLvl w:val="1"/>
        <w:rPr>
          <w:rFonts w:ascii="Times New Roman"/>
        </w:rPr>
      </w:pPr>
      <w:bookmarkStart w:id="316" w:name="_Toc144282468"/>
      <w:r>
        <w:rPr>
          <w:rFonts w:ascii="Times New Roman" w:hint="eastAsia"/>
        </w:rPr>
        <w:t>净购入使用电力产生的排放核算要求</w:t>
      </w:r>
      <w:bookmarkEnd w:id="316"/>
    </w:p>
    <w:p w:rsidR="00506AE6" w:rsidRDefault="0072598A">
      <w:pPr>
        <w:pStyle w:val="a4"/>
        <w:numPr>
          <w:ilvl w:val="2"/>
          <w:numId w:val="1"/>
        </w:numPr>
        <w:spacing w:before="156" w:after="156" w:line="360" w:lineRule="exact"/>
        <w:rPr>
          <w:rFonts w:ascii="Times New Roman"/>
        </w:rPr>
      </w:pPr>
      <w:r>
        <w:rPr>
          <w:rFonts w:ascii="Times New Roman" w:hint="eastAsia"/>
        </w:rPr>
        <w:t>计算公式</w:t>
      </w:r>
    </w:p>
    <w:p w:rsidR="00506AE6" w:rsidRDefault="0072598A">
      <w:pPr>
        <w:pStyle w:val="affa"/>
        <w:tabs>
          <w:tab w:val="clear" w:pos="-420"/>
          <w:tab w:val="clear" w:pos="0"/>
        </w:tabs>
        <w:spacing w:line="360" w:lineRule="exact"/>
      </w:pPr>
      <w:r>
        <w:rPr>
          <w:rFonts w:hint="eastAsia"/>
        </w:rPr>
        <w:t>净购入使用电力产生的排放量按公式（</w:t>
      </w:r>
      <w:r>
        <w:rPr>
          <w:rFonts w:hint="eastAsia"/>
        </w:rPr>
        <w:t>10</w:t>
      </w:r>
      <w:r>
        <w:rPr>
          <w:rFonts w:hint="eastAsia"/>
        </w:rPr>
        <w:t>）计算。</w:t>
      </w:r>
    </w:p>
    <w:p w:rsidR="00506AE6" w:rsidRDefault="0072598A">
      <w:pPr>
        <w:pStyle w:val="MTDisplayEquation"/>
      </w:pPr>
      <w:r>
        <w:tab/>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电</m:t>
            </m:r>
          </m:sub>
        </m:sSub>
        <m:r>
          <m:rPr>
            <m:sty m:val="p"/>
          </m:rPr>
          <w:rPr>
            <w:rFonts w:ascii="Cambria Math" w:hAnsi="Cambria Math"/>
          </w:rPr>
          <m:t>=</m:t>
        </m:r>
        <m:r>
          <m:rPr>
            <m:sty m:val="p"/>
          </m:rPr>
          <w:rPr>
            <w:rFonts w:ascii="Cambria Math" w:hAnsi="Cambria Math" w:hint="eastAsia"/>
          </w:rPr>
          <m:t>Δ</m:t>
        </m:r>
        <m:r>
          <m:rPr>
            <m:sty m:val="p"/>
          </m:rPr>
          <w:rPr>
            <w:rFonts w:ascii="Cambria Math" w:hAnsi="Cambria Math"/>
          </w:rPr>
          <m:t>A</m:t>
        </m:r>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电</m:t>
            </m:r>
          </m:sub>
        </m:sSub>
        <m:r>
          <m:rPr>
            <m:sty m:val="p"/>
          </m:rPr>
          <w:rPr>
            <w:rFonts w:ascii="Cambria Math" w:hAnsi="Cambria Math"/>
          </w:rPr>
          <m:t>×E</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电</m:t>
            </m:r>
          </m:sub>
        </m:sSub>
      </m:oMath>
      <w:r>
        <w:tab/>
      </w:r>
      <w:r>
        <w:rPr>
          <w:rFonts w:hint="eastAsia"/>
        </w:rPr>
        <w:t>（</w:t>
      </w:r>
      <w:r>
        <w:rPr>
          <w:rFonts w:hint="eastAsia"/>
        </w:rPr>
        <w:t>10</w:t>
      </w:r>
      <w:r>
        <w:rPr>
          <w:rFonts w:hint="eastAsia"/>
        </w:rPr>
        <w:t>）</w:t>
      </w:r>
    </w:p>
    <w:p w:rsidR="00506AE6" w:rsidRDefault="0072598A">
      <w:pPr>
        <w:pStyle w:val="affa"/>
        <w:tabs>
          <w:tab w:val="clear" w:pos="-420"/>
          <w:tab w:val="clear" w:pos="0"/>
        </w:tabs>
        <w:spacing w:line="360" w:lineRule="exact"/>
      </w:pPr>
      <w:r>
        <w:rPr>
          <w:rFonts w:hint="eastAsia"/>
        </w:rPr>
        <w:t>式中：</w:t>
      </w:r>
    </w:p>
    <w:tbl>
      <w:tblPr>
        <w:tblW w:w="8334" w:type="dxa"/>
        <w:jc w:val="right"/>
        <w:tblLayout w:type="fixed"/>
        <w:tblLook w:val="04A0" w:firstRow="1" w:lastRow="0" w:firstColumn="1" w:lastColumn="0" w:noHBand="0" w:noVBand="1"/>
      </w:tblPr>
      <w:tblGrid>
        <w:gridCol w:w="794"/>
        <w:gridCol w:w="340"/>
        <w:gridCol w:w="7200"/>
      </w:tblGrid>
      <w:tr w:rsidR="00506AE6">
        <w:trPr>
          <w:trHeight w:val="20"/>
          <w:jc w:val="right"/>
        </w:trPr>
        <w:tc>
          <w:tcPr>
            <w:tcW w:w="794" w:type="dxa"/>
            <w:vAlign w:val="center"/>
          </w:tcPr>
          <w:p w:rsidR="00506AE6" w:rsidRDefault="0072598A">
            <w:pPr>
              <w:adjustRightInd w:val="0"/>
              <w:snapToGrid w:val="0"/>
              <w:spacing w:line="240" w:lineRule="auto"/>
              <w:ind w:firstLineChars="0" w:firstLine="0"/>
              <w:jc w:val="left"/>
              <w:rPr>
                <w:i/>
                <w:iCs/>
                <w:szCs w:val="21"/>
              </w:rPr>
            </w:pPr>
            <m:oMathPara>
              <m:oMathParaPr>
                <m:jc m:val="left"/>
              </m:oMathParaPr>
              <m:oMath>
                <m:sSub>
                  <m:sSubPr>
                    <m:ctrlPr>
                      <w:rPr>
                        <w:rFonts w:ascii="Cambria Math" w:hAnsi="Cambria Math"/>
                        <w:i/>
                        <w:iCs/>
                      </w:rPr>
                    </m:ctrlPr>
                  </m:sSubPr>
                  <m:e>
                    <m:r>
                      <w:rPr>
                        <w:rFonts w:ascii="Cambria Math" w:hAnsi="Cambria Math"/>
                      </w:rPr>
                      <m:t>E</m:t>
                    </m:r>
                  </m:e>
                  <m:sub>
                    <m:r>
                      <w:rPr>
                        <w:rFonts w:ascii="Cambria Math" w:hAnsi="Cambria Math"/>
                      </w:rPr>
                      <m:t>电</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200" w:type="dxa"/>
            <w:vAlign w:val="center"/>
          </w:tcPr>
          <w:p w:rsidR="00506AE6" w:rsidRDefault="0072598A">
            <w:pPr>
              <w:adjustRightInd w:val="0"/>
              <w:snapToGrid w:val="0"/>
              <w:spacing w:line="240" w:lineRule="auto"/>
              <w:ind w:firstLineChars="0" w:firstLine="0"/>
              <w:jc w:val="left"/>
              <w:rPr>
                <w:szCs w:val="21"/>
              </w:rPr>
            </w:pPr>
            <w:r>
              <w:rPr>
                <w:rFonts w:hint="eastAsia"/>
              </w:rPr>
              <w:t>净购入使用电力产生的排放量，单位为吨二氧化碳（</w:t>
            </w:r>
            <w:r>
              <w:rPr>
                <w:rFonts w:hint="eastAsia"/>
              </w:rPr>
              <w:t>t</w:t>
            </w:r>
            <w:r>
              <w:t>CO</w:t>
            </w:r>
            <w:r>
              <w:rPr>
                <w:vertAlign w:val="subscript"/>
              </w:rPr>
              <w:t>2</w:t>
            </w:r>
            <w:r>
              <w:rPr>
                <w:rFonts w:hint="eastAsia"/>
              </w:rPr>
              <w:t>）；</w:t>
            </w:r>
          </w:p>
        </w:tc>
      </w:tr>
      <w:tr w:rsidR="00506AE6">
        <w:trPr>
          <w:trHeight w:val="20"/>
          <w:jc w:val="right"/>
        </w:trPr>
        <w:tc>
          <w:tcPr>
            <w:tcW w:w="794" w:type="dxa"/>
            <w:vAlign w:val="center"/>
          </w:tcPr>
          <w:p w:rsidR="00506AE6" w:rsidRDefault="0072598A">
            <w:pPr>
              <w:adjustRightInd w:val="0"/>
              <w:snapToGrid w:val="0"/>
              <w:spacing w:line="240" w:lineRule="auto"/>
              <w:ind w:firstLineChars="0" w:firstLine="0"/>
              <w:jc w:val="left"/>
              <w:rPr>
                <w:i/>
                <w:iCs/>
                <w:szCs w:val="21"/>
              </w:rPr>
            </w:pPr>
            <m:oMathPara>
              <m:oMathParaPr>
                <m:jc m:val="left"/>
              </m:oMathParaPr>
              <m:oMath>
                <m:r>
                  <m:rPr>
                    <m:sty m:val="p"/>
                  </m:rPr>
                  <w:rPr>
                    <w:rFonts w:ascii="Cambria Math" w:hAnsi="Cambria Math" w:hint="eastAsia"/>
                  </w:rPr>
                  <m:t>Δ</m:t>
                </m:r>
                <m:r>
                  <w:rPr>
                    <w:rFonts w:ascii="Cambria Math" w:hAnsi="Cambria Math"/>
                  </w:rPr>
                  <m:t>A</m:t>
                </m:r>
                <m:sSub>
                  <m:sSubPr>
                    <m:ctrlPr>
                      <w:rPr>
                        <w:rFonts w:ascii="Cambria Math" w:hAnsi="Cambria Math"/>
                        <w:i/>
                        <w:iCs/>
                      </w:rPr>
                    </m:ctrlPr>
                  </m:sSubPr>
                  <m:e>
                    <m:r>
                      <w:rPr>
                        <w:rFonts w:ascii="Cambria Math" w:hAnsi="Cambria Math"/>
                      </w:rPr>
                      <m:t>D</m:t>
                    </m:r>
                  </m:e>
                  <m:sub>
                    <m:r>
                      <w:rPr>
                        <w:rFonts w:ascii="Cambria Math" w:hAnsi="Cambria Math"/>
                      </w:rPr>
                      <m:t>电</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200" w:type="dxa"/>
            <w:vAlign w:val="center"/>
          </w:tcPr>
          <w:p w:rsidR="00506AE6" w:rsidRDefault="0072598A">
            <w:pPr>
              <w:adjustRightInd w:val="0"/>
              <w:snapToGrid w:val="0"/>
              <w:spacing w:line="240" w:lineRule="auto"/>
              <w:ind w:firstLineChars="0" w:firstLine="0"/>
              <w:jc w:val="left"/>
            </w:pPr>
            <w:r>
              <w:rPr>
                <w:rFonts w:hint="eastAsia"/>
              </w:rPr>
              <w:t>净购入使用电量，单位为兆瓦时（</w:t>
            </w:r>
            <w:r>
              <w:rPr>
                <w:rFonts w:hint="eastAsia"/>
              </w:rPr>
              <w:t>MW</w:t>
            </w:r>
            <w:r>
              <w:t>·</w:t>
            </w:r>
            <w:r>
              <w:rPr>
                <w:rFonts w:hint="eastAsia"/>
              </w:rPr>
              <w:t>h</w:t>
            </w:r>
            <w:r>
              <w:rPr>
                <w:rFonts w:hint="eastAsia"/>
              </w:rPr>
              <w:t>）；</w:t>
            </w:r>
          </w:p>
        </w:tc>
      </w:tr>
      <w:tr w:rsidR="00506AE6">
        <w:trPr>
          <w:trHeight w:val="20"/>
          <w:jc w:val="right"/>
        </w:trPr>
        <w:tc>
          <w:tcPr>
            <w:tcW w:w="794" w:type="dxa"/>
            <w:vAlign w:val="center"/>
          </w:tcPr>
          <w:p w:rsidR="00506AE6" w:rsidRDefault="0072598A">
            <w:pPr>
              <w:adjustRightInd w:val="0"/>
              <w:snapToGrid w:val="0"/>
              <w:spacing w:line="240" w:lineRule="auto"/>
              <w:ind w:firstLineChars="0" w:firstLine="0"/>
              <w:jc w:val="left"/>
            </w:pPr>
            <m:oMathPara>
              <m:oMathParaPr>
                <m:jc m:val="left"/>
              </m:oMathParaPr>
              <m:oMath>
                <m:r>
                  <w:rPr>
                    <w:rFonts w:ascii="Cambria Math" w:hAnsi="Cambria Math"/>
                  </w:rPr>
                  <m:t>E</m:t>
                </m:r>
                <m:sSub>
                  <m:sSubPr>
                    <m:ctrlPr>
                      <w:rPr>
                        <w:rFonts w:ascii="Cambria Math" w:hAnsi="Cambria Math"/>
                        <w:i/>
                      </w:rPr>
                    </m:ctrlPr>
                  </m:sSubPr>
                  <m:e>
                    <m:r>
                      <w:rPr>
                        <w:rFonts w:ascii="Cambria Math" w:hAnsi="Cambria Math"/>
                      </w:rPr>
                      <m:t>F</m:t>
                    </m:r>
                  </m:e>
                  <m:sub>
                    <m:r>
                      <w:rPr>
                        <w:rFonts w:ascii="Cambria Math" w:hAnsi="Cambria Math"/>
                      </w:rPr>
                      <m:t>电</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200" w:type="dxa"/>
            <w:vAlign w:val="center"/>
          </w:tcPr>
          <w:p w:rsidR="00506AE6" w:rsidRDefault="0072598A">
            <w:pPr>
              <w:adjustRightInd w:val="0"/>
              <w:snapToGrid w:val="0"/>
              <w:spacing w:line="240" w:lineRule="auto"/>
              <w:ind w:firstLineChars="0" w:firstLine="0"/>
              <w:jc w:val="left"/>
            </w:pPr>
            <w:r>
              <w:rPr>
                <w:rFonts w:hint="eastAsia"/>
              </w:rPr>
              <w:t>电力排放因子，单位为吨二氧化碳每兆瓦时（</w:t>
            </w:r>
            <w:r>
              <w:rPr>
                <w:rFonts w:hint="eastAsia"/>
              </w:rPr>
              <w:t>tCO</w:t>
            </w:r>
            <w:r>
              <w:rPr>
                <w:rFonts w:hint="eastAsia"/>
                <w:vertAlign w:val="subscript"/>
              </w:rPr>
              <w:t>2</w:t>
            </w:r>
            <w:r>
              <w:rPr>
                <w:rFonts w:hint="eastAsia"/>
              </w:rPr>
              <w:t>/MW</w:t>
            </w:r>
            <w:r>
              <w:t>·</w:t>
            </w:r>
            <w:r>
              <w:rPr>
                <w:rFonts w:hint="eastAsia"/>
              </w:rPr>
              <w:t>h</w:t>
            </w:r>
            <w:r>
              <w:rPr>
                <w:rFonts w:hint="eastAsia"/>
              </w:rPr>
              <w:t>）。</w:t>
            </w:r>
          </w:p>
        </w:tc>
      </w:tr>
    </w:tbl>
    <w:p w:rsidR="00506AE6" w:rsidRDefault="0072598A">
      <w:pPr>
        <w:spacing w:line="240" w:lineRule="auto"/>
        <w:ind w:firstLineChars="400" w:firstLine="840"/>
        <w:jc w:val="right"/>
        <w:rPr>
          <w:rFonts w:hAnsi="Cambria Math"/>
        </w:rPr>
      </w:pPr>
      <m:oMath>
        <m:sSub>
          <m:sSubPr>
            <m:ctrlPr>
              <w:rPr>
                <w:rFonts w:ascii="Cambria Math" w:hAnsi="Cambria Math"/>
              </w:rPr>
            </m:ctrlPr>
          </m:sSubPr>
          <m:e>
            <m:r>
              <m:rPr>
                <m:sty m:val="p"/>
              </m:rPr>
              <w:rPr>
                <w:rFonts w:ascii="Cambria Math" w:hAnsi="Cambria Math" w:hint="eastAsia"/>
              </w:rPr>
              <m:t>Δ</m:t>
            </m:r>
            <m:r>
              <m:rPr>
                <m:sty m:val="p"/>
              </m:rPr>
              <w:rPr>
                <w:rFonts w:ascii="Cambria Math" w:hAnsi="Cambria Math"/>
              </w:rPr>
              <m:t>AD</m:t>
            </m:r>
          </m:e>
          <m:sub>
            <m:r>
              <m:rPr>
                <m:sty m:val="p"/>
              </m:rPr>
              <w:rPr>
                <w:rFonts w:ascii="Cambria Math" w:hAnsi="Cambria Math" w:hint="eastAsia"/>
              </w:rPr>
              <m:t>电</m:t>
            </m:r>
          </m:sub>
        </m:sSub>
        <m:r>
          <m:rPr>
            <m:sty m:val="p"/>
          </m:rPr>
          <w:rPr>
            <w:rFonts w:ascii="Cambria Math" w:hAnsi="Cambria Math"/>
          </w:rPr>
          <m:t>=</m:t>
        </m:r>
        <m:d>
          <m:dPr>
            <m:ctrlPr>
              <w:rPr>
                <w:rFonts w:ascii="Cambria Math" w:hAnsi="Cambria Math"/>
              </w:rPr>
            </m:ctrlPr>
          </m:dPr>
          <m:e>
            <m:r>
              <m:rPr>
                <m:sty m:val="p"/>
              </m:rPr>
              <w:rPr>
                <w:rFonts w:ascii="Cambria Math" w:hAnsi="Cambria Math"/>
                <w:szCs w:val="21"/>
              </w:rPr>
              <m:t>A</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cs="宋体" w:hint="eastAsia"/>
                    <w:szCs w:val="21"/>
                  </w:rPr>
                  <m:t>购入电</m:t>
                </m:r>
              </m:sub>
            </m:sSub>
            <m:r>
              <m:rPr>
                <m:sty m:val="p"/>
              </m:rPr>
              <w:rPr>
                <w:rFonts w:ascii="Cambria Math" w:hAnsi="Cambria Math"/>
              </w:rPr>
              <m:t>-</m:t>
            </m:r>
            <m:r>
              <m:rPr>
                <m:sty m:val="p"/>
              </m:rPr>
              <w:rPr>
                <w:rFonts w:ascii="Cambria Math" w:hAnsi="Cambria Math"/>
              </w:rPr>
              <m:t>A</m:t>
            </m:r>
            <m:sSub>
              <m:sSubPr>
                <m:ctrlPr>
                  <w:rPr>
                    <w:rFonts w:ascii="Cambria Math" w:hAnsi="Cambria Math" w:hint="eastAsia"/>
                  </w:rPr>
                </m:ctrlPr>
              </m:sSubPr>
              <m:e>
                <m:r>
                  <m:rPr>
                    <m:sty m:val="p"/>
                  </m:rPr>
                  <w:rPr>
                    <w:rFonts w:ascii="Cambria Math" w:hAnsi="Cambria Math"/>
                  </w:rPr>
                  <m:t>D</m:t>
                </m:r>
              </m:e>
              <m:sub>
                <m:r>
                  <m:rPr>
                    <m:sty m:val="p"/>
                  </m:rPr>
                  <w:rPr>
                    <w:rFonts w:ascii="Cambria Math" w:hAnsi="Cambria Math" w:hint="eastAsia"/>
                  </w:rPr>
                  <m:t>购入电网非化石电</m:t>
                </m:r>
              </m:sub>
            </m:sSub>
          </m:e>
        </m:d>
        <m:r>
          <m:rPr>
            <m:sty m:val="p"/>
          </m:rPr>
          <w:rPr>
            <w:rFonts w:ascii="Cambria Math" w:hAnsi="Cambria Math"/>
          </w:rPr>
          <m:t>-</m:t>
        </m:r>
        <m:d>
          <m:dPr>
            <m:ctrlPr>
              <w:rPr>
                <w:rFonts w:ascii="Cambria Math" w:hAnsi="Cambria Math"/>
              </w:rPr>
            </m:ctrlPr>
          </m:dPr>
          <m:e>
            <m:r>
              <m:rPr>
                <m:sty m:val="p"/>
              </m:rPr>
              <w:rPr>
                <w:rFonts w:ascii="Cambria Math" w:hAnsi="Cambria Math"/>
                <w:szCs w:val="21"/>
              </w:rPr>
              <m:t>A</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cs="宋体" w:hint="eastAsia"/>
                    <w:szCs w:val="21"/>
                  </w:rPr>
                  <m:t>输出电</m:t>
                </m:r>
              </m:sub>
            </m:sSub>
            <m:r>
              <m:rPr>
                <m:sty m:val="p"/>
              </m:rPr>
              <w:rPr>
                <w:rFonts w:ascii="Cambria Math" w:hAnsi="Cambria Math"/>
              </w:rPr>
              <m:t>-</m:t>
            </m:r>
            <m:r>
              <m:rPr>
                <m:sty m:val="p"/>
              </m:rPr>
              <w:rPr>
                <w:rFonts w:ascii="Cambria Math" w:hAnsi="Cambria Math"/>
              </w:rPr>
              <m:t>A</m:t>
            </m:r>
            <m:sSub>
              <m:sSubPr>
                <m:ctrlPr>
                  <w:rPr>
                    <w:rFonts w:ascii="Cambria Math" w:hAnsi="Cambria Math" w:hint="eastAsia"/>
                  </w:rPr>
                </m:ctrlPr>
              </m:sSubPr>
              <m:e>
                <m:r>
                  <m:rPr>
                    <m:sty m:val="p"/>
                  </m:rPr>
                  <w:rPr>
                    <w:rFonts w:ascii="Cambria Math" w:hAnsi="Cambria Math"/>
                  </w:rPr>
                  <m:t>D</m:t>
                </m:r>
              </m:e>
              <m:sub>
                <m:r>
                  <m:rPr>
                    <m:sty m:val="p"/>
                  </m:rPr>
                  <w:rPr>
                    <w:rFonts w:ascii="Cambria Math" w:hAnsi="Cambria Math" w:hint="eastAsia"/>
                  </w:rPr>
                  <m:t>输出电网非化石电</m:t>
                </m:r>
              </m:sub>
            </m:sSub>
          </m:e>
        </m:d>
      </m:oMath>
      <w:r>
        <w:rPr>
          <w:rFonts w:hAnsi="Cambria Math" w:hint="eastAsia"/>
        </w:rPr>
        <w:tab/>
      </w:r>
      <w:r>
        <w:rPr>
          <w:rFonts w:hAnsi="Cambria Math" w:hint="eastAsia"/>
        </w:rPr>
        <w:t>（</w:t>
      </w:r>
      <w:r>
        <w:rPr>
          <w:rFonts w:hAnsi="Cambria Math" w:hint="eastAsia"/>
        </w:rPr>
        <w:t>11</w:t>
      </w:r>
      <w:r>
        <w:rPr>
          <w:rFonts w:hAnsi="Cambria Math" w:hint="eastAsia"/>
        </w:rPr>
        <w:t>）</w:t>
      </w:r>
    </w:p>
    <w:p w:rsidR="00506AE6" w:rsidRDefault="00506AE6">
      <w:pPr>
        <w:ind w:firstLineChars="1304" w:firstLine="2738"/>
        <w:jc w:val="right"/>
        <w:rPr>
          <w:rFonts w:hAnsi="Cambria Math"/>
        </w:rPr>
      </w:pPr>
    </w:p>
    <w:p w:rsidR="00506AE6" w:rsidRDefault="0072598A">
      <w:pPr>
        <w:pStyle w:val="affa"/>
        <w:tabs>
          <w:tab w:val="clear" w:pos="-420"/>
          <w:tab w:val="clear" w:pos="0"/>
        </w:tabs>
        <w:spacing w:line="360" w:lineRule="exact"/>
        <w:rPr>
          <w:rFonts w:hAnsi="Cambria Math"/>
        </w:rPr>
      </w:pPr>
      <w:r>
        <w:rPr>
          <w:szCs w:val="21"/>
        </w:rPr>
        <w:t>式中</w:t>
      </w:r>
      <w:r>
        <w:rPr>
          <w:rFonts w:hint="eastAsia"/>
          <w:szCs w:val="21"/>
        </w:rPr>
        <w:t>：</w:t>
      </w:r>
    </w:p>
    <w:tbl>
      <w:tblPr>
        <w:tblW w:w="8362" w:type="dxa"/>
        <w:jc w:val="right"/>
        <w:tblLayout w:type="fixed"/>
        <w:tblLook w:val="04A0" w:firstRow="1" w:lastRow="0" w:firstColumn="1" w:lastColumn="0" w:noHBand="0" w:noVBand="1"/>
      </w:tblPr>
      <w:tblGrid>
        <w:gridCol w:w="1755"/>
        <w:gridCol w:w="379"/>
        <w:gridCol w:w="6228"/>
      </w:tblGrid>
      <w:tr w:rsidR="00506AE6">
        <w:trPr>
          <w:trHeight w:val="454"/>
          <w:jc w:val="right"/>
        </w:trPr>
        <w:tc>
          <w:tcPr>
            <w:tcW w:w="1755" w:type="dxa"/>
          </w:tcPr>
          <w:p w:rsidR="00506AE6" w:rsidRDefault="0072598A">
            <w:pPr>
              <w:adjustRightInd w:val="0"/>
              <w:snapToGrid w:val="0"/>
              <w:spacing w:line="240" w:lineRule="auto"/>
              <w:ind w:firstLineChars="0" w:firstLine="0"/>
              <w:jc w:val="left"/>
              <w:rPr>
                <w:i/>
                <w:iCs/>
                <w:szCs w:val="21"/>
              </w:rPr>
            </w:pPr>
            <m:oMathPara>
              <m:oMathParaPr>
                <m:jc m:val="left"/>
              </m:oMathParaPr>
              <m:oMath>
                <m:r>
                  <w:rPr>
                    <w:rFonts w:ascii="Cambria Math" w:hAnsi="Cambria Math"/>
                    <w:szCs w:val="21"/>
                  </w:rPr>
                  <m:t>A</m:t>
                </m:r>
                <m:sSub>
                  <m:sSubPr>
                    <m:ctrlPr>
                      <w:rPr>
                        <w:rFonts w:ascii="Cambria Math" w:hAnsi="Cambria Math"/>
                        <w:szCs w:val="21"/>
                      </w:rPr>
                    </m:ctrlPr>
                  </m:sSubPr>
                  <m:e>
                    <m:r>
                      <w:rPr>
                        <w:rFonts w:ascii="Cambria Math" w:hAnsi="Cambria Math"/>
                        <w:szCs w:val="21"/>
                      </w:rPr>
                      <m:t>D</m:t>
                    </m:r>
                  </m:e>
                  <m:sub>
                    <m:r>
                      <w:rPr>
                        <w:rFonts w:ascii="Cambria Math" w:hAnsi="Cambria Math" w:cs="宋体" w:hint="eastAsia"/>
                        <w:szCs w:val="21"/>
                      </w:rPr>
                      <m:t>购入电</m:t>
                    </m:r>
                  </m:sub>
                </m:sSub>
              </m:oMath>
            </m:oMathPara>
          </w:p>
        </w:tc>
        <w:tc>
          <w:tcPr>
            <w:tcW w:w="379" w:type="dxa"/>
          </w:tcPr>
          <w:p w:rsidR="00506AE6" w:rsidRDefault="0072598A">
            <w:pPr>
              <w:adjustRightInd w:val="0"/>
              <w:snapToGrid w:val="0"/>
              <w:spacing w:line="240" w:lineRule="auto"/>
              <w:ind w:firstLineChars="0" w:firstLine="0"/>
              <w:jc w:val="left"/>
              <w:rPr>
                <w:szCs w:val="21"/>
              </w:rPr>
            </w:pPr>
            <w:r>
              <w:rPr>
                <w:szCs w:val="21"/>
              </w:rPr>
              <w:t>—</w:t>
            </w:r>
          </w:p>
        </w:tc>
        <w:tc>
          <w:tcPr>
            <w:tcW w:w="6228" w:type="dxa"/>
          </w:tcPr>
          <w:p w:rsidR="00506AE6" w:rsidRDefault="0072598A">
            <w:pPr>
              <w:adjustRightInd w:val="0"/>
              <w:snapToGrid w:val="0"/>
              <w:spacing w:line="240" w:lineRule="auto"/>
              <w:ind w:firstLineChars="0" w:firstLine="0"/>
              <w:jc w:val="left"/>
              <w:rPr>
                <w:szCs w:val="21"/>
              </w:rPr>
            </w:pPr>
            <w:r>
              <w:rPr>
                <w:rFonts w:hint="eastAsia"/>
                <w:szCs w:val="21"/>
              </w:rPr>
              <w:t>购入的总电量，包括购入的电网电量和购入的未并入市政电网的余热电量、化石能源电量和非化石能源电量，</w:t>
            </w:r>
            <w:r>
              <w:rPr>
                <w:szCs w:val="21"/>
              </w:rPr>
              <w:t>单位为兆瓦时（</w:t>
            </w:r>
            <w:r>
              <w:rPr>
                <w:szCs w:val="21"/>
              </w:rPr>
              <w:t>MW</w:t>
            </w:r>
            <w:r>
              <w:rPr>
                <w:rFonts w:ascii="微软雅黑" w:eastAsia="微软雅黑" w:hAnsi="微软雅黑" w:cs="微软雅黑" w:hint="eastAsia"/>
                <w:szCs w:val="21"/>
              </w:rPr>
              <w:t>∙</w:t>
            </w:r>
            <w:r>
              <w:rPr>
                <w:szCs w:val="21"/>
              </w:rPr>
              <w:t>h</w:t>
            </w:r>
            <w:r>
              <w:rPr>
                <w:szCs w:val="21"/>
              </w:rPr>
              <w:t>）；</w:t>
            </w:r>
          </w:p>
        </w:tc>
      </w:tr>
      <w:tr w:rsidR="00506AE6">
        <w:trPr>
          <w:trHeight w:val="454"/>
          <w:jc w:val="right"/>
        </w:trPr>
        <w:tc>
          <w:tcPr>
            <w:tcW w:w="1755" w:type="dxa"/>
            <w:vAlign w:val="center"/>
          </w:tcPr>
          <w:p w:rsidR="00506AE6" w:rsidRDefault="0072598A">
            <w:pPr>
              <w:adjustRightInd w:val="0"/>
              <w:snapToGrid w:val="0"/>
              <w:spacing w:line="240" w:lineRule="auto"/>
              <w:ind w:firstLineChars="0" w:firstLine="0"/>
              <w:jc w:val="left"/>
              <w:rPr>
                <w:i/>
                <w:iCs/>
                <w:szCs w:val="21"/>
              </w:rPr>
            </w:pPr>
            <m:oMathPara>
              <m:oMathParaPr>
                <m:jc m:val="left"/>
              </m:oMathParaPr>
              <m:oMath>
                <m:r>
                  <w:rPr>
                    <w:rFonts w:ascii="Cambria Math" w:hAnsi="Cambria Math"/>
                    <w:szCs w:val="21"/>
                  </w:rPr>
                  <m:t>A</m:t>
                </m:r>
                <m:sSub>
                  <m:sSubPr>
                    <m:ctrlPr>
                      <w:rPr>
                        <w:rFonts w:ascii="Cambria Math" w:hAnsi="Cambria Math"/>
                        <w:szCs w:val="21"/>
                      </w:rPr>
                    </m:ctrlPr>
                  </m:sSubPr>
                  <m:e>
                    <m:r>
                      <w:rPr>
                        <w:rFonts w:ascii="Cambria Math" w:hAnsi="Cambria Math"/>
                        <w:szCs w:val="21"/>
                      </w:rPr>
                      <m:t>D</m:t>
                    </m:r>
                  </m:e>
                  <m:sub>
                    <m:r>
                      <w:rPr>
                        <w:rFonts w:ascii="Cambria Math" w:hAnsi="Cambria Math" w:cs="宋体" w:hint="eastAsia"/>
                        <w:szCs w:val="21"/>
                      </w:rPr>
                      <m:t>输出电</m:t>
                    </m:r>
                  </m:sub>
                </m:sSub>
              </m:oMath>
            </m:oMathPara>
          </w:p>
        </w:tc>
        <w:tc>
          <w:tcPr>
            <w:tcW w:w="379"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6228" w:type="dxa"/>
            <w:vAlign w:val="center"/>
          </w:tcPr>
          <w:p w:rsidR="00506AE6" w:rsidRDefault="0072598A">
            <w:pPr>
              <w:adjustRightInd w:val="0"/>
              <w:snapToGrid w:val="0"/>
              <w:spacing w:line="240" w:lineRule="auto"/>
              <w:ind w:firstLineChars="0" w:firstLine="0"/>
              <w:jc w:val="left"/>
              <w:rPr>
                <w:szCs w:val="21"/>
              </w:rPr>
            </w:pPr>
            <w:r>
              <w:rPr>
                <w:rFonts w:hint="eastAsia"/>
                <w:szCs w:val="21"/>
              </w:rPr>
              <w:t>转供输出的总电量，</w:t>
            </w:r>
            <w:r>
              <w:rPr>
                <w:szCs w:val="21"/>
              </w:rPr>
              <w:t>单位为兆瓦时（</w:t>
            </w:r>
            <w:r>
              <w:rPr>
                <w:szCs w:val="21"/>
              </w:rPr>
              <w:t>MW</w:t>
            </w:r>
            <w:r>
              <w:rPr>
                <w:rFonts w:ascii="微软雅黑" w:eastAsia="微软雅黑" w:hAnsi="微软雅黑" w:cs="微软雅黑" w:hint="eastAsia"/>
                <w:szCs w:val="21"/>
              </w:rPr>
              <w:t>∙</w:t>
            </w:r>
            <w:r>
              <w:rPr>
                <w:szCs w:val="21"/>
              </w:rPr>
              <w:t>h</w:t>
            </w:r>
            <w:r>
              <w:rPr>
                <w:szCs w:val="21"/>
              </w:rPr>
              <w:t>）；</w:t>
            </w:r>
          </w:p>
        </w:tc>
      </w:tr>
      <w:tr w:rsidR="00506AE6">
        <w:trPr>
          <w:trHeight w:val="680"/>
          <w:jc w:val="right"/>
        </w:trPr>
        <w:tc>
          <w:tcPr>
            <w:tcW w:w="1755" w:type="dxa"/>
          </w:tcPr>
          <w:p w:rsidR="00506AE6" w:rsidRDefault="0072598A">
            <w:pPr>
              <w:adjustRightInd w:val="0"/>
              <w:snapToGrid w:val="0"/>
              <w:spacing w:line="240" w:lineRule="auto"/>
              <w:ind w:firstLineChars="0" w:firstLine="0"/>
              <w:jc w:val="left"/>
              <w:rPr>
                <w:i/>
                <w:iCs/>
                <w:szCs w:val="21"/>
              </w:rPr>
            </w:pPr>
            <m:oMathPara>
              <m:oMathParaPr>
                <m:jc m:val="left"/>
              </m:oMathParaPr>
              <m:oMath>
                <m:r>
                  <w:rPr>
                    <w:rFonts w:ascii="Cambria Math" w:hAnsi="Cambria Math" w:cs="宋体"/>
                    <w:szCs w:val="21"/>
                  </w:rPr>
                  <m:t>A</m:t>
                </m:r>
                <m:sSub>
                  <m:sSubPr>
                    <m:ctrlPr>
                      <w:rPr>
                        <w:rFonts w:ascii="Cambria Math" w:hAnsi="Cambria Math" w:cs="宋体" w:hint="eastAsia"/>
                        <w:szCs w:val="21"/>
                      </w:rPr>
                    </m:ctrlPr>
                  </m:sSubPr>
                  <m:e>
                    <m:r>
                      <w:rPr>
                        <w:rFonts w:ascii="Cambria Math" w:hAnsi="Cambria Math" w:cs="宋体"/>
                        <w:szCs w:val="21"/>
                      </w:rPr>
                      <m:t>D</m:t>
                    </m:r>
                  </m:e>
                  <m:sub>
                    <m:r>
                      <w:rPr>
                        <w:rFonts w:ascii="Cambria Math" w:hAnsi="Cambria Math" w:cs="宋体" w:hint="eastAsia"/>
                        <w:szCs w:val="21"/>
                      </w:rPr>
                      <m:t>购入电网非化石电</m:t>
                    </m:r>
                  </m:sub>
                </m:sSub>
              </m:oMath>
            </m:oMathPara>
          </w:p>
        </w:tc>
        <w:tc>
          <w:tcPr>
            <w:tcW w:w="379" w:type="dxa"/>
          </w:tcPr>
          <w:p w:rsidR="00506AE6" w:rsidRDefault="0072598A">
            <w:pPr>
              <w:adjustRightInd w:val="0"/>
              <w:snapToGrid w:val="0"/>
              <w:spacing w:line="240" w:lineRule="auto"/>
              <w:ind w:firstLineChars="0" w:firstLine="0"/>
              <w:jc w:val="left"/>
              <w:rPr>
                <w:szCs w:val="21"/>
              </w:rPr>
            </w:pPr>
            <w:r>
              <w:rPr>
                <w:szCs w:val="21"/>
              </w:rPr>
              <w:t>—</w:t>
            </w:r>
          </w:p>
        </w:tc>
        <w:tc>
          <w:tcPr>
            <w:tcW w:w="6228" w:type="dxa"/>
          </w:tcPr>
          <w:p w:rsidR="00506AE6" w:rsidRDefault="0072598A">
            <w:pPr>
              <w:adjustRightInd w:val="0"/>
              <w:snapToGrid w:val="0"/>
              <w:spacing w:line="240" w:lineRule="auto"/>
              <w:ind w:firstLineChars="0" w:firstLine="0"/>
              <w:jc w:val="left"/>
              <w:rPr>
                <w:szCs w:val="21"/>
              </w:rPr>
            </w:pPr>
            <w:r>
              <w:rPr>
                <w:rFonts w:hint="eastAsia"/>
                <w:szCs w:val="21"/>
              </w:rPr>
              <w:t>通过市场化交易购入使用的非化石能源电力消费量，单位为兆瓦时（</w:t>
            </w:r>
            <w:r>
              <w:rPr>
                <w:szCs w:val="21"/>
              </w:rPr>
              <w:t>MW∙h</w:t>
            </w:r>
            <w:r>
              <w:rPr>
                <w:rFonts w:hint="eastAsia"/>
                <w:szCs w:val="21"/>
              </w:rPr>
              <w:t>）；</w:t>
            </w:r>
          </w:p>
        </w:tc>
      </w:tr>
      <w:tr w:rsidR="00506AE6">
        <w:trPr>
          <w:trHeight w:val="680"/>
          <w:jc w:val="right"/>
        </w:trPr>
        <w:tc>
          <w:tcPr>
            <w:tcW w:w="1755" w:type="dxa"/>
          </w:tcPr>
          <w:p w:rsidR="00506AE6" w:rsidRDefault="0072598A">
            <w:pPr>
              <w:adjustRightInd w:val="0"/>
              <w:snapToGrid w:val="0"/>
              <w:spacing w:line="240" w:lineRule="auto"/>
              <w:ind w:firstLineChars="0" w:firstLine="0"/>
              <w:jc w:val="left"/>
              <w:rPr>
                <w:rFonts w:ascii="Cambria Math" w:hAnsi="Cambria Math"/>
                <w:szCs w:val="21"/>
              </w:rPr>
            </w:pPr>
            <m:oMathPara>
              <m:oMathParaPr>
                <m:jc m:val="left"/>
              </m:oMathParaPr>
              <m:oMath>
                <m:r>
                  <w:rPr>
                    <w:rFonts w:ascii="Cambria Math" w:hAnsi="Cambria Math" w:cs="宋体"/>
                    <w:szCs w:val="21"/>
                  </w:rPr>
                  <m:t>A</m:t>
                </m:r>
                <m:sSub>
                  <m:sSubPr>
                    <m:ctrlPr>
                      <w:rPr>
                        <w:rFonts w:ascii="Cambria Math" w:hAnsi="Cambria Math" w:cs="宋体" w:hint="eastAsia"/>
                        <w:szCs w:val="21"/>
                      </w:rPr>
                    </m:ctrlPr>
                  </m:sSubPr>
                  <m:e>
                    <m:r>
                      <w:rPr>
                        <w:rFonts w:ascii="Cambria Math" w:hAnsi="Cambria Math" w:cs="宋体"/>
                        <w:szCs w:val="21"/>
                      </w:rPr>
                      <m:t>D</m:t>
                    </m:r>
                  </m:e>
                  <m:sub>
                    <m:r>
                      <w:rPr>
                        <w:rFonts w:ascii="Cambria Math" w:hAnsi="Cambria Math" w:cs="宋体" w:hint="eastAsia"/>
                        <w:szCs w:val="21"/>
                      </w:rPr>
                      <m:t>输出电网非化石电</m:t>
                    </m:r>
                  </m:sub>
                </m:sSub>
              </m:oMath>
            </m:oMathPara>
          </w:p>
        </w:tc>
        <w:tc>
          <w:tcPr>
            <w:tcW w:w="379" w:type="dxa"/>
          </w:tcPr>
          <w:p w:rsidR="00506AE6" w:rsidRDefault="0072598A">
            <w:pPr>
              <w:adjustRightInd w:val="0"/>
              <w:snapToGrid w:val="0"/>
              <w:spacing w:line="240" w:lineRule="auto"/>
              <w:ind w:firstLineChars="0" w:firstLine="0"/>
              <w:jc w:val="left"/>
              <w:rPr>
                <w:szCs w:val="21"/>
              </w:rPr>
            </w:pPr>
            <w:r>
              <w:rPr>
                <w:szCs w:val="21"/>
              </w:rPr>
              <w:t>—</w:t>
            </w:r>
          </w:p>
        </w:tc>
        <w:tc>
          <w:tcPr>
            <w:tcW w:w="6228" w:type="dxa"/>
          </w:tcPr>
          <w:p w:rsidR="00506AE6" w:rsidRDefault="0072598A">
            <w:pPr>
              <w:adjustRightInd w:val="0"/>
              <w:snapToGrid w:val="0"/>
              <w:spacing w:line="240" w:lineRule="auto"/>
              <w:ind w:firstLineChars="0" w:firstLine="0"/>
            </w:pPr>
            <w:r>
              <w:rPr>
                <w:rFonts w:hint="eastAsia"/>
              </w:rPr>
              <w:t>转供输出</w:t>
            </w:r>
            <w:r>
              <w:rPr>
                <w:rFonts w:hint="eastAsia"/>
                <w:szCs w:val="21"/>
              </w:rPr>
              <w:t>的总电量中包括通过市场化交易购入使用的非化石能源电力消费量，按转供输出的总电量×通过市场化交易购入使用的非化石能源电力消费量</w:t>
            </w:r>
            <w:r>
              <w:rPr>
                <w:rFonts w:hint="eastAsia"/>
                <w:szCs w:val="21"/>
              </w:rPr>
              <w:t>/</w:t>
            </w:r>
            <w:r>
              <w:rPr>
                <w:rFonts w:hint="eastAsia"/>
                <w:szCs w:val="21"/>
              </w:rPr>
              <w:t>（购入总电量</w:t>
            </w:r>
            <w:r>
              <w:rPr>
                <w:rFonts w:hint="eastAsia"/>
                <w:szCs w:val="21"/>
              </w:rPr>
              <w:t>+</w:t>
            </w:r>
            <w:r>
              <w:rPr>
                <w:rFonts w:hint="eastAsia"/>
                <w:szCs w:val="21"/>
              </w:rPr>
              <w:t>自发电量－自发上网电量</w:t>
            </w:r>
            <w:r>
              <w:rPr>
                <w:rFonts w:hint="eastAsia"/>
                <w:szCs w:val="21"/>
              </w:rPr>
              <w:t>）计算，</w:t>
            </w:r>
            <w:r>
              <w:rPr>
                <w:rFonts w:hint="eastAsia"/>
                <w:szCs w:val="21"/>
              </w:rPr>
              <w:t>单位为兆瓦时（</w:t>
            </w:r>
            <w:r>
              <w:rPr>
                <w:szCs w:val="21"/>
              </w:rPr>
              <w:t>MW∙h</w:t>
            </w:r>
            <w:r>
              <w:rPr>
                <w:rFonts w:hint="eastAsia"/>
                <w:szCs w:val="21"/>
              </w:rPr>
              <w:t>）。</w:t>
            </w:r>
          </w:p>
        </w:tc>
      </w:tr>
    </w:tbl>
    <w:p w:rsidR="00506AE6" w:rsidRDefault="0072598A">
      <w:pPr>
        <w:pStyle w:val="a4"/>
        <w:numPr>
          <w:ilvl w:val="2"/>
          <w:numId w:val="1"/>
        </w:numPr>
        <w:spacing w:before="156" w:after="156" w:line="360" w:lineRule="exact"/>
        <w:rPr>
          <w:rFonts w:ascii="Times New Roman"/>
        </w:rPr>
      </w:pPr>
      <w:r>
        <w:rPr>
          <w:rFonts w:ascii="Times New Roman" w:hint="eastAsia"/>
        </w:rPr>
        <w:t>数据的监测与获取</w:t>
      </w:r>
    </w:p>
    <w:p w:rsidR="00506AE6" w:rsidRDefault="0072598A">
      <w:pPr>
        <w:pStyle w:val="a5"/>
        <w:numPr>
          <w:ilvl w:val="3"/>
          <w:numId w:val="1"/>
        </w:numPr>
        <w:rPr>
          <w:rFonts w:ascii="宋体" w:hAnsi="宋体"/>
        </w:rPr>
      </w:pPr>
      <w:r>
        <w:rPr>
          <w:rFonts w:ascii="宋体" w:hAnsi="宋体" w:hint="eastAsia"/>
        </w:rPr>
        <w:t>购入电量和输出</w:t>
      </w:r>
      <w:r>
        <w:rPr>
          <w:rFonts w:hint="eastAsia"/>
        </w:rPr>
        <w:t>电量根据电表记录的读数统计，读数不可获取时采用结算凭证上的数据。</w:t>
      </w:r>
    </w:p>
    <w:p w:rsidR="00506AE6" w:rsidRDefault="0072598A">
      <w:pPr>
        <w:pStyle w:val="a5"/>
        <w:numPr>
          <w:ilvl w:val="3"/>
          <w:numId w:val="1"/>
        </w:numPr>
      </w:pPr>
      <w:r>
        <w:rPr>
          <w:rFonts w:hint="eastAsia"/>
        </w:rPr>
        <w:lastRenderedPageBreak/>
        <w:t>通过市场化交易</w:t>
      </w:r>
      <w:r>
        <w:rPr>
          <w:rFonts w:ascii="宋体" w:hAnsi="宋体" w:hint="eastAsia"/>
        </w:rPr>
        <w:t>购入</w:t>
      </w:r>
      <w:r>
        <w:rPr>
          <w:rFonts w:hint="eastAsia"/>
        </w:rPr>
        <w:t>使用的非化石能源电力消费量、电表的配备和管理相关要求参考</w:t>
      </w:r>
      <w:r>
        <w:rPr>
          <w:rFonts w:hint="eastAsia"/>
        </w:rPr>
        <w:t>6.3.2</w:t>
      </w:r>
      <w:r>
        <w:rPr>
          <w:rFonts w:hint="eastAsia"/>
        </w:rPr>
        <w:t>章节。</w:t>
      </w:r>
    </w:p>
    <w:p w:rsidR="00506AE6" w:rsidRDefault="0072598A">
      <w:pPr>
        <w:pStyle w:val="a5"/>
        <w:numPr>
          <w:ilvl w:val="3"/>
          <w:numId w:val="1"/>
        </w:numPr>
      </w:pPr>
      <w:r>
        <w:t>电力排放因子</w:t>
      </w:r>
      <w:r>
        <w:rPr>
          <w:rFonts w:hint="eastAsia"/>
        </w:rPr>
        <w:t>相关要求参考</w:t>
      </w:r>
      <w:r>
        <w:rPr>
          <w:rFonts w:hint="eastAsia"/>
        </w:rPr>
        <w:t>6.3.2</w:t>
      </w:r>
      <w:r>
        <w:rPr>
          <w:rFonts w:hint="eastAsia"/>
        </w:rPr>
        <w:t>章节</w:t>
      </w:r>
      <w:r>
        <w:t>。</w:t>
      </w:r>
    </w:p>
    <w:p w:rsidR="00506AE6" w:rsidRDefault="0072598A">
      <w:pPr>
        <w:pStyle w:val="a4"/>
        <w:spacing w:beforeLines="100" w:before="312" w:after="156" w:line="360" w:lineRule="exact"/>
        <w:ind w:left="0"/>
        <w:outlineLvl w:val="1"/>
        <w:rPr>
          <w:rFonts w:ascii="Times New Roman"/>
        </w:rPr>
      </w:pPr>
      <w:bookmarkStart w:id="317" w:name="_Toc144282469"/>
      <w:r>
        <w:rPr>
          <w:rFonts w:ascii="Times New Roman" w:hint="eastAsia"/>
        </w:rPr>
        <w:t>净购入使用热力产生的排放核算要求</w:t>
      </w:r>
    </w:p>
    <w:p w:rsidR="00506AE6" w:rsidRDefault="0072598A">
      <w:pPr>
        <w:pStyle w:val="a4"/>
        <w:numPr>
          <w:ilvl w:val="2"/>
          <w:numId w:val="1"/>
        </w:numPr>
        <w:spacing w:before="156" w:after="156" w:line="360" w:lineRule="exact"/>
        <w:rPr>
          <w:rFonts w:ascii="Times New Roman"/>
        </w:rPr>
      </w:pPr>
      <w:r>
        <w:rPr>
          <w:rFonts w:ascii="Times New Roman" w:hint="eastAsia"/>
        </w:rPr>
        <w:t>计算公式</w:t>
      </w:r>
    </w:p>
    <w:p w:rsidR="00506AE6" w:rsidRDefault="0072598A">
      <w:pPr>
        <w:pStyle w:val="affa"/>
        <w:tabs>
          <w:tab w:val="clear" w:pos="-420"/>
          <w:tab w:val="clear" w:pos="0"/>
        </w:tabs>
        <w:spacing w:line="360" w:lineRule="exact"/>
      </w:pPr>
      <w:r>
        <w:rPr>
          <w:rFonts w:hint="eastAsia"/>
        </w:rPr>
        <w:t>净购入使用热力产生</w:t>
      </w:r>
      <w:r>
        <w:rPr>
          <w:rFonts w:hint="eastAsia"/>
        </w:rPr>
        <w:t>的排放量按公式（</w:t>
      </w:r>
      <w:r>
        <w:rPr>
          <w:rFonts w:hint="eastAsia"/>
        </w:rPr>
        <w:t>12</w:t>
      </w:r>
      <w:r>
        <w:rPr>
          <w:rFonts w:hint="eastAsia"/>
        </w:rPr>
        <w:t>）计算。</w:t>
      </w:r>
    </w:p>
    <w:p w:rsidR="00506AE6" w:rsidRDefault="0072598A">
      <w:pPr>
        <w:pStyle w:val="MTDisplayEquation"/>
      </w:pPr>
      <w:r>
        <w:tab/>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热</m:t>
            </m:r>
          </m:sub>
        </m:sSub>
        <m:r>
          <m:rPr>
            <m:sty m:val="p"/>
          </m:rPr>
          <w:rPr>
            <w:rFonts w:ascii="Cambria Math" w:hAnsi="Cambria Math"/>
          </w:rPr>
          <m:t>=</m:t>
        </m:r>
        <m:r>
          <m:rPr>
            <m:sty m:val="p"/>
          </m:rPr>
          <w:rPr>
            <w:rFonts w:ascii="Cambria Math" w:hAnsi="Cambria Math" w:hint="eastAsia"/>
          </w:rPr>
          <m:t>Δ</m:t>
        </m:r>
        <m:r>
          <m:rPr>
            <m:sty m:val="p"/>
          </m:rPr>
          <w:rPr>
            <w:rFonts w:ascii="Cambria Math" w:hAnsi="Cambria Math"/>
          </w:rPr>
          <m:t>A</m:t>
        </m:r>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热</m:t>
            </m:r>
          </m:sub>
        </m:sSub>
        <m:r>
          <m:rPr>
            <m:sty m:val="p"/>
          </m:rPr>
          <w:rPr>
            <w:rFonts w:ascii="Cambria Math" w:hAnsi="Cambria Math"/>
          </w:rPr>
          <m:t>×E</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热</m:t>
            </m:r>
          </m:sub>
        </m:sSub>
      </m:oMath>
      <w:r>
        <w:tab/>
      </w:r>
      <w:r>
        <w:rPr>
          <w:rFonts w:hint="eastAsia"/>
        </w:rPr>
        <w:t>（</w:t>
      </w:r>
      <w:r>
        <w:rPr>
          <w:rFonts w:hint="eastAsia"/>
        </w:rPr>
        <w:t>12</w:t>
      </w:r>
      <w:r>
        <w:rPr>
          <w:rFonts w:hint="eastAsia"/>
        </w:rPr>
        <w:t>）</w:t>
      </w:r>
    </w:p>
    <w:p w:rsidR="00506AE6" w:rsidRDefault="0072598A">
      <w:pPr>
        <w:pStyle w:val="affa"/>
        <w:tabs>
          <w:tab w:val="clear" w:pos="-420"/>
          <w:tab w:val="clear" w:pos="0"/>
        </w:tabs>
        <w:spacing w:line="360" w:lineRule="exact"/>
      </w:pPr>
      <w:r>
        <w:rPr>
          <w:rFonts w:hint="eastAsia"/>
        </w:rPr>
        <w:t>式中：</w:t>
      </w:r>
    </w:p>
    <w:tbl>
      <w:tblPr>
        <w:tblW w:w="8334" w:type="dxa"/>
        <w:jc w:val="right"/>
        <w:tblLayout w:type="fixed"/>
        <w:tblLook w:val="04A0" w:firstRow="1" w:lastRow="0" w:firstColumn="1" w:lastColumn="0" w:noHBand="0" w:noVBand="1"/>
      </w:tblPr>
      <w:tblGrid>
        <w:gridCol w:w="907"/>
        <w:gridCol w:w="340"/>
        <w:gridCol w:w="7087"/>
      </w:tblGrid>
      <w:tr w:rsidR="00506AE6">
        <w:trPr>
          <w:trHeight w:val="20"/>
          <w:jc w:val="right"/>
        </w:trPr>
        <w:tc>
          <w:tcPr>
            <w:tcW w:w="907" w:type="dxa"/>
            <w:vAlign w:val="center"/>
          </w:tcPr>
          <w:p w:rsidR="00506AE6" w:rsidRDefault="0072598A">
            <w:pPr>
              <w:adjustRightInd w:val="0"/>
              <w:snapToGrid w:val="0"/>
              <w:spacing w:line="240" w:lineRule="auto"/>
              <w:ind w:firstLineChars="0" w:firstLine="0"/>
              <w:jc w:val="left"/>
              <w:rPr>
                <w:i/>
                <w:iCs/>
                <w:szCs w:val="21"/>
              </w:rPr>
            </w:pPr>
            <m:oMathPara>
              <m:oMathParaPr>
                <m:jc m:val="left"/>
              </m:oMathParaPr>
              <m:oMath>
                <m:sSub>
                  <m:sSubPr>
                    <m:ctrlPr>
                      <w:rPr>
                        <w:rFonts w:ascii="Cambria Math" w:hAnsi="Cambria Math"/>
                        <w:i/>
                        <w:iCs/>
                      </w:rPr>
                    </m:ctrlPr>
                  </m:sSubPr>
                  <m:e>
                    <m:r>
                      <w:rPr>
                        <w:rFonts w:ascii="Cambria Math" w:hAnsi="Cambria Math"/>
                      </w:rPr>
                      <m:t>E</m:t>
                    </m:r>
                  </m:e>
                  <m:sub>
                    <m:r>
                      <w:rPr>
                        <w:rFonts w:ascii="Cambria Math" w:hAnsi="Cambria Math"/>
                      </w:rPr>
                      <m:t>热</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087" w:type="dxa"/>
            <w:vAlign w:val="center"/>
          </w:tcPr>
          <w:p w:rsidR="00506AE6" w:rsidRDefault="0072598A">
            <w:pPr>
              <w:adjustRightInd w:val="0"/>
              <w:snapToGrid w:val="0"/>
              <w:spacing w:line="240" w:lineRule="auto"/>
              <w:ind w:firstLineChars="0" w:firstLine="0"/>
              <w:jc w:val="left"/>
              <w:rPr>
                <w:szCs w:val="21"/>
              </w:rPr>
            </w:pPr>
            <w:r>
              <w:rPr>
                <w:rFonts w:hint="eastAsia"/>
              </w:rPr>
              <w:t>净购入使用热力产生的排放量，单位为吨二氧化碳（</w:t>
            </w:r>
            <w:r>
              <w:rPr>
                <w:rFonts w:hint="eastAsia"/>
              </w:rPr>
              <w:t>t</w:t>
            </w:r>
            <w:r>
              <w:t>CO</w:t>
            </w:r>
            <w:r>
              <w:rPr>
                <w:vertAlign w:val="subscript"/>
              </w:rPr>
              <w:t>2</w:t>
            </w:r>
            <w:r>
              <w:rPr>
                <w:rFonts w:hint="eastAsia"/>
              </w:rPr>
              <w:t>）；</w:t>
            </w:r>
          </w:p>
        </w:tc>
      </w:tr>
      <w:tr w:rsidR="00506AE6">
        <w:trPr>
          <w:trHeight w:val="20"/>
          <w:jc w:val="right"/>
        </w:trPr>
        <w:tc>
          <w:tcPr>
            <w:tcW w:w="907" w:type="dxa"/>
          </w:tcPr>
          <w:p w:rsidR="00506AE6" w:rsidRDefault="0072598A">
            <w:pPr>
              <w:adjustRightInd w:val="0"/>
              <w:snapToGrid w:val="0"/>
              <w:spacing w:line="240" w:lineRule="auto"/>
              <w:ind w:firstLineChars="0" w:firstLine="0"/>
              <w:jc w:val="left"/>
            </w:pPr>
            <m:oMathPara>
              <m:oMathParaPr>
                <m:jc m:val="left"/>
              </m:oMathParaPr>
              <m:oMath>
                <m:r>
                  <m:rPr>
                    <m:sty m:val="p"/>
                  </m:rPr>
                  <w:rPr>
                    <w:rFonts w:ascii="Cambria Math" w:hAnsi="Cambria Math" w:hint="eastAsia"/>
                  </w:rPr>
                  <m:t>Δ</m:t>
                </m:r>
                <m:r>
                  <w:rPr>
                    <w:rFonts w:ascii="Cambria Math" w:hAnsi="Cambria Math"/>
                  </w:rPr>
                  <m:t>A</m:t>
                </m:r>
                <m:sSub>
                  <m:sSubPr>
                    <m:ctrlPr>
                      <w:rPr>
                        <w:rFonts w:ascii="Cambria Math" w:hAnsi="Cambria Math"/>
                        <w:i/>
                      </w:rPr>
                    </m:ctrlPr>
                  </m:sSubPr>
                  <m:e>
                    <m:r>
                      <w:rPr>
                        <w:rFonts w:ascii="Cambria Math" w:hAnsi="Cambria Math"/>
                      </w:rPr>
                      <m:t>D</m:t>
                    </m:r>
                  </m:e>
                  <m:sub>
                    <m:r>
                      <w:rPr>
                        <w:rFonts w:ascii="Cambria Math" w:hAnsi="Cambria Math"/>
                      </w:rPr>
                      <m:t>热</m:t>
                    </m:r>
                  </m:sub>
                </m:sSub>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087" w:type="dxa"/>
          </w:tcPr>
          <w:p w:rsidR="00506AE6" w:rsidRDefault="0072598A">
            <w:pPr>
              <w:adjustRightInd w:val="0"/>
              <w:snapToGrid w:val="0"/>
              <w:spacing w:line="240" w:lineRule="auto"/>
              <w:ind w:firstLineChars="0" w:firstLine="0"/>
            </w:pPr>
            <w:r>
              <w:rPr>
                <w:rFonts w:hint="eastAsia"/>
              </w:rPr>
              <w:t>净购入使用的热量（如蒸汽、热水等），单位为吉焦（</w:t>
            </w:r>
            <w:r>
              <w:rPr>
                <w:rFonts w:hint="eastAsia"/>
              </w:rPr>
              <w:t>GJ</w:t>
            </w:r>
            <w:r>
              <w:rPr>
                <w:rFonts w:hint="eastAsia"/>
              </w:rPr>
              <w:t>），按公式</w:t>
            </w:r>
            <w:r>
              <w:rPr>
                <w:rFonts w:hint="eastAsia"/>
                <w:iCs/>
              </w:rPr>
              <w:t>（</w:t>
            </w:r>
            <w:r>
              <w:rPr>
                <w:rFonts w:hint="eastAsia"/>
                <w:iCs/>
              </w:rPr>
              <w:t>13</w:t>
            </w:r>
            <w:r>
              <w:rPr>
                <w:rFonts w:hint="eastAsia"/>
                <w:iCs/>
              </w:rPr>
              <w:t>）</w:t>
            </w:r>
            <w:r>
              <w:rPr>
                <w:rFonts w:hint="eastAsia"/>
              </w:rPr>
              <w:t>计算；</w:t>
            </w:r>
          </w:p>
        </w:tc>
      </w:tr>
      <w:tr w:rsidR="00506AE6">
        <w:trPr>
          <w:trHeight w:val="20"/>
          <w:jc w:val="right"/>
        </w:trPr>
        <w:tc>
          <w:tcPr>
            <w:tcW w:w="907" w:type="dxa"/>
            <w:vAlign w:val="center"/>
          </w:tcPr>
          <w:p w:rsidR="00506AE6" w:rsidRDefault="0072598A">
            <w:pPr>
              <w:adjustRightInd w:val="0"/>
              <w:snapToGrid w:val="0"/>
              <w:spacing w:line="240" w:lineRule="auto"/>
              <w:ind w:firstLineChars="0" w:firstLine="0"/>
              <w:jc w:val="left"/>
            </w:pPr>
            <m:oMathPara>
              <m:oMathParaPr>
                <m:jc m:val="left"/>
              </m:oMathParaPr>
              <m:oMath>
                <m:r>
                  <w:rPr>
                    <w:rFonts w:ascii="Cambria Math" w:hAnsi="Cambria Math"/>
                  </w:rPr>
                  <m:t>E</m:t>
                </m:r>
                <m:sSub>
                  <m:sSubPr>
                    <m:ctrlPr>
                      <w:rPr>
                        <w:rFonts w:ascii="Cambria Math" w:hAnsi="Cambria Math"/>
                        <w:i/>
                      </w:rPr>
                    </m:ctrlPr>
                  </m:sSubPr>
                  <m:e>
                    <m:r>
                      <w:rPr>
                        <w:rFonts w:ascii="Cambria Math" w:hAnsi="Cambria Math"/>
                      </w:rPr>
                      <m:t>F</m:t>
                    </m:r>
                  </m:e>
                  <m:sub>
                    <m:r>
                      <w:rPr>
                        <w:rFonts w:ascii="Cambria Math" w:hAnsi="Cambria Math"/>
                      </w:rPr>
                      <m:t>热</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087" w:type="dxa"/>
            <w:vAlign w:val="center"/>
          </w:tcPr>
          <w:p w:rsidR="00506AE6" w:rsidRDefault="0072598A">
            <w:pPr>
              <w:adjustRightInd w:val="0"/>
              <w:snapToGrid w:val="0"/>
              <w:spacing w:line="240" w:lineRule="auto"/>
              <w:ind w:firstLineChars="0" w:firstLine="0"/>
              <w:jc w:val="left"/>
            </w:pPr>
            <w:r>
              <w:rPr>
                <w:rFonts w:hint="eastAsia"/>
              </w:rPr>
              <w:t>热力排放因子，单位为吨二氧化碳每吉焦（</w:t>
            </w:r>
            <w:r>
              <w:rPr>
                <w:rFonts w:hint="eastAsia"/>
              </w:rPr>
              <w:t>tCO</w:t>
            </w:r>
            <w:r>
              <w:rPr>
                <w:vertAlign w:val="subscript"/>
              </w:rPr>
              <w:t>2</w:t>
            </w:r>
            <w:r>
              <w:rPr>
                <w:rFonts w:hint="eastAsia"/>
              </w:rPr>
              <w:t>/GJ</w:t>
            </w:r>
            <w:r>
              <w:rPr>
                <w:rFonts w:hint="eastAsia"/>
              </w:rPr>
              <w:t>）。</w:t>
            </w:r>
          </w:p>
        </w:tc>
      </w:tr>
    </w:tbl>
    <w:p w:rsidR="00506AE6" w:rsidRDefault="0072598A">
      <w:pPr>
        <w:spacing w:line="240" w:lineRule="auto"/>
        <w:jc w:val="right"/>
        <w:rPr>
          <w:rFonts w:hAnsi="Cambria Math"/>
        </w:rPr>
      </w:pPr>
      <m:oMath>
        <m:sSub>
          <m:sSubPr>
            <m:ctrlPr>
              <w:rPr>
                <w:rFonts w:ascii="Cambria Math" w:hAnsi="Cambria Math"/>
              </w:rPr>
            </m:ctrlPr>
          </m:sSubPr>
          <m:e>
            <m:r>
              <m:rPr>
                <m:sty m:val="p"/>
              </m:rPr>
              <w:rPr>
                <w:rFonts w:ascii="Cambria Math" w:hAnsi="Cambria Math" w:hint="eastAsia"/>
              </w:rPr>
              <m:t>Δ</m:t>
            </m:r>
            <m:r>
              <m:rPr>
                <m:sty m:val="p"/>
              </m:rPr>
              <w:rPr>
                <w:rFonts w:ascii="Cambria Math" w:hAnsi="Cambria Math"/>
              </w:rPr>
              <m:t>AD</m:t>
            </m:r>
          </m:e>
          <m:sub>
            <m:r>
              <m:rPr>
                <m:sty m:val="p"/>
              </m:rPr>
              <w:rPr>
                <w:rFonts w:ascii="Cambria Math" w:hAnsi="Cambria Math" w:hint="eastAsia"/>
              </w:rPr>
              <m:t>热</m:t>
            </m:r>
          </m:sub>
        </m:sSub>
        <m:r>
          <m:rPr>
            <m:sty m:val="p"/>
          </m:rPr>
          <w:rPr>
            <w:rFonts w:ascii="Cambria Math" w:hAnsi="Cambria Math"/>
          </w:rPr>
          <m:t>=</m:t>
        </m:r>
        <m:r>
          <m:rPr>
            <m:sty m:val="p"/>
          </m:rPr>
          <w:rPr>
            <w:rFonts w:ascii="Cambria Math" w:hAnsi="Cambria Math"/>
            <w:szCs w:val="21"/>
          </w:rPr>
          <m:t>A</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cs="宋体" w:hint="eastAsia"/>
                <w:szCs w:val="21"/>
              </w:rPr>
              <m:t>购入热</m:t>
            </m:r>
          </m:sub>
        </m:sSub>
        <m:r>
          <m:rPr>
            <m:sty m:val="p"/>
          </m:rPr>
          <w:rPr>
            <w:rFonts w:ascii="Cambria Math" w:hAnsi="Cambria Math"/>
            <w:szCs w:val="21"/>
          </w:rPr>
          <m:t>-</m:t>
        </m:r>
        <m:r>
          <m:rPr>
            <m:sty m:val="p"/>
          </m:rPr>
          <w:rPr>
            <w:rFonts w:ascii="Cambria Math" w:hAnsi="Cambria Math"/>
            <w:szCs w:val="21"/>
          </w:rPr>
          <m:t>A</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cs="宋体" w:hint="eastAsia"/>
                <w:szCs w:val="21"/>
              </w:rPr>
              <m:t>输出热</m:t>
            </m:r>
          </m:sub>
        </m:sSub>
      </m:oMath>
      <w:r>
        <w:rPr>
          <w:rFonts w:hAnsi="Cambria Math"/>
        </w:rPr>
        <w:t xml:space="preserve">                      </w:t>
      </w:r>
      <w:r>
        <w:rPr>
          <w:rFonts w:hAnsi="Cambria Math" w:hint="eastAsia"/>
        </w:rPr>
        <w:t>（</w:t>
      </w:r>
      <w:r>
        <w:rPr>
          <w:rFonts w:hAnsi="Cambria Math" w:hint="eastAsia"/>
        </w:rPr>
        <w:t>13</w:t>
      </w:r>
      <w:r>
        <w:rPr>
          <w:rFonts w:hAnsi="Cambria Math" w:hint="eastAsia"/>
        </w:rPr>
        <w:t>）</w:t>
      </w:r>
    </w:p>
    <w:p w:rsidR="00506AE6" w:rsidRDefault="0072598A">
      <w:pPr>
        <w:pStyle w:val="affa"/>
        <w:tabs>
          <w:tab w:val="clear" w:pos="-420"/>
          <w:tab w:val="clear" w:pos="0"/>
        </w:tabs>
        <w:spacing w:line="360" w:lineRule="exact"/>
        <w:rPr>
          <w:rFonts w:hAnsi="Cambria Math"/>
        </w:rPr>
      </w:pPr>
      <w:r>
        <w:rPr>
          <w:szCs w:val="21"/>
        </w:rPr>
        <w:t>式中</w:t>
      </w:r>
      <w:r>
        <w:rPr>
          <w:rFonts w:hint="eastAsia"/>
          <w:szCs w:val="21"/>
        </w:rPr>
        <w:t>：</w:t>
      </w:r>
    </w:p>
    <w:tbl>
      <w:tblPr>
        <w:tblW w:w="8554" w:type="dxa"/>
        <w:jc w:val="right"/>
        <w:tblLayout w:type="fixed"/>
        <w:tblLook w:val="04A0" w:firstRow="1" w:lastRow="0" w:firstColumn="1" w:lastColumn="0" w:noHBand="0" w:noVBand="1"/>
      </w:tblPr>
      <w:tblGrid>
        <w:gridCol w:w="1042"/>
        <w:gridCol w:w="340"/>
        <w:gridCol w:w="7172"/>
      </w:tblGrid>
      <w:tr w:rsidR="00506AE6">
        <w:trPr>
          <w:trHeight w:val="20"/>
          <w:jc w:val="right"/>
        </w:trPr>
        <w:tc>
          <w:tcPr>
            <w:tcW w:w="1042" w:type="dxa"/>
            <w:vAlign w:val="center"/>
          </w:tcPr>
          <w:p w:rsidR="00506AE6" w:rsidRDefault="0072598A">
            <w:pPr>
              <w:adjustRightInd w:val="0"/>
              <w:snapToGrid w:val="0"/>
              <w:spacing w:line="240" w:lineRule="auto"/>
              <w:ind w:firstLineChars="0" w:firstLine="0"/>
              <w:jc w:val="left"/>
              <w:rPr>
                <w:i/>
                <w:iCs/>
                <w:szCs w:val="21"/>
                <w:vertAlign w:val="subscript"/>
              </w:rPr>
            </w:pPr>
            <m:oMathPara>
              <m:oMathParaPr>
                <m:jc m:val="left"/>
              </m:oMathParaPr>
              <m:oMath>
                <m:r>
                  <w:rPr>
                    <w:rFonts w:ascii="Cambria Math" w:hAnsi="Cambria Math"/>
                    <w:szCs w:val="21"/>
                  </w:rPr>
                  <m:t>A</m:t>
                </m:r>
                <m:sSub>
                  <m:sSubPr>
                    <m:ctrlPr>
                      <w:rPr>
                        <w:rFonts w:ascii="Cambria Math" w:hAnsi="Cambria Math"/>
                        <w:szCs w:val="21"/>
                      </w:rPr>
                    </m:ctrlPr>
                  </m:sSubPr>
                  <m:e>
                    <m:r>
                      <w:rPr>
                        <w:rFonts w:ascii="Cambria Math" w:hAnsi="Cambria Math"/>
                        <w:szCs w:val="21"/>
                      </w:rPr>
                      <m:t>D</m:t>
                    </m:r>
                  </m:e>
                  <m:sub>
                    <m:r>
                      <w:rPr>
                        <w:rFonts w:ascii="Cambria Math" w:hAnsi="Cambria Math" w:cs="宋体" w:hint="eastAsia"/>
                        <w:szCs w:val="21"/>
                      </w:rPr>
                      <m:t>购入热</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172" w:type="dxa"/>
            <w:vAlign w:val="center"/>
          </w:tcPr>
          <w:p w:rsidR="00506AE6" w:rsidRDefault="0072598A">
            <w:pPr>
              <w:adjustRightInd w:val="0"/>
              <w:snapToGrid w:val="0"/>
              <w:spacing w:line="240" w:lineRule="auto"/>
              <w:ind w:firstLineChars="0" w:firstLine="0"/>
              <w:jc w:val="left"/>
              <w:rPr>
                <w:szCs w:val="21"/>
              </w:rPr>
            </w:pPr>
            <w:r>
              <w:rPr>
                <w:rFonts w:hint="eastAsia"/>
                <w:szCs w:val="21"/>
              </w:rPr>
              <w:t>购入的总热量</w:t>
            </w:r>
            <w:r>
              <w:rPr>
                <w:szCs w:val="21"/>
              </w:rPr>
              <w:t>，单位为吉焦（</w:t>
            </w:r>
            <w:r>
              <w:rPr>
                <w:rFonts w:hint="eastAsia"/>
                <w:szCs w:val="21"/>
              </w:rPr>
              <w:t>GJ</w:t>
            </w:r>
            <w:r>
              <w:rPr>
                <w:szCs w:val="21"/>
              </w:rPr>
              <w:t>）；</w:t>
            </w:r>
          </w:p>
        </w:tc>
      </w:tr>
      <w:tr w:rsidR="00506AE6">
        <w:trPr>
          <w:trHeight w:val="20"/>
          <w:jc w:val="right"/>
        </w:trPr>
        <w:tc>
          <w:tcPr>
            <w:tcW w:w="1042" w:type="dxa"/>
            <w:vAlign w:val="center"/>
          </w:tcPr>
          <w:p w:rsidR="00506AE6" w:rsidRDefault="0072598A">
            <w:pPr>
              <w:adjustRightInd w:val="0"/>
              <w:snapToGrid w:val="0"/>
              <w:spacing w:line="240" w:lineRule="auto"/>
              <w:ind w:firstLineChars="0" w:firstLine="0"/>
              <w:jc w:val="left"/>
              <w:rPr>
                <w:i/>
                <w:iCs/>
                <w:szCs w:val="21"/>
              </w:rPr>
            </w:pPr>
            <m:oMathPara>
              <m:oMathParaPr>
                <m:jc m:val="left"/>
              </m:oMathParaPr>
              <m:oMath>
                <m:r>
                  <w:rPr>
                    <w:rFonts w:ascii="Cambria Math" w:hAnsi="Cambria Math"/>
                    <w:szCs w:val="21"/>
                  </w:rPr>
                  <m:t>A</m:t>
                </m:r>
                <m:sSub>
                  <m:sSubPr>
                    <m:ctrlPr>
                      <w:rPr>
                        <w:rFonts w:ascii="Cambria Math" w:hAnsi="Cambria Math"/>
                        <w:szCs w:val="21"/>
                      </w:rPr>
                    </m:ctrlPr>
                  </m:sSubPr>
                  <m:e>
                    <m:r>
                      <w:rPr>
                        <w:rFonts w:ascii="Cambria Math" w:hAnsi="Cambria Math"/>
                        <w:szCs w:val="21"/>
                      </w:rPr>
                      <m:t>D</m:t>
                    </m:r>
                  </m:e>
                  <m:sub>
                    <m:r>
                      <w:rPr>
                        <w:rFonts w:ascii="Cambria Math" w:hAnsi="Cambria Math" w:cs="宋体" w:hint="eastAsia"/>
                        <w:szCs w:val="21"/>
                      </w:rPr>
                      <m:t>输出热</m:t>
                    </m:r>
                  </m:sub>
                </m:sSub>
              </m:oMath>
            </m:oMathPara>
          </w:p>
        </w:tc>
        <w:tc>
          <w:tcPr>
            <w:tcW w:w="340" w:type="dxa"/>
            <w:vAlign w:val="center"/>
          </w:tcPr>
          <w:p w:rsidR="00506AE6" w:rsidRDefault="0072598A">
            <w:pPr>
              <w:adjustRightInd w:val="0"/>
              <w:snapToGrid w:val="0"/>
              <w:spacing w:line="240" w:lineRule="auto"/>
              <w:ind w:firstLineChars="0" w:firstLine="0"/>
              <w:jc w:val="left"/>
              <w:rPr>
                <w:szCs w:val="21"/>
              </w:rPr>
            </w:pPr>
            <w:r>
              <w:rPr>
                <w:szCs w:val="21"/>
              </w:rPr>
              <w:t>—</w:t>
            </w:r>
          </w:p>
        </w:tc>
        <w:tc>
          <w:tcPr>
            <w:tcW w:w="7172" w:type="dxa"/>
            <w:vAlign w:val="center"/>
          </w:tcPr>
          <w:p w:rsidR="00506AE6" w:rsidRDefault="0072598A">
            <w:pPr>
              <w:adjustRightInd w:val="0"/>
              <w:snapToGrid w:val="0"/>
              <w:spacing w:line="240" w:lineRule="auto"/>
              <w:ind w:firstLineChars="0" w:firstLine="0"/>
              <w:jc w:val="left"/>
              <w:rPr>
                <w:szCs w:val="21"/>
              </w:rPr>
            </w:pPr>
            <w:r>
              <w:rPr>
                <w:rFonts w:hint="eastAsia"/>
                <w:szCs w:val="21"/>
              </w:rPr>
              <w:t>输出的总热量，</w:t>
            </w:r>
            <w:r>
              <w:rPr>
                <w:szCs w:val="21"/>
              </w:rPr>
              <w:t>单位为吉焦（</w:t>
            </w:r>
            <w:r>
              <w:rPr>
                <w:rFonts w:hint="eastAsia"/>
                <w:szCs w:val="21"/>
              </w:rPr>
              <w:t>GJ</w:t>
            </w:r>
            <w:r>
              <w:rPr>
                <w:szCs w:val="21"/>
              </w:rPr>
              <w:t>）</w:t>
            </w:r>
            <w:r>
              <w:rPr>
                <w:rFonts w:hint="eastAsia"/>
                <w:szCs w:val="21"/>
              </w:rPr>
              <w:t>。</w:t>
            </w:r>
          </w:p>
        </w:tc>
      </w:tr>
    </w:tbl>
    <w:p w:rsidR="00506AE6" w:rsidRDefault="0072598A">
      <w:pPr>
        <w:pStyle w:val="affa"/>
        <w:tabs>
          <w:tab w:val="clear" w:pos="-420"/>
          <w:tab w:val="clear" w:pos="0"/>
        </w:tabs>
        <w:spacing w:line="360" w:lineRule="exact"/>
      </w:pPr>
      <w:r>
        <w:t>以质量单位计量的蒸汽可按公式（</w:t>
      </w:r>
      <w:r>
        <w:rPr>
          <w:rFonts w:hint="eastAsia"/>
        </w:rPr>
        <w:t>14</w:t>
      </w:r>
      <w:r>
        <w:t>）转换为热量单位。</w:t>
      </w:r>
    </w:p>
    <w:p w:rsidR="00506AE6" w:rsidRDefault="0072598A">
      <w:pPr>
        <w:pStyle w:val="MTDisplayEquation"/>
      </w:pPr>
      <w:r>
        <w:tab/>
      </w:r>
      <m:oMath>
        <m:sSub>
          <m:sSubPr>
            <m:ctrlPr>
              <w:rPr>
                <w:rFonts w:ascii="Cambria Math" w:hAnsi="Cambria Math"/>
                <w:iCs/>
              </w:rPr>
            </m:ctrlPr>
          </m:sSubPr>
          <m:e>
            <m:r>
              <m:rPr>
                <m:sty m:val="p"/>
              </m:rPr>
              <w:rPr>
                <w:rFonts w:ascii="Cambria Math" w:hAnsi="Cambria Math"/>
              </w:rPr>
              <m:t>AD</m:t>
            </m:r>
          </m:e>
          <m:sub>
            <m:r>
              <m:rPr>
                <m:sty m:val="p"/>
              </m:rPr>
              <w:rPr>
                <w:rFonts w:ascii="Cambria Math" w:hAnsi="Cambria Math"/>
              </w:rPr>
              <m:t>st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Ma</m:t>
            </m:r>
          </m:e>
          <m:sub>
            <m:r>
              <m:rPr>
                <m:sty m:val="p"/>
              </m:rPr>
              <w:rPr>
                <w:rFonts w:ascii="Cambria Math" w:hAnsi="Cambria Math"/>
              </w:rPr>
              <m:t>st</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En</m:t>
            </m:r>
          </m:e>
          <m:sub>
            <m:r>
              <m:rPr>
                <m:sty m:val="p"/>
              </m:rPr>
              <w:rPr>
                <w:rFonts w:ascii="Cambria Math" w:hAnsi="Cambria Math"/>
              </w:rPr>
              <m:t>st</m:t>
            </m:r>
          </m:sub>
        </m:sSub>
        <m:r>
          <m:rPr>
            <m:sty m:val="p"/>
          </m:rPr>
          <w:rPr>
            <w:rFonts w:ascii="Cambria Math" w:hAnsi="Cambria Math"/>
          </w:rPr>
          <m:t>-</m:t>
        </m:r>
        <m:r>
          <m:rPr>
            <m:sty m:val="p"/>
          </m:rPr>
          <w:rPr>
            <w:rFonts w:ascii="Cambria Math" w:hAnsi="Cambria Math"/>
          </w:rPr>
          <m:t>83.74)×</m:t>
        </m:r>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m:t>
            </m:r>
            <m:r>
              <m:rPr>
                <m:sty m:val="p"/>
              </m:rPr>
              <w:rPr>
                <w:rFonts w:ascii="Cambria Math" w:hAnsi="Cambria Math"/>
              </w:rPr>
              <m:t>3</m:t>
            </m:r>
          </m:sup>
        </m:sSup>
      </m:oMath>
      <w:r>
        <w:tab/>
      </w:r>
      <w:r>
        <w:t>（</w:t>
      </w:r>
      <w:r>
        <w:rPr>
          <w:rFonts w:hint="eastAsia"/>
        </w:rPr>
        <w:t>14</w:t>
      </w:r>
      <w:r>
        <w:t>）</w:t>
      </w:r>
    </w:p>
    <w:p w:rsidR="00506AE6" w:rsidRDefault="0072598A">
      <w:pPr>
        <w:pStyle w:val="affa"/>
        <w:tabs>
          <w:tab w:val="clear" w:pos="-420"/>
          <w:tab w:val="clear" w:pos="0"/>
        </w:tabs>
        <w:spacing w:line="360" w:lineRule="exact"/>
      </w:pPr>
      <w:r>
        <w:t>式中：</w:t>
      </w:r>
    </w:p>
    <w:tbl>
      <w:tblPr>
        <w:tblW w:w="8580" w:type="dxa"/>
        <w:jc w:val="right"/>
        <w:tblLayout w:type="fixed"/>
        <w:tblLook w:val="04A0" w:firstRow="1" w:lastRow="0" w:firstColumn="1" w:lastColumn="0" w:noHBand="0" w:noVBand="1"/>
      </w:tblPr>
      <w:tblGrid>
        <w:gridCol w:w="842"/>
        <w:gridCol w:w="340"/>
        <w:gridCol w:w="7398"/>
      </w:tblGrid>
      <w:tr w:rsidR="00506AE6">
        <w:trPr>
          <w:trHeight w:val="20"/>
          <w:jc w:val="right"/>
        </w:trPr>
        <w:tc>
          <w:tcPr>
            <w:tcW w:w="842" w:type="dxa"/>
          </w:tcPr>
          <w:p w:rsidR="00506AE6" w:rsidRDefault="0072598A">
            <w:pPr>
              <w:adjustRightInd w:val="0"/>
              <w:snapToGrid w:val="0"/>
              <w:spacing w:line="240" w:lineRule="auto"/>
              <w:ind w:firstLineChars="0" w:firstLine="0"/>
              <w:jc w:val="left"/>
              <w:rPr>
                <w:i/>
                <w:iCs/>
                <w:szCs w:val="21"/>
              </w:rPr>
            </w:pPr>
            <m:oMathPara>
              <m:oMathParaPr>
                <m:jc m:val="left"/>
              </m:oMathParaPr>
              <m:oMath>
                <m:sSub>
                  <m:sSubPr>
                    <m:ctrlPr>
                      <w:rPr>
                        <w:rFonts w:ascii="Cambria Math" w:hAnsi="Cambria Math"/>
                        <w:i/>
                      </w:rPr>
                    </m:ctrlPr>
                  </m:sSubPr>
                  <m:e>
                    <m:r>
                      <w:rPr>
                        <w:rFonts w:ascii="Cambria Math" w:hAnsi="Cambria Math"/>
                      </w:rPr>
                      <m:t>AD</m:t>
                    </m:r>
                  </m:e>
                  <m:sub>
                    <m:r>
                      <w:rPr>
                        <w:rFonts w:ascii="Cambria Math" w:hAnsi="Cambria Math"/>
                      </w:rPr>
                      <m:t>st</m:t>
                    </m:r>
                  </m:sub>
                </m:sSub>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398" w:type="dxa"/>
          </w:tcPr>
          <w:p w:rsidR="00506AE6" w:rsidRDefault="0072598A">
            <w:pPr>
              <w:adjustRightInd w:val="0"/>
              <w:snapToGrid w:val="0"/>
              <w:spacing w:line="240" w:lineRule="auto"/>
              <w:ind w:firstLineChars="0" w:firstLine="0"/>
              <w:rPr>
                <w:szCs w:val="21"/>
              </w:rPr>
            </w:pPr>
            <w:r>
              <w:t>蒸汽的热量，单位为吉焦（</w:t>
            </w:r>
            <w:r>
              <w:t>GJ</w:t>
            </w:r>
            <w:r>
              <w:t>）；</w:t>
            </w:r>
          </w:p>
        </w:tc>
      </w:tr>
      <w:tr w:rsidR="00506AE6">
        <w:trPr>
          <w:trHeight w:val="20"/>
          <w:jc w:val="right"/>
        </w:trPr>
        <w:tc>
          <w:tcPr>
            <w:tcW w:w="842" w:type="dxa"/>
          </w:tcPr>
          <w:p w:rsidR="00506AE6" w:rsidRDefault="0072598A">
            <w:pPr>
              <w:adjustRightInd w:val="0"/>
              <w:snapToGrid w:val="0"/>
              <w:spacing w:line="240" w:lineRule="auto"/>
              <w:ind w:firstLineChars="0" w:firstLine="0"/>
              <w:jc w:val="left"/>
            </w:pPr>
            <m:oMathPara>
              <m:oMathParaPr>
                <m:jc m:val="left"/>
              </m:oMathParaPr>
              <m:oMath>
                <m:sSub>
                  <m:sSubPr>
                    <m:ctrlPr>
                      <w:rPr>
                        <w:rFonts w:ascii="Cambria Math" w:hAnsi="Cambria Math"/>
                        <w:i/>
                      </w:rPr>
                    </m:ctrlPr>
                  </m:sSubPr>
                  <m:e>
                    <m:r>
                      <w:rPr>
                        <w:rFonts w:ascii="Cambria Math" w:hAnsi="Cambria Math"/>
                      </w:rPr>
                      <m:t>Ma</m:t>
                    </m:r>
                  </m:e>
                  <m:sub>
                    <m:r>
                      <w:rPr>
                        <w:rFonts w:ascii="Cambria Math" w:hAnsi="Cambria Math"/>
                      </w:rPr>
                      <m:t>st</m:t>
                    </m:r>
                  </m:sub>
                </m:sSub>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398" w:type="dxa"/>
          </w:tcPr>
          <w:p w:rsidR="00506AE6" w:rsidRDefault="0072598A">
            <w:pPr>
              <w:adjustRightInd w:val="0"/>
              <w:snapToGrid w:val="0"/>
              <w:spacing w:line="240" w:lineRule="auto"/>
              <w:ind w:firstLineChars="0" w:firstLine="0"/>
            </w:pPr>
            <w:r>
              <w:t>蒸汽的质量，单位为吨（</w:t>
            </w:r>
            <w:r>
              <w:t>t</w:t>
            </w:r>
            <w:r>
              <w:t>）；</w:t>
            </w:r>
          </w:p>
        </w:tc>
      </w:tr>
      <w:tr w:rsidR="00506AE6">
        <w:trPr>
          <w:trHeight w:val="20"/>
          <w:jc w:val="right"/>
        </w:trPr>
        <w:tc>
          <w:tcPr>
            <w:tcW w:w="842" w:type="dxa"/>
          </w:tcPr>
          <w:p w:rsidR="00506AE6" w:rsidRDefault="0072598A">
            <w:pPr>
              <w:adjustRightInd w:val="0"/>
              <w:snapToGrid w:val="0"/>
              <w:spacing w:line="240" w:lineRule="auto"/>
              <w:ind w:firstLineChars="0" w:firstLine="0"/>
              <w:jc w:val="left"/>
            </w:pPr>
            <m:oMathPara>
              <m:oMathParaPr>
                <m:jc m:val="left"/>
              </m:oMathParaPr>
              <m:oMath>
                <m:sSub>
                  <m:sSubPr>
                    <m:ctrlPr>
                      <w:rPr>
                        <w:rFonts w:ascii="Cambria Math" w:hAnsi="Cambria Math"/>
                        <w:i/>
                      </w:rPr>
                    </m:ctrlPr>
                  </m:sSubPr>
                  <m:e>
                    <m:r>
                      <w:rPr>
                        <w:rFonts w:ascii="Cambria Math" w:hAnsi="Cambria Math"/>
                      </w:rPr>
                      <m:t>En</m:t>
                    </m:r>
                  </m:e>
                  <m:sub>
                    <m:r>
                      <w:rPr>
                        <w:rFonts w:ascii="Cambria Math" w:hAnsi="Cambria Math"/>
                      </w:rPr>
                      <m:t>st</m:t>
                    </m:r>
                  </m:sub>
                </m:sSub>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398" w:type="dxa"/>
          </w:tcPr>
          <w:p w:rsidR="00506AE6" w:rsidRDefault="0072598A">
            <w:pPr>
              <w:adjustRightInd w:val="0"/>
              <w:snapToGrid w:val="0"/>
              <w:spacing w:line="240" w:lineRule="auto"/>
              <w:ind w:firstLineChars="0" w:firstLine="0"/>
            </w:pPr>
            <w:r>
              <w:t>蒸汽所对应的温度、压力下每千克蒸汽的焓值，取值参考相关行业标准，单位为千焦</w:t>
            </w:r>
            <w:r>
              <w:rPr>
                <w:rFonts w:hint="eastAsia"/>
              </w:rPr>
              <w:t>每</w:t>
            </w:r>
            <w:r>
              <w:t>千克（</w:t>
            </w:r>
            <w:r>
              <w:t>kJ/kg</w:t>
            </w:r>
            <w:r>
              <w:t>）；</w:t>
            </w:r>
          </w:p>
        </w:tc>
      </w:tr>
      <w:tr w:rsidR="00506AE6">
        <w:trPr>
          <w:trHeight w:val="20"/>
          <w:jc w:val="right"/>
        </w:trPr>
        <w:tc>
          <w:tcPr>
            <w:tcW w:w="842" w:type="dxa"/>
          </w:tcPr>
          <w:p w:rsidR="00506AE6" w:rsidRDefault="0072598A">
            <w:pPr>
              <w:adjustRightInd w:val="0"/>
              <w:snapToGrid w:val="0"/>
              <w:spacing w:line="240" w:lineRule="auto"/>
              <w:ind w:firstLineChars="0" w:firstLine="0"/>
              <w:jc w:val="left"/>
            </w:pPr>
            <m:oMathPara>
              <m:oMathParaPr>
                <m:jc m:val="left"/>
              </m:oMathParaPr>
              <m:oMath>
                <m:r>
                  <w:rPr>
                    <w:rFonts w:ascii="Cambria Math" w:hAnsi="Cambria Math"/>
                  </w:rPr>
                  <m:t>83.74</m:t>
                </m:r>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398" w:type="dxa"/>
          </w:tcPr>
          <w:p w:rsidR="00506AE6" w:rsidRDefault="0072598A">
            <w:pPr>
              <w:adjustRightInd w:val="0"/>
              <w:snapToGrid w:val="0"/>
              <w:spacing w:line="240" w:lineRule="auto"/>
              <w:ind w:firstLineChars="0" w:firstLine="0"/>
            </w:pPr>
            <w:r>
              <w:t>水温为</w:t>
            </w:r>
            <w:r>
              <w:t xml:space="preserve"> 20℃</w:t>
            </w:r>
            <w:r>
              <w:t>时的焓值，单位为千焦</w:t>
            </w:r>
            <w:r>
              <w:rPr>
                <w:rFonts w:hint="eastAsia"/>
              </w:rPr>
              <w:t>每</w:t>
            </w:r>
            <w:r>
              <w:t>千克（</w:t>
            </w:r>
            <w:r>
              <w:t>kJ/kg</w:t>
            </w:r>
            <w:r>
              <w:t>）。</w:t>
            </w:r>
          </w:p>
        </w:tc>
      </w:tr>
    </w:tbl>
    <w:p w:rsidR="00506AE6" w:rsidRDefault="0072598A">
      <w:pPr>
        <w:pStyle w:val="affa"/>
        <w:tabs>
          <w:tab w:val="clear" w:pos="-420"/>
          <w:tab w:val="clear" w:pos="0"/>
        </w:tabs>
        <w:spacing w:line="360" w:lineRule="exact"/>
      </w:pPr>
      <w:r>
        <w:t>以质量单位计量的热水可按公式（</w:t>
      </w:r>
      <w:r>
        <w:rPr>
          <w:rFonts w:hint="eastAsia"/>
        </w:rPr>
        <w:t>15</w:t>
      </w:r>
      <w:r>
        <w:t>）转换为热量单位。</w:t>
      </w:r>
    </w:p>
    <w:p w:rsidR="00506AE6" w:rsidRDefault="0072598A">
      <w:pPr>
        <w:pStyle w:val="MTDisplayEquation"/>
      </w:pPr>
      <w:r>
        <w:tab/>
      </w:r>
      <m:oMath>
        <m:sSub>
          <m:sSubPr>
            <m:ctrlPr>
              <w:rPr>
                <w:rFonts w:ascii="Cambria Math" w:hAnsi="Cambria Math"/>
                <w:iCs/>
              </w:rPr>
            </m:ctrlPr>
          </m:sSubPr>
          <m:e>
            <m:r>
              <m:rPr>
                <m:sty m:val="p"/>
              </m:rPr>
              <w:rPr>
                <w:rFonts w:ascii="Cambria Math" w:hAnsi="Cambria Math"/>
              </w:rPr>
              <m:t>AD</m:t>
            </m:r>
          </m:e>
          <m:sub>
            <m:r>
              <m:rPr>
                <m:sty m:val="p"/>
              </m:rPr>
              <w:rPr>
                <w:rFonts w:ascii="Cambria Math" w:hAnsi="Cambria Math"/>
              </w:rPr>
              <m:t>w</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Ma</m:t>
            </m:r>
          </m:e>
          <m:sub>
            <m:r>
              <m:rPr>
                <m:sty m:val="p"/>
              </m:rPr>
              <w:rPr>
                <w:rFonts w:ascii="Cambria Math" w:hAnsi="Cambria Math"/>
              </w:rPr>
              <m:t>w</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w</m:t>
            </m:r>
          </m:sub>
        </m:sSub>
        <m:r>
          <m:rPr>
            <m:sty m:val="p"/>
          </m:rPr>
          <w:rPr>
            <w:rFonts w:ascii="Cambria Math" w:hAnsi="Cambria Math"/>
          </w:rPr>
          <m:t>-</m:t>
        </m:r>
        <m:r>
          <m:rPr>
            <m:sty m:val="p"/>
          </m:rPr>
          <w:rPr>
            <w:rFonts w:ascii="Cambria Math" w:hAnsi="Cambria Math"/>
          </w:rPr>
          <m:t>20)×4.1868×</m:t>
        </m:r>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m:t>
            </m:r>
            <m:r>
              <m:rPr>
                <m:sty m:val="p"/>
              </m:rPr>
              <w:rPr>
                <w:rFonts w:ascii="Cambria Math" w:hAnsi="Cambria Math"/>
              </w:rPr>
              <m:t>3</m:t>
            </m:r>
          </m:sup>
        </m:sSup>
      </m:oMath>
      <w:r>
        <w:tab/>
      </w:r>
      <w:r>
        <w:t>（</w:t>
      </w:r>
      <w:r>
        <w:rPr>
          <w:rFonts w:hint="eastAsia"/>
        </w:rPr>
        <w:t>15</w:t>
      </w:r>
      <w:r>
        <w:t>）</w:t>
      </w:r>
    </w:p>
    <w:p w:rsidR="00506AE6" w:rsidRDefault="0072598A">
      <w:pPr>
        <w:pStyle w:val="affa"/>
        <w:tabs>
          <w:tab w:val="clear" w:pos="-420"/>
          <w:tab w:val="clear" w:pos="0"/>
        </w:tabs>
        <w:spacing w:line="360" w:lineRule="exact"/>
      </w:pPr>
      <w:r>
        <w:t>式中：</w:t>
      </w:r>
    </w:p>
    <w:tbl>
      <w:tblPr>
        <w:tblW w:w="8567" w:type="dxa"/>
        <w:jc w:val="right"/>
        <w:tblLayout w:type="fixed"/>
        <w:tblLook w:val="04A0" w:firstRow="1" w:lastRow="0" w:firstColumn="1" w:lastColumn="0" w:noHBand="0" w:noVBand="1"/>
      </w:tblPr>
      <w:tblGrid>
        <w:gridCol w:w="942"/>
        <w:gridCol w:w="340"/>
        <w:gridCol w:w="7285"/>
      </w:tblGrid>
      <w:tr w:rsidR="00506AE6">
        <w:trPr>
          <w:trHeight w:val="20"/>
          <w:jc w:val="right"/>
        </w:trPr>
        <w:tc>
          <w:tcPr>
            <w:tcW w:w="942" w:type="dxa"/>
          </w:tcPr>
          <w:p w:rsidR="00506AE6" w:rsidRDefault="0072598A">
            <w:pPr>
              <w:adjustRightInd w:val="0"/>
              <w:snapToGrid w:val="0"/>
              <w:spacing w:line="240" w:lineRule="auto"/>
              <w:ind w:firstLineChars="0" w:firstLine="0"/>
              <w:jc w:val="left"/>
              <w:rPr>
                <w:i/>
                <w:iCs/>
                <w:szCs w:val="21"/>
              </w:rPr>
            </w:pPr>
            <m:oMathPara>
              <m:oMathParaPr>
                <m:jc m:val="left"/>
              </m:oMathParaPr>
              <m:oMath>
                <m:sSub>
                  <m:sSubPr>
                    <m:ctrlPr>
                      <w:rPr>
                        <w:rFonts w:ascii="Cambria Math" w:hAnsi="Cambria Math"/>
                        <w:i/>
                      </w:rPr>
                    </m:ctrlPr>
                  </m:sSubPr>
                  <m:e>
                    <m:r>
                      <w:rPr>
                        <w:rFonts w:ascii="Cambria Math" w:hAnsi="Cambria Math"/>
                      </w:rPr>
                      <m:t>AD</m:t>
                    </m:r>
                  </m:e>
                  <m:sub>
                    <m:r>
                      <w:rPr>
                        <w:rFonts w:ascii="Cambria Math" w:hAnsi="Cambria Math"/>
                      </w:rPr>
                      <m:t>w</m:t>
                    </m:r>
                  </m:sub>
                </m:sSub>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285" w:type="dxa"/>
          </w:tcPr>
          <w:p w:rsidR="00506AE6" w:rsidRDefault="0072598A">
            <w:pPr>
              <w:adjustRightInd w:val="0"/>
              <w:snapToGrid w:val="0"/>
              <w:spacing w:line="240" w:lineRule="auto"/>
              <w:ind w:firstLineChars="0" w:firstLine="0"/>
              <w:rPr>
                <w:szCs w:val="21"/>
              </w:rPr>
            </w:pPr>
            <w:r>
              <w:t>热水的热量，单位为吉焦（</w:t>
            </w:r>
            <w:r>
              <w:t>GJ</w:t>
            </w:r>
            <w:r>
              <w:t>）</w:t>
            </w:r>
          </w:p>
        </w:tc>
      </w:tr>
      <w:tr w:rsidR="00506AE6">
        <w:trPr>
          <w:trHeight w:val="20"/>
          <w:jc w:val="right"/>
        </w:trPr>
        <w:tc>
          <w:tcPr>
            <w:tcW w:w="942" w:type="dxa"/>
          </w:tcPr>
          <w:p w:rsidR="00506AE6" w:rsidRDefault="0072598A">
            <w:pPr>
              <w:adjustRightInd w:val="0"/>
              <w:snapToGrid w:val="0"/>
              <w:spacing w:line="240" w:lineRule="auto"/>
              <w:ind w:firstLineChars="0" w:firstLine="0"/>
              <w:jc w:val="left"/>
              <w:rPr>
                <w:i/>
                <w:iCs/>
              </w:rPr>
            </w:pPr>
            <m:oMathPara>
              <m:oMathParaPr>
                <m:jc m:val="left"/>
              </m:oMathParaPr>
              <m:oMath>
                <m:sSub>
                  <m:sSubPr>
                    <m:ctrlPr>
                      <w:rPr>
                        <w:rFonts w:ascii="Cambria Math" w:hAnsi="Cambria Math"/>
                        <w:i/>
                      </w:rPr>
                    </m:ctrlPr>
                  </m:sSubPr>
                  <m:e>
                    <m:r>
                      <w:rPr>
                        <w:rFonts w:ascii="Cambria Math" w:hAnsi="Cambria Math"/>
                      </w:rPr>
                      <m:t>Ma</m:t>
                    </m:r>
                  </m:e>
                  <m:sub>
                    <m:r>
                      <w:rPr>
                        <w:rFonts w:ascii="Cambria Math" w:hAnsi="Cambria Math"/>
                      </w:rPr>
                      <m:t>w</m:t>
                    </m:r>
                  </m:sub>
                </m:sSub>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285" w:type="dxa"/>
          </w:tcPr>
          <w:p w:rsidR="00506AE6" w:rsidRDefault="0072598A">
            <w:pPr>
              <w:adjustRightInd w:val="0"/>
              <w:snapToGrid w:val="0"/>
              <w:spacing w:line="240" w:lineRule="auto"/>
              <w:ind w:firstLineChars="0" w:firstLine="0"/>
            </w:pPr>
            <w:r>
              <w:t>热水的质量，单位为吨（</w:t>
            </w:r>
            <w:r>
              <w:t>t</w:t>
            </w:r>
            <w:r>
              <w:t>）；</w:t>
            </w:r>
          </w:p>
        </w:tc>
      </w:tr>
      <w:tr w:rsidR="00506AE6">
        <w:trPr>
          <w:trHeight w:val="20"/>
          <w:jc w:val="right"/>
        </w:trPr>
        <w:tc>
          <w:tcPr>
            <w:tcW w:w="942" w:type="dxa"/>
          </w:tcPr>
          <w:p w:rsidR="00506AE6" w:rsidRDefault="0072598A">
            <w:pPr>
              <w:adjustRightInd w:val="0"/>
              <w:snapToGrid w:val="0"/>
              <w:spacing w:line="240" w:lineRule="auto"/>
              <w:ind w:firstLineChars="0" w:firstLine="0"/>
              <w:jc w:val="left"/>
              <w:rPr>
                <w:i/>
                <w:iCs/>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w</m:t>
                    </m:r>
                  </m:sub>
                </m:sSub>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285" w:type="dxa"/>
          </w:tcPr>
          <w:p w:rsidR="00506AE6" w:rsidRDefault="0072598A">
            <w:pPr>
              <w:adjustRightInd w:val="0"/>
              <w:snapToGrid w:val="0"/>
              <w:spacing w:line="240" w:lineRule="auto"/>
              <w:ind w:firstLineChars="0" w:firstLine="0"/>
            </w:pPr>
            <w:r>
              <w:t>热水的温度，单位为摄氏度（</w:t>
            </w:r>
            <w:r>
              <w:t>℃</w:t>
            </w:r>
            <w:r>
              <w:t>）；</w:t>
            </w:r>
          </w:p>
        </w:tc>
      </w:tr>
      <w:tr w:rsidR="00506AE6">
        <w:trPr>
          <w:trHeight w:val="20"/>
          <w:jc w:val="right"/>
        </w:trPr>
        <w:tc>
          <w:tcPr>
            <w:tcW w:w="942" w:type="dxa"/>
          </w:tcPr>
          <w:p w:rsidR="00506AE6" w:rsidRDefault="0072598A">
            <w:pPr>
              <w:adjustRightInd w:val="0"/>
              <w:snapToGrid w:val="0"/>
              <w:spacing w:line="240" w:lineRule="auto"/>
              <w:ind w:firstLineChars="0" w:firstLine="0"/>
              <w:jc w:val="left"/>
            </w:pPr>
            <m:oMathPara>
              <m:oMathParaPr>
                <m:jc m:val="left"/>
              </m:oMathParaPr>
              <m:oMath>
                <m:r>
                  <w:rPr>
                    <w:rFonts w:ascii="Cambria Math" w:hAnsi="Cambria Math"/>
                  </w:rPr>
                  <m:t>20</m:t>
                </m:r>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285" w:type="dxa"/>
          </w:tcPr>
          <w:p w:rsidR="00506AE6" w:rsidRDefault="0072598A">
            <w:pPr>
              <w:adjustRightInd w:val="0"/>
              <w:snapToGrid w:val="0"/>
              <w:spacing w:line="240" w:lineRule="auto"/>
              <w:ind w:firstLineChars="0" w:firstLine="0"/>
            </w:pPr>
            <w:r>
              <w:t>常温下水的温度，单位为摄氏度（</w:t>
            </w:r>
            <w:r>
              <w:t>℃</w:t>
            </w:r>
            <w:r>
              <w:t>）；</w:t>
            </w:r>
          </w:p>
        </w:tc>
      </w:tr>
      <w:tr w:rsidR="00506AE6">
        <w:trPr>
          <w:trHeight w:val="20"/>
          <w:jc w:val="right"/>
        </w:trPr>
        <w:tc>
          <w:tcPr>
            <w:tcW w:w="942" w:type="dxa"/>
          </w:tcPr>
          <w:p w:rsidR="00506AE6" w:rsidRDefault="0072598A">
            <w:pPr>
              <w:adjustRightInd w:val="0"/>
              <w:snapToGrid w:val="0"/>
              <w:spacing w:line="240" w:lineRule="auto"/>
              <w:ind w:firstLineChars="0" w:firstLine="0"/>
              <w:jc w:val="left"/>
            </w:pPr>
            <m:oMathPara>
              <m:oMathParaPr>
                <m:jc m:val="left"/>
              </m:oMathParaPr>
              <m:oMath>
                <m:r>
                  <w:rPr>
                    <w:rFonts w:ascii="Cambria Math" w:hAnsi="Cambria Math"/>
                  </w:rPr>
                  <m:t>4.1868</m:t>
                </m:r>
              </m:oMath>
            </m:oMathPara>
          </w:p>
        </w:tc>
        <w:tc>
          <w:tcPr>
            <w:tcW w:w="340" w:type="dxa"/>
          </w:tcPr>
          <w:p w:rsidR="00506AE6" w:rsidRDefault="0072598A">
            <w:pPr>
              <w:adjustRightInd w:val="0"/>
              <w:snapToGrid w:val="0"/>
              <w:spacing w:line="240" w:lineRule="auto"/>
              <w:ind w:firstLineChars="0" w:firstLine="0"/>
              <w:rPr>
                <w:szCs w:val="21"/>
              </w:rPr>
            </w:pPr>
            <w:r>
              <w:rPr>
                <w:szCs w:val="21"/>
              </w:rPr>
              <w:t>—</w:t>
            </w:r>
          </w:p>
        </w:tc>
        <w:tc>
          <w:tcPr>
            <w:tcW w:w="7285" w:type="dxa"/>
          </w:tcPr>
          <w:p w:rsidR="00506AE6" w:rsidRDefault="0072598A">
            <w:pPr>
              <w:adjustRightInd w:val="0"/>
              <w:snapToGrid w:val="0"/>
              <w:spacing w:line="240" w:lineRule="auto"/>
              <w:ind w:firstLineChars="0" w:firstLine="0"/>
            </w:pPr>
            <w:r>
              <w:t>水在常温常压下的比热，单位为千焦</w:t>
            </w:r>
            <w:r>
              <w:rPr>
                <w:rFonts w:hint="eastAsia"/>
              </w:rPr>
              <w:t>每</w:t>
            </w:r>
            <w:r>
              <w:t>千克</w:t>
            </w:r>
            <w:r>
              <w:rPr>
                <w:rFonts w:hint="eastAsia"/>
              </w:rPr>
              <w:t>每</w:t>
            </w:r>
            <w:r>
              <w:t>摄氏度</w:t>
            </w:r>
            <w:r>
              <w:rPr>
                <w:rFonts w:hint="eastAsia"/>
              </w:rPr>
              <w:t>[</w:t>
            </w:r>
            <w:r>
              <w:t>kJ/(kg∙℃)</w:t>
            </w:r>
            <w:r>
              <w:rPr>
                <w:rFonts w:hint="eastAsia"/>
              </w:rPr>
              <w:t>]</w:t>
            </w:r>
            <w:r>
              <w:t>。</w:t>
            </w:r>
          </w:p>
        </w:tc>
      </w:tr>
    </w:tbl>
    <w:p w:rsidR="00506AE6" w:rsidRDefault="0072598A">
      <w:pPr>
        <w:pStyle w:val="a4"/>
        <w:numPr>
          <w:ilvl w:val="2"/>
          <w:numId w:val="1"/>
        </w:numPr>
        <w:spacing w:before="156" w:after="156" w:line="360" w:lineRule="exact"/>
        <w:rPr>
          <w:rFonts w:ascii="Times New Roman"/>
        </w:rPr>
      </w:pPr>
      <w:r>
        <w:rPr>
          <w:rFonts w:ascii="Times New Roman"/>
        </w:rPr>
        <w:t>数据的监测与获取</w:t>
      </w:r>
    </w:p>
    <w:p w:rsidR="00506AE6" w:rsidRDefault="0072598A">
      <w:pPr>
        <w:pStyle w:val="a5"/>
        <w:numPr>
          <w:ilvl w:val="3"/>
          <w:numId w:val="1"/>
        </w:numPr>
      </w:pPr>
      <w:r>
        <w:rPr>
          <w:rFonts w:hint="eastAsia"/>
        </w:rPr>
        <w:t>购入热量、外供热量应</w:t>
      </w:r>
      <w:r>
        <w:rPr>
          <w:rFonts w:hint="eastAsia"/>
        </w:rPr>
        <w:t>采用</w:t>
      </w:r>
      <w:r>
        <w:rPr>
          <w:rFonts w:hint="eastAsia"/>
        </w:rPr>
        <w:t>流量计、热量计记录的计量数据，</w:t>
      </w:r>
      <w:r>
        <w:rPr>
          <w:rFonts w:hint="eastAsia"/>
        </w:rPr>
        <w:t>或</w:t>
      </w:r>
      <w:r>
        <w:rPr>
          <w:rFonts w:hint="eastAsia"/>
        </w:rPr>
        <w:t>供应商提供的热力结算凭证上的数据</w:t>
      </w:r>
      <w:r>
        <w:t>。</w:t>
      </w:r>
    </w:p>
    <w:p w:rsidR="00506AE6" w:rsidRDefault="0072598A">
      <w:pPr>
        <w:pStyle w:val="a5"/>
        <w:numPr>
          <w:ilvl w:val="3"/>
          <w:numId w:val="1"/>
        </w:numPr>
      </w:pPr>
      <w:r>
        <w:rPr>
          <w:rFonts w:hint="eastAsia"/>
        </w:rPr>
        <w:t>蒸汽及热水温度、压力数据应采用计量或控制系统的监测数据的月度算术平均值，数据不可得时应采用运行参数范围内的经验值</w:t>
      </w:r>
      <w:r>
        <w:t>。</w:t>
      </w:r>
    </w:p>
    <w:p w:rsidR="00506AE6" w:rsidRDefault="0072598A">
      <w:pPr>
        <w:pStyle w:val="a5"/>
        <w:numPr>
          <w:ilvl w:val="3"/>
          <w:numId w:val="1"/>
        </w:numPr>
      </w:pPr>
      <w:r>
        <w:rPr>
          <w:rFonts w:hint="eastAsia"/>
        </w:rPr>
        <w:lastRenderedPageBreak/>
        <w:t>流量计、热量计的配备和管理应符合</w:t>
      </w:r>
      <w:r>
        <w:rPr>
          <w:rFonts w:hint="eastAsia"/>
        </w:rPr>
        <w:t>GB 17167</w:t>
      </w:r>
      <w:r>
        <w:rPr>
          <w:rFonts w:hint="eastAsia"/>
        </w:rPr>
        <w:t>、</w:t>
      </w:r>
      <w:r>
        <w:rPr>
          <w:rFonts w:hint="eastAsia"/>
        </w:rPr>
        <w:t xml:space="preserve">GB/T </w:t>
      </w:r>
      <w:r>
        <w:rPr>
          <w:rFonts w:hint="eastAsia"/>
        </w:rPr>
        <w:t>35461</w:t>
      </w:r>
      <w:r>
        <w:rPr>
          <w:rFonts w:hint="eastAsia"/>
        </w:rPr>
        <w:t>等标准的要求，并确保在有效的检定</w:t>
      </w:r>
      <w:r>
        <w:rPr>
          <w:rFonts w:hint="eastAsia"/>
        </w:rPr>
        <w:t>/</w:t>
      </w:r>
      <w:r>
        <w:rPr>
          <w:rFonts w:hint="eastAsia"/>
        </w:rPr>
        <w:t>校准周期内。</w:t>
      </w:r>
    </w:p>
    <w:p w:rsidR="00506AE6" w:rsidRDefault="0072598A">
      <w:pPr>
        <w:pStyle w:val="a5"/>
        <w:numPr>
          <w:ilvl w:val="3"/>
          <w:numId w:val="1"/>
        </w:numPr>
      </w:pPr>
      <w:r>
        <w:t>热力排放</w:t>
      </w:r>
      <w:r>
        <w:rPr>
          <w:rFonts w:hint="eastAsia"/>
        </w:rPr>
        <w:t>因子</w:t>
      </w:r>
      <w:r>
        <w:t>取</w:t>
      </w:r>
      <w:r>
        <w:t>0.11 tCO</w:t>
      </w:r>
      <w:r>
        <w:rPr>
          <w:vertAlign w:val="subscript"/>
        </w:rPr>
        <w:t>2</w:t>
      </w:r>
      <w:r>
        <w:t>/GJ</w:t>
      </w:r>
      <w:r>
        <w:t>。</w:t>
      </w:r>
      <w:r>
        <w:rPr>
          <w:rFonts w:hint="eastAsia"/>
        </w:rPr>
        <w:t>生态环境部有更新的，采用其最新发布的数值。</w:t>
      </w:r>
    </w:p>
    <w:p w:rsidR="00506AE6" w:rsidRDefault="0072598A">
      <w:pPr>
        <w:pStyle w:val="a4"/>
        <w:spacing w:beforeLines="100" w:before="312" w:after="156" w:line="360" w:lineRule="exact"/>
        <w:ind w:left="0"/>
        <w:outlineLvl w:val="1"/>
        <w:rPr>
          <w:rFonts w:ascii="Times New Roman"/>
        </w:rPr>
      </w:pPr>
      <w:r>
        <w:rPr>
          <w:rFonts w:ascii="Times New Roman"/>
        </w:rPr>
        <w:t>企业层级排放量计算</w:t>
      </w:r>
      <w:bookmarkEnd w:id="317"/>
    </w:p>
    <w:p w:rsidR="00506AE6" w:rsidRDefault="0072598A">
      <w:pPr>
        <w:spacing w:beforeLines="50" w:before="156" w:afterLines="50" w:after="156"/>
        <w:rPr>
          <w:szCs w:val="21"/>
        </w:rPr>
      </w:pPr>
      <w:bookmarkStart w:id="318" w:name="_Hlk148468601"/>
      <w:r>
        <w:rPr>
          <w:rFonts w:hint="eastAsia"/>
          <w:szCs w:val="21"/>
        </w:rPr>
        <w:t>企业层级二氧化碳排放总量等于</w:t>
      </w:r>
      <w:r>
        <w:rPr>
          <w:rFonts w:hint="eastAsia"/>
          <w:szCs w:val="21"/>
        </w:rPr>
        <w:t>水泥生产</w:t>
      </w:r>
      <w:r>
        <w:rPr>
          <w:rFonts w:hint="eastAsia"/>
          <w:szCs w:val="21"/>
        </w:rPr>
        <w:t>核算边界内的二氧化碳排放量，加上纳入全国碳排放权交易市场的发电设施经核查的二氧化碳排放量和按照适用行业的核算与报告要求核算的其他非</w:t>
      </w:r>
      <w:r>
        <w:rPr>
          <w:rFonts w:hint="eastAsia"/>
          <w:szCs w:val="21"/>
        </w:rPr>
        <w:t>水泥</w:t>
      </w:r>
      <w:r>
        <w:rPr>
          <w:rFonts w:hint="eastAsia"/>
          <w:szCs w:val="21"/>
        </w:rPr>
        <w:t>产品生产温室气体排放量，采用公式（</w:t>
      </w:r>
      <w:r>
        <w:rPr>
          <w:szCs w:val="21"/>
        </w:rPr>
        <w:t>16</w:t>
      </w:r>
      <w:r>
        <w:rPr>
          <w:rFonts w:hint="eastAsia"/>
          <w:szCs w:val="21"/>
        </w:rPr>
        <w:t>）计算。</w:t>
      </w:r>
    </w:p>
    <w:p w:rsidR="00506AE6" w:rsidRDefault="0072598A">
      <w:pPr>
        <w:snapToGrid w:val="0"/>
        <w:spacing w:beforeLines="50" w:before="156" w:afterLines="50" w:after="156"/>
        <w:jc w:val="right"/>
        <w:rPr>
          <w:szCs w:val="21"/>
        </w:rPr>
      </w:pPr>
      <m:oMath>
        <m:sSub>
          <m:sSubPr>
            <m:ctrlPr>
              <w:rPr>
                <w:rFonts w:ascii="Cambria Math" w:hAnsi="Cambria Math"/>
                <w:szCs w:val="21"/>
              </w:rPr>
            </m:ctrlPr>
          </m:sSubPr>
          <m:e>
            <m:r>
              <m:rPr>
                <m:sty m:val="p"/>
              </m:rPr>
              <w:rPr>
                <w:rFonts w:ascii="Cambria Math" w:hint="eastAsia"/>
                <w:szCs w:val="21"/>
              </w:rPr>
              <m:t>E</m:t>
            </m:r>
          </m:e>
          <m:sub>
            <m:r>
              <m:rPr>
                <m:sty m:val="p"/>
              </m:rPr>
              <w:rPr>
                <w:rFonts w:ascii="Cambria Math" w:hAnsi="Cambria Math" w:hint="eastAsia"/>
                <w:szCs w:val="21"/>
              </w:rPr>
              <m:t>总</m:t>
            </m:r>
          </m:sub>
        </m:sSub>
        <m:r>
          <m:rPr>
            <m:sty m:val="p"/>
          </m:rPr>
          <w:rPr>
            <w:rFonts w:ascii="Cambria Math" w:hint="eastAsia"/>
            <w:szCs w:val="21"/>
          </w:rPr>
          <m:t>=</m:t>
        </m:r>
        <m:sSub>
          <m:sSubPr>
            <m:ctrlPr>
              <w:rPr>
                <w:rFonts w:ascii="Cambria Math" w:hAnsi="Cambria Math"/>
                <w:szCs w:val="21"/>
              </w:rPr>
            </m:ctrlPr>
          </m:sSubPr>
          <m:e>
            <m:r>
              <m:rPr>
                <m:sty m:val="p"/>
              </m:rPr>
              <w:rPr>
                <w:rFonts w:ascii="Cambria Math" w:hAnsi="Cambria Math"/>
                <w:szCs w:val="21"/>
              </w:rPr>
              <m:t>E</m:t>
            </m:r>
          </m:e>
          <m:sub>
            <m:r>
              <m:rPr>
                <m:sty m:val="p"/>
              </m:rPr>
              <w:rPr>
                <w:rFonts w:ascii="Cambria Math" w:hAnsi="Cambria Math" w:hint="eastAsia"/>
                <w:szCs w:val="21"/>
              </w:rPr>
              <m:t>水泥</m:t>
            </m:r>
          </m:sub>
        </m:sSub>
        <m:r>
          <m:rPr>
            <m:sty m:val="p"/>
          </m:rPr>
          <w:rPr>
            <w:rFonts w:ascii="Cambria Math" w:hint="eastAsia"/>
            <w:szCs w:val="21"/>
          </w:rPr>
          <m:t>+</m:t>
        </m:r>
        <m:sSub>
          <m:sSubPr>
            <m:ctrlPr>
              <w:rPr>
                <w:rFonts w:ascii="Cambria Math" w:hAnsi="Cambria Math"/>
                <w:szCs w:val="21"/>
              </w:rPr>
            </m:ctrlPr>
          </m:sSubPr>
          <m:e>
            <m:r>
              <m:rPr>
                <m:sty m:val="p"/>
              </m:rPr>
              <w:rPr>
                <w:rFonts w:ascii="Cambria Math" w:hAnsi="Cambria Math"/>
                <w:szCs w:val="21"/>
              </w:rPr>
              <m:t>E</m:t>
            </m:r>
          </m:e>
          <m:sub>
            <m:r>
              <m:rPr>
                <m:sty m:val="p"/>
              </m:rPr>
              <w:rPr>
                <w:rFonts w:ascii="Cambria Math" w:hint="eastAsia"/>
                <w:szCs w:val="21"/>
              </w:rPr>
              <m:t>发电设施</m:t>
            </m:r>
          </m:sub>
        </m:sSub>
        <m:r>
          <m:rPr>
            <m:sty m:val="p"/>
          </m:rPr>
          <w:rPr>
            <w:rFonts w:ascii="Cambria Math"/>
            <w:szCs w:val="21"/>
          </w:rPr>
          <m:t>+</m:t>
        </m:r>
        <m:sSub>
          <m:sSubPr>
            <m:ctrlPr>
              <w:rPr>
                <w:rFonts w:ascii="Cambria Math" w:hAnsi="Cambria Math"/>
                <w:szCs w:val="21"/>
              </w:rPr>
            </m:ctrlPr>
          </m:sSubPr>
          <m:e>
            <m:r>
              <m:rPr>
                <m:sty m:val="p"/>
              </m:rPr>
              <w:rPr>
                <w:rFonts w:ascii="Cambria Math" w:hAnsi="Cambria Math"/>
                <w:szCs w:val="21"/>
              </w:rPr>
              <m:t>E</m:t>
            </m:r>
          </m:e>
          <m:sub>
            <m:r>
              <m:rPr>
                <m:sty m:val="p"/>
              </m:rPr>
              <w:rPr>
                <w:rFonts w:ascii="Cambria Math" w:hint="eastAsia"/>
                <w:szCs w:val="21"/>
              </w:rPr>
              <m:t>其他</m:t>
            </m:r>
          </m:sub>
        </m:sSub>
      </m:oMath>
      <w:r>
        <w:rPr>
          <w:szCs w:val="21"/>
          <w:vertAlign w:val="subscript"/>
        </w:rPr>
        <w:t xml:space="preserve">  </w:t>
      </w:r>
      <w:r>
        <w:rPr>
          <w:rFonts w:hint="eastAsia"/>
          <w:szCs w:val="21"/>
          <w:vertAlign w:val="subscript"/>
        </w:rPr>
        <w:t xml:space="preserve">            </w:t>
      </w:r>
      <w:r>
        <w:rPr>
          <w:szCs w:val="21"/>
          <w:vertAlign w:val="subscript"/>
        </w:rPr>
        <w:t xml:space="preserve">    </w:t>
      </w:r>
      <w:r>
        <w:rPr>
          <w:rFonts w:hint="eastAsia"/>
          <w:szCs w:val="21"/>
          <w:vertAlign w:val="subscript"/>
        </w:rPr>
        <w:t xml:space="preserve">  </w:t>
      </w:r>
      <w:r>
        <w:rPr>
          <w:szCs w:val="21"/>
          <w:vertAlign w:val="subscript"/>
        </w:rPr>
        <w:t xml:space="preserve">      </w:t>
      </w:r>
      <w:r>
        <w:rPr>
          <w:rFonts w:hint="eastAsia"/>
          <w:szCs w:val="21"/>
          <w:vertAlign w:val="subscript"/>
        </w:rPr>
        <w:t xml:space="preserve">           </w:t>
      </w:r>
      <w:r>
        <w:rPr>
          <w:szCs w:val="21"/>
          <w:vertAlign w:val="subscript"/>
        </w:rPr>
        <w:t xml:space="preserve">  </w:t>
      </w:r>
      <w:r>
        <w:rPr>
          <w:szCs w:val="21"/>
        </w:rPr>
        <w:t>（</w:t>
      </w:r>
      <w:r>
        <w:rPr>
          <w:rFonts w:hint="eastAsia"/>
          <w:szCs w:val="21"/>
        </w:rPr>
        <w:t>1</w:t>
      </w:r>
      <w:r>
        <w:rPr>
          <w:szCs w:val="21"/>
        </w:rPr>
        <w:t>6</w:t>
      </w:r>
      <w:r>
        <w:rPr>
          <w:szCs w:val="21"/>
        </w:rPr>
        <w:t>）</w:t>
      </w:r>
    </w:p>
    <w:p w:rsidR="00506AE6" w:rsidRDefault="0072598A">
      <w:pPr>
        <w:snapToGrid w:val="0"/>
        <w:spacing w:beforeLines="50" w:before="156" w:afterLines="50" w:after="156"/>
        <w:ind w:firstLineChars="0" w:firstLine="0"/>
        <w:rPr>
          <w:szCs w:val="21"/>
        </w:rPr>
      </w:pPr>
      <w:r>
        <w:rPr>
          <w:szCs w:val="21"/>
        </w:rPr>
        <w:t>式中</w:t>
      </w:r>
      <w:r>
        <w:rPr>
          <w:rFonts w:hint="eastAsia"/>
          <w:szCs w:val="21"/>
        </w:rPr>
        <w:t>：</w:t>
      </w:r>
    </w:p>
    <w:tbl>
      <w:tblPr>
        <w:tblW w:w="8409" w:type="dxa"/>
        <w:tblInd w:w="528" w:type="dxa"/>
        <w:tblLayout w:type="fixed"/>
        <w:tblLook w:val="04A0" w:firstRow="1" w:lastRow="0" w:firstColumn="1" w:lastColumn="0" w:noHBand="0" w:noVBand="1"/>
      </w:tblPr>
      <w:tblGrid>
        <w:gridCol w:w="891"/>
        <w:gridCol w:w="334"/>
        <w:gridCol w:w="7184"/>
      </w:tblGrid>
      <w:tr w:rsidR="00506AE6">
        <w:tc>
          <w:tcPr>
            <w:tcW w:w="891" w:type="dxa"/>
          </w:tcPr>
          <w:p w:rsidR="00506AE6" w:rsidRDefault="0072598A">
            <w:pPr>
              <w:spacing w:line="276" w:lineRule="auto"/>
              <w:ind w:firstLineChars="0" w:firstLine="0"/>
              <w:rPr>
                <w:i/>
                <w:iCs/>
                <w:szCs w:val="21"/>
                <w:vertAlign w:val="subscript"/>
              </w:rPr>
            </w:pPr>
            <w:r>
              <w:rPr>
                <w:i/>
                <w:iCs/>
                <w:szCs w:val="21"/>
              </w:rPr>
              <w:t>E</w:t>
            </w:r>
            <w:r>
              <w:rPr>
                <w:rFonts w:hint="eastAsia"/>
                <w:i/>
                <w:iCs/>
                <w:szCs w:val="21"/>
                <w:vertAlign w:val="subscript"/>
              </w:rPr>
              <w:t>总</w:t>
            </w:r>
          </w:p>
        </w:tc>
        <w:tc>
          <w:tcPr>
            <w:tcW w:w="334" w:type="dxa"/>
          </w:tcPr>
          <w:p w:rsidR="00506AE6" w:rsidRDefault="0072598A">
            <w:pPr>
              <w:spacing w:line="276" w:lineRule="auto"/>
              <w:ind w:firstLineChars="0" w:firstLine="0"/>
              <w:rPr>
                <w:szCs w:val="21"/>
              </w:rPr>
            </w:pPr>
            <w:r>
              <w:rPr>
                <w:szCs w:val="21"/>
              </w:rPr>
              <w:t>—</w:t>
            </w:r>
          </w:p>
        </w:tc>
        <w:tc>
          <w:tcPr>
            <w:tcW w:w="7184" w:type="dxa"/>
          </w:tcPr>
          <w:p w:rsidR="00506AE6" w:rsidRDefault="0072598A">
            <w:pPr>
              <w:spacing w:line="276" w:lineRule="auto"/>
              <w:ind w:firstLineChars="0" w:firstLine="0"/>
              <w:rPr>
                <w:szCs w:val="21"/>
              </w:rPr>
            </w:pPr>
            <w:r>
              <w:rPr>
                <w:rFonts w:hint="eastAsia"/>
                <w:szCs w:val="21"/>
              </w:rPr>
              <w:t>企业层级</w:t>
            </w:r>
            <w:r>
              <w:rPr>
                <w:szCs w:val="21"/>
              </w:rPr>
              <w:t>二氧化碳排放</w:t>
            </w:r>
            <w:r>
              <w:rPr>
                <w:rFonts w:hint="eastAsia"/>
                <w:szCs w:val="21"/>
              </w:rPr>
              <w:t>总</w:t>
            </w:r>
            <w:r>
              <w:rPr>
                <w:szCs w:val="21"/>
              </w:rPr>
              <w:t>量，单位为吨二氧化碳</w:t>
            </w:r>
            <w:r>
              <w:rPr>
                <w:rFonts w:hint="eastAsia"/>
                <w:szCs w:val="21"/>
              </w:rPr>
              <w:t>当量</w:t>
            </w:r>
            <w:r>
              <w:rPr>
                <w:szCs w:val="21"/>
              </w:rPr>
              <w:t>（</w:t>
            </w:r>
            <w:r>
              <w:rPr>
                <w:szCs w:val="21"/>
              </w:rPr>
              <w:t>tCO</w:t>
            </w:r>
            <w:r>
              <w:rPr>
                <w:szCs w:val="21"/>
                <w:vertAlign w:val="subscript"/>
              </w:rPr>
              <w:t>2</w:t>
            </w:r>
            <w:r>
              <w:rPr>
                <w:szCs w:val="21"/>
              </w:rPr>
              <w:t>e</w:t>
            </w:r>
            <w:r>
              <w:rPr>
                <w:szCs w:val="21"/>
              </w:rPr>
              <w:t>）；</w:t>
            </w:r>
          </w:p>
        </w:tc>
      </w:tr>
      <w:tr w:rsidR="00506AE6">
        <w:tc>
          <w:tcPr>
            <w:tcW w:w="891" w:type="dxa"/>
          </w:tcPr>
          <w:p w:rsidR="00506AE6" w:rsidRDefault="0072598A">
            <w:pPr>
              <w:spacing w:line="276" w:lineRule="auto"/>
              <w:ind w:firstLineChars="0" w:firstLine="0"/>
              <w:rPr>
                <w:i/>
                <w:iCs/>
                <w:szCs w:val="21"/>
                <w:vertAlign w:val="subscript"/>
              </w:rPr>
            </w:pPr>
            <w:r>
              <w:rPr>
                <w:i/>
                <w:iCs/>
                <w:szCs w:val="21"/>
              </w:rPr>
              <w:t>E</w:t>
            </w:r>
            <w:r>
              <w:rPr>
                <w:rFonts w:hint="eastAsia"/>
                <w:i/>
                <w:iCs/>
                <w:szCs w:val="21"/>
                <w:vertAlign w:val="subscript"/>
              </w:rPr>
              <w:t>水泥</w:t>
            </w:r>
          </w:p>
        </w:tc>
        <w:tc>
          <w:tcPr>
            <w:tcW w:w="334" w:type="dxa"/>
          </w:tcPr>
          <w:p w:rsidR="00506AE6" w:rsidRDefault="0072598A">
            <w:pPr>
              <w:spacing w:line="276" w:lineRule="auto"/>
              <w:ind w:firstLineChars="0" w:firstLine="0"/>
              <w:rPr>
                <w:szCs w:val="21"/>
              </w:rPr>
            </w:pPr>
            <w:r>
              <w:rPr>
                <w:szCs w:val="21"/>
              </w:rPr>
              <w:t>—</w:t>
            </w:r>
          </w:p>
        </w:tc>
        <w:tc>
          <w:tcPr>
            <w:tcW w:w="7184" w:type="dxa"/>
          </w:tcPr>
          <w:p w:rsidR="00506AE6" w:rsidRDefault="0072598A">
            <w:pPr>
              <w:spacing w:line="276" w:lineRule="auto"/>
              <w:ind w:firstLineChars="0" w:firstLine="0"/>
              <w:rPr>
                <w:szCs w:val="21"/>
              </w:rPr>
            </w:pPr>
            <w:r>
              <w:rPr>
                <w:rFonts w:hint="eastAsia"/>
                <w:szCs w:val="21"/>
              </w:rPr>
              <w:t>水泥生产</w:t>
            </w:r>
            <w:r>
              <w:rPr>
                <w:rFonts w:hint="eastAsia"/>
                <w:szCs w:val="21"/>
              </w:rPr>
              <w:t>核算边界内二氧化碳排放量</w:t>
            </w:r>
            <w:r>
              <w:rPr>
                <w:szCs w:val="21"/>
              </w:rPr>
              <w:t>，单位为吨二氧化碳（</w:t>
            </w:r>
            <w:r>
              <w:rPr>
                <w:szCs w:val="21"/>
              </w:rPr>
              <w:t>tCO</w:t>
            </w:r>
            <w:r>
              <w:rPr>
                <w:szCs w:val="21"/>
                <w:vertAlign w:val="subscript"/>
              </w:rPr>
              <w:t>2</w:t>
            </w:r>
            <w:r>
              <w:rPr>
                <w:szCs w:val="21"/>
              </w:rPr>
              <w:t>）；</w:t>
            </w:r>
          </w:p>
        </w:tc>
      </w:tr>
      <w:tr w:rsidR="00506AE6">
        <w:tc>
          <w:tcPr>
            <w:tcW w:w="891" w:type="dxa"/>
          </w:tcPr>
          <w:p w:rsidR="00506AE6" w:rsidRDefault="0072598A">
            <w:pPr>
              <w:spacing w:line="276" w:lineRule="auto"/>
              <w:ind w:firstLineChars="0" w:firstLine="0"/>
              <w:rPr>
                <w:i/>
                <w:iCs/>
                <w:szCs w:val="21"/>
              </w:rPr>
            </w:pPr>
            <w:r>
              <w:rPr>
                <w:i/>
                <w:iCs/>
                <w:szCs w:val="21"/>
              </w:rPr>
              <w:t>E</w:t>
            </w:r>
            <w:r>
              <w:rPr>
                <w:rFonts w:hint="eastAsia"/>
                <w:i/>
                <w:iCs/>
                <w:szCs w:val="21"/>
                <w:vertAlign w:val="subscript"/>
              </w:rPr>
              <w:t>发电设施</w:t>
            </w:r>
          </w:p>
        </w:tc>
        <w:tc>
          <w:tcPr>
            <w:tcW w:w="334" w:type="dxa"/>
          </w:tcPr>
          <w:p w:rsidR="00506AE6" w:rsidRDefault="0072598A">
            <w:pPr>
              <w:spacing w:line="276" w:lineRule="auto"/>
              <w:ind w:firstLineChars="0" w:firstLine="0"/>
              <w:rPr>
                <w:szCs w:val="21"/>
              </w:rPr>
            </w:pPr>
            <w:r>
              <w:rPr>
                <w:szCs w:val="21"/>
              </w:rPr>
              <w:t>—</w:t>
            </w:r>
          </w:p>
        </w:tc>
        <w:tc>
          <w:tcPr>
            <w:tcW w:w="7184" w:type="dxa"/>
          </w:tcPr>
          <w:p w:rsidR="00506AE6" w:rsidRDefault="0072598A">
            <w:pPr>
              <w:spacing w:line="276" w:lineRule="auto"/>
              <w:ind w:firstLineChars="0" w:firstLine="0"/>
              <w:rPr>
                <w:szCs w:val="21"/>
              </w:rPr>
            </w:pPr>
            <w:r>
              <w:rPr>
                <w:rFonts w:hint="eastAsia"/>
              </w:rPr>
              <w:t>纳入全国碳排放权交易市场的发电设施</w:t>
            </w:r>
            <w:r>
              <w:rPr>
                <w:szCs w:val="21"/>
              </w:rPr>
              <w:t>二氧化碳排放量，</w:t>
            </w:r>
            <w:r>
              <w:rPr>
                <w:rFonts w:hint="eastAsia"/>
                <w:szCs w:val="21"/>
              </w:rPr>
              <w:t>直接引用经核查的二氧化碳排放量，</w:t>
            </w:r>
            <w:r>
              <w:rPr>
                <w:szCs w:val="21"/>
              </w:rPr>
              <w:t>单位为吨二氧化碳（</w:t>
            </w:r>
            <w:r>
              <w:rPr>
                <w:szCs w:val="21"/>
              </w:rPr>
              <w:t>tCO</w:t>
            </w:r>
            <w:r>
              <w:rPr>
                <w:szCs w:val="21"/>
                <w:vertAlign w:val="subscript"/>
              </w:rPr>
              <w:t>2</w:t>
            </w:r>
            <w:r>
              <w:rPr>
                <w:szCs w:val="21"/>
              </w:rPr>
              <w:t>）；</w:t>
            </w:r>
          </w:p>
        </w:tc>
      </w:tr>
      <w:tr w:rsidR="00506AE6">
        <w:tc>
          <w:tcPr>
            <w:tcW w:w="891" w:type="dxa"/>
          </w:tcPr>
          <w:p w:rsidR="00506AE6" w:rsidRDefault="0072598A">
            <w:pPr>
              <w:spacing w:line="276" w:lineRule="auto"/>
              <w:ind w:firstLineChars="0" w:firstLine="0"/>
              <w:rPr>
                <w:i/>
                <w:iCs/>
                <w:szCs w:val="21"/>
              </w:rPr>
            </w:pPr>
            <w:r>
              <w:rPr>
                <w:i/>
                <w:iCs/>
                <w:szCs w:val="21"/>
              </w:rPr>
              <w:t>E</w:t>
            </w:r>
            <w:r>
              <w:rPr>
                <w:rFonts w:hint="eastAsia"/>
                <w:i/>
                <w:iCs/>
                <w:szCs w:val="21"/>
                <w:vertAlign w:val="subscript"/>
              </w:rPr>
              <w:t>其他</w:t>
            </w:r>
          </w:p>
        </w:tc>
        <w:tc>
          <w:tcPr>
            <w:tcW w:w="334" w:type="dxa"/>
          </w:tcPr>
          <w:p w:rsidR="00506AE6" w:rsidRDefault="0072598A">
            <w:pPr>
              <w:spacing w:line="276" w:lineRule="auto"/>
              <w:ind w:firstLineChars="0" w:firstLine="0"/>
              <w:rPr>
                <w:szCs w:val="21"/>
              </w:rPr>
            </w:pPr>
            <w:r>
              <w:rPr>
                <w:szCs w:val="21"/>
              </w:rPr>
              <w:t>—</w:t>
            </w:r>
          </w:p>
        </w:tc>
        <w:tc>
          <w:tcPr>
            <w:tcW w:w="7184" w:type="dxa"/>
          </w:tcPr>
          <w:p w:rsidR="00506AE6" w:rsidRDefault="0072598A">
            <w:pPr>
              <w:spacing w:line="276" w:lineRule="auto"/>
              <w:ind w:firstLineChars="0" w:firstLine="0"/>
              <w:rPr>
                <w:szCs w:val="21"/>
              </w:rPr>
            </w:pPr>
            <w:r>
              <w:rPr>
                <w:rFonts w:hint="eastAsia"/>
                <w:szCs w:val="21"/>
              </w:rPr>
              <w:t>其他非</w:t>
            </w:r>
            <w:r>
              <w:rPr>
                <w:rFonts w:hint="eastAsia"/>
                <w:szCs w:val="21"/>
              </w:rPr>
              <w:t>水泥</w:t>
            </w:r>
            <w:r>
              <w:rPr>
                <w:rFonts w:hint="eastAsia"/>
                <w:szCs w:val="21"/>
              </w:rPr>
              <w:t>产品生产</w:t>
            </w:r>
            <w:r>
              <w:rPr>
                <w:szCs w:val="21"/>
              </w:rPr>
              <w:t>二氧化碳排放量，单位为吨二氧化碳</w:t>
            </w:r>
            <w:r>
              <w:rPr>
                <w:rFonts w:hint="eastAsia"/>
                <w:szCs w:val="21"/>
              </w:rPr>
              <w:t>当量</w:t>
            </w:r>
            <w:r>
              <w:rPr>
                <w:szCs w:val="21"/>
              </w:rPr>
              <w:t>（</w:t>
            </w:r>
            <w:r>
              <w:rPr>
                <w:szCs w:val="21"/>
              </w:rPr>
              <w:t>tCO</w:t>
            </w:r>
            <w:r>
              <w:rPr>
                <w:szCs w:val="21"/>
                <w:vertAlign w:val="subscript"/>
              </w:rPr>
              <w:t>2</w:t>
            </w:r>
            <w:r>
              <w:rPr>
                <w:szCs w:val="21"/>
              </w:rPr>
              <w:t>e</w:t>
            </w:r>
            <w:r>
              <w:rPr>
                <w:szCs w:val="21"/>
              </w:rPr>
              <w:t>）。</w:t>
            </w:r>
          </w:p>
        </w:tc>
      </w:tr>
    </w:tbl>
    <w:p w:rsidR="00506AE6" w:rsidRDefault="00506AE6">
      <w:pPr>
        <w:pStyle w:val="affa"/>
        <w:tabs>
          <w:tab w:val="clear" w:pos="-420"/>
          <w:tab w:val="clear" w:pos="0"/>
        </w:tabs>
        <w:spacing w:line="360" w:lineRule="exact"/>
      </w:pPr>
    </w:p>
    <w:p w:rsidR="00506AE6" w:rsidRDefault="0072598A">
      <w:pPr>
        <w:pStyle w:val="affa"/>
        <w:tabs>
          <w:tab w:val="clear" w:pos="-420"/>
          <w:tab w:val="clear" w:pos="0"/>
        </w:tabs>
        <w:spacing w:line="360" w:lineRule="exact"/>
      </w:pPr>
      <w:r>
        <w:rPr>
          <w:rFonts w:hint="eastAsia"/>
        </w:rPr>
        <w:t>其中，</w:t>
      </w:r>
      <w:r>
        <w:rPr>
          <w:rFonts w:hint="eastAsia"/>
          <w:szCs w:val="21"/>
        </w:rPr>
        <w:t>水泥生产</w:t>
      </w:r>
      <w:r>
        <w:rPr>
          <w:rFonts w:hint="eastAsia"/>
          <w:szCs w:val="21"/>
        </w:rPr>
        <w:t>核算边界内二氧化碳排放量</w:t>
      </w:r>
      <w:r>
        <w:rPr>
          <w:rFonts w:hint="eastAsia"/>
        </w:rPr>
        <w:t>等于化石燃料燃烧排放量、过程排放量、净购入使用电力产生的排放量和净购入使用热力产生的排放量</w:t>
      </w:r>
      <w:r>
        <w:t>之和</w:t>
      </w:r>
      <w:bookmarkEnd w:id="318"/>
      <w:r>
        <w:t>，</w:t>
      </w:r>
      <w:r>
        <w:rPr>
          <w:rFonts w:hint="eastAsia"/>
        </w:rPr>
        <w:t>按</w:t>
      </w:r>
      <w:r>
        <w:t>公式</w:t>
      </w:r>
      <w:r>
        <w:rPr>
          <w:rFonts w:hint="eastAsia"/>
        </w:rPr>
        <w:t>（</w:t>
      </w:r>
      <w:r>
        <w:rPr>
          <w:rFonts w:hint="eastAsia"/>
        </w:rPr>
        <w:t>1</w:t>
      </w:r>
      <w:r>
        <w:rPr>
          <w:rFonts w:hint="eastAsia"/>
        </w:rPr>
        <w:t>7</w:t>
      </w:r>
      <w:r>
        <w:rPr>
          <w:rFonts w:hint="eastAsia"/>
        </w:rPr>
        <w:t>）</w:t>
      </w:r>
      <w:r>
        <w:t>计算。</w:t>
      </w:r>
    </w:p>
    <w:p w:rsidR="00506AE6" w:rsidRDefault="0072598A">
      <w:pPr>
        <w:pStyle w:val="MTDisplayEquation"/>
      </w:pPr>
      <w:r>
        <w:tab/>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hint="eastAsia"/>
              </w:rPr>
              <m:t>水泥</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燃烧</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过程</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电</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热</m:t>
            </m:r>
          </m:sub>
        </m:sSub>
      </m:oMath>
      <w:r>
        <w:tab/>
      </w:r>
      <w:r>
        <w:rPr>
          <w:rFonts w:hint="eastAsia"/>
        </w:rPr>
        <w:t>（</w:t>
      </w:r>
      <w:r>
        <w:rPr>
          <w:rFonts w:hint="eastAsia"/>
        </w:rPr>
        <w:t>1</w:t>
      </w:r>
      <w:r>
        <w:rPr>
          <w:rFonts w:hint="eastAsia"/>
        </w:rPr>
        <w:t>7</w:t>
      </w:r>
      <w:r>
        <w:rPr>
          <w:rFonts w:hint="eastAsia"/>
        </w:rPr>
        <w:t>）</w:t>
      </w:r>
    </w:p>
    <w:p w:rsidR="00506AE6" w:rsidRDefault="0072598A">
      <w:pPr>
        <w:pStyle w:val="a3"/>
        <w:spacing w:before="312" w:after="312" w:line="360" w:lineRule="exact"/>
        <w:ind w:left="0"/>
        <w:outlineLvl w:val="0"/>
        <w:rPr>
          <w:rFonts w:ascii="Times New Roman"/>
        </w:rPr>
      </w:pPr>
      <w:bookmarkStart w:id="319" w:name="_Toc9965365"/>
      <w:bookmarkStart w:id="320" w:name="_Toc9965367"/>
      <w:bookmarkStart w:id="321" w:name="_Toc9957057"/>
      <w:bookmarkStart w:id="322" w:name="_Toc9965366"/>
      <w:bookmarkStart w:id="323" w:name="_Toc9957050"/>
      <w:bookmarkStart w:id="324" w:name="_Toc9957053"/>
      <w:bookmarkStart w:id="325" w:name="_Toc9957051"/>
      <w:bookmarkStart w:id="326" w:name="_Toc9965373"/>
      <w:bookmarkStart w:id="327" w:name="_Toc9965380"/>
      <w:bookmarkStart w:id="328" w:name="_Toc9957056"/>
      <w:bookmarkStart w:id="329" w:name="_Toc9957054"/>
      <w:bookmarkStart w:id="330" w:name="_Toc9965372"/>
      <w:bookmarkStart w:id="331" w:name="_Toc9957060"/>
      <w:bookmarkStart w:id="332" w:name="_Toc9965374"/>
      <w:bookmarkStart w:id="333" w:name="_Toc9957064"/>
      <w:bookmarkStart w:id="334" w:name="_Toc9965368"/>
      <w:bookmarkStart w:id="335" w:name="_Toc9965371"/>
      <w:bookmarkStart w:id="336" w:name="_Toc9957059"/>
      <w:bookmarkStart w:id="337" w:name="_Toc9965378"/>
      <w:bookmarkStart w:id="338" w:name="_Toc9957058"/>
      <w:bookmarkStart w:id="339" w:name="_Toc9957066"/>
      <w:bookmarkStart w:id="340" w:name="_Toc9957063"/>
      <w:bookmarkStart w:id="341" w:name="_Toc9965369"/>
      <w:bookmarkStart w:id="342" w:name="_Toc9957065"/>
      <w:bookmarkStart w:id="343" w:name="_Toc9965379"/>
      <w:bookmarkStart w:id="344" w:name="_Toc9957055"/>
      <w:bookmarkStart w:id="345" w:name="_Toc9965370"/>
      <w:bookmarkStart w:id="346" w:name="_Toc9965377"/>
      <w:bookmarkStart w:id="347" w:name="_Toc9957052"/>
      <w:bookmarkStart w:id="348" w:name="_Toc9965364"/>
      <w:bookmarkStart w:id="349" w:name="_Toc82722718"/>
      <w:bookmarkStart w:id="350" w:name="_Toc159419086"/>
      <w:bookmarkStart w:id="351" w:name="_Toc151372326"/>
      <w:bookmarkStart w:id="352" w:name="_Toc571866340"/>
      <w:bookmarkStart w:id="353" w:name="_Toc140003052"/>
      <w:bookmarkStart w:id="354" w:name="_Toc146201696"/>
      <w:bookmarkEnd w:id="266"/>
      <w:bookmarkEnd w:id="267"/>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Pr>
          <w:rFonts w:ascii="Times New Roman" w:hint="eastAsia"/>
        </w:rPr>
        <w:t>生产数据核算要求</w:t>
      </w:r>
      <w:bookmarkEnd w:id="349"/>
      <w:bookmarkEnd w:id="350"/>
      <w:bookmarkEnd w:id="351"/>
      <w:bookmarkEnd w:id="352"/>
    </w:p>
    <w:p w:rsidR="00506AE6" w:rsidRDefault="0072598A">
      <w:pPr>
        <w:pStyle w:val="a4"/>
        <w:spacing w:before="156" w:after="156" w:line="360" w:lineRule="exact"/>
        <w:ind w:left="0"/>
        <w:jc w:val="both"/>
        <w:outlineLvl w:val="1"/>
      </w:pPr>
      <w:bookmarkStart w:id="355" w:name="_Toc151372327"/>
      <w:bookmarkStart w:id="356" w:name="_Toc148903448"/>
      <w:bookmarkStart w:id="357" w:name="_Toc147866965"/>
      <w:r>
        <w:rPr>
          <w:rFonts w:hint="eastAsia"/>
        </w:rPr>
        <w:t>熟料生产数据核算要求</w:t>
      </w:r>
      <w:bookmarkEnd w:id="355"/>
      <w:bookmarkEnd w:id="356"/>
      <w:bookmarkEnd w:id="357"/>
    </w:p>
    <w:p w:rsidR="00506AE6" w:rsidRDefault="0072598A">
      <w:pPr>
        <w:pStyle w:val="affa"/>
        <w:tabs>
          <w:tab w:val="clear" w:pos="-420"/>
          <w:tab w:val="clear" w:pos="0"/>
        </w:tabs>
        <w:spacing w:line="360" w:lineRule="exact"/>
      </w:pPr>
      <w:r>
        <w:rPr>
          <w:rFonts w:hint="eastAsia"/>
        </w:rPr>
        <w:t>熟料产量的数据监测与获取相关要求参考</w:t>
      </w:r>
      <w:r>
        <w:rPr>
          <w:rFonts w:hint="eastAsia"/>
        </w:rPr>
        <w:t>6.2.2.1</w:t>
      </w:r>
      <w:r>
        <w:rPr>
          <w:rFonts w:hint="eastAsia"/>
        </w:rPr>
        <w:t>章节。</w:t>
      </w:r>
    </w:p>
    <w:p w:rsidR="00506AE6" w:rsidRDefault="0072598A">
      <w:pPr>
        <w:pStyle w:val="a4"/>
        <w:spacing w:before="156" w:after="156" w:line="360" w:lineRule="exact"/>
        <w:ind w:left="0"/>
        <w:jc w:val="both"/>
        <w:outlineLvl w:val="1"/>
        <w:rPr>
          <w:rFonts w:hAnsi="黑体"/>
        </w:rPr>
      </w:pPr>
      <w:bookmarkStart w:id="358" w:name="_Toc151372328"/>
      <w:bookmarkStart w:id="359" w:name="_Toc148903446"/>
      <w:bookmarkStart w:id="360" w:name="_Toc147866963"/>
      <w:r>
        <w:rPr>
          <w:rFonts w:hAnsi="黑体" w:hint="eastAsia"/>
        </w:rPr>
        <w:t>企业层级生产</w:t>
      </w:r>
      <w:r>
        <w:rPr>
          <w:rFonts w:hint="eastAsia"/>
        </w:rPr>
        <w:t>数据</w:t>
      </w:r>
      <w:r>
        <w:rPr>
          <w:rFonts w:hAnsi="黑体" w:hint="eastAsia"/>
        </w:rPr>
        <w:t>核算要求</w:t>
      </w:r>
      <w:bookmarkEnd w:id="358"/>
      <w:bookmarkEnd w:id="359"/>
      <w:bookmarkEnd w:id="360"/>
    </w:p>
    <w:p w:rsidR="00506AE6" w:rsidRDefault="0072598A">
      <w:pPr>
        <w:pStyle w:val="affa"/>
        <w:tabs>
          <w:tab w:val="clear" w:pos="-420"/>
          <w:tab w:val="clear" w:pos="0"/>
        </w:tabs>
        <w:spacing w:line="360" w:lineRule="exact"/>
      </w:pPr>
      <w:bookmarkStart w:id="361" w:name="_Toc147866964"/>
      <w:bookmarkStart w:id="362" w:name="_Toc151372329"/>
      <w:bookmarkStart w:id="363" w:name="_Toc148903447"/>
      <w:r>
        <w:rPr>
          <w:rFonts w:hint="eastAsia"/>
        </w:rPr>
        <w:t>产品产量数据采用如下方式监测和获取：</w:t>
      </w:r>
      <w:bookmarkEnd w:id="361"/>
      <w:bookmarkEnd w:id="362"/>
      <w:bookmarkEnd w:id="363"/>
    </w:p>
    <w:p w:rsidR="00506AE6" w:rsidRDefault="0072598A">
      <w:pPr>
        <w:pStyle w:val="affa"/>
        <w:numPr>
          <w:ilvl w:val="0"/>
          <w:numId w:val="20"/>
        </w:numPr>
        <w:tabs>
          <w:tab w:val="clear" w:pos="-420"/>
          <w:tab w:val="clear" w:pos="0"/>
          <w:tab w:val="clear" w:pos="4201"/>
          <w:tab w:val="clear" w:pos="9298"/>
        </w:tabs>
        <w:spacing w:line="360" w:lineRule="exact"/>
        <w:ind w:left="704" w:firstLineChars="0" w:hanging="284"/>
      </w:pPr>
      <w:r>
        <w:rPr>
          <w:rFonts w:hint="eastAsia"/>
        </w:rPr>
        <w:t>产品产量是指各生产线实际产出的产品产量，包含入库、销售及用于水泥粉磨的产品产量。</w:t>
      </w:r>
    </w:p>
    <w:p w:rsidR="00506AE6" w:rsidRDefault="0072598A">
      <w:pPr>
        <w:pStyle w:val="affa"/>
        <w:numPr>
          <w:ilvl w:val="0"/>
          <w:numId w:val="20"/>
        </w:numPr>
        <w:tabs>
          <w:tab w:val="clear" w:pos="-420"/>
          <w:tab w:val="clear" w:pos="0"/>
          <w:tab w:val="clear" w:pos="4201"/>
          <w:tab w:val="clear" w:pos="9298"/>
        </w:tabs>
        <w:spacing w:line="360" w:lineRule="exact"/>
        <w:ind w:left="704" w:firstLineChars="0" w:hanging="284"/>
      </w:pPr>
      <w:r>
        <w:rPr>
          <w:rFonts w:hint="eastAsia"/>
        </w:rPr>
        <w:t>产品产量可采用生产系统记录的计量数据、购销存台账中的产量数据。</w:t>
      </w:r>
    </w:p>
    <w:p w:rsidR="00506AE6" w:rsidRDefault="0072598A">
      <w:pPr>
        <w:pStyle w:val="affa"/>
        <w:numPr>
          <w:ilvl w:val="0"/>
          <w:numId w:val="20"/>
        </w:numPr>
        <w:tabs>
          <w:tab w:val="clear" w:pos="-420"/>
          <w:tab w:val="clear" w:pos="0"/>
          <w:tab w:val="clear" w:pos="4201"/>
          <w:tab w:val="clear" w:pos="9298"/>
        </w:tabs>
        <w:spacing w:line="360" w:lineRule="exact"/>
        <w:ind w:left="704" w:firstLineChars="0" w:hanging="284"/>
      </w:pPr>
      <w:r>
        <w:rPr>
          <w:rFonts w:hint="eastAsia"/>
        </w:rPr>
        <w:t>计量器具的配备和管理应符合</w:t>
      </w:r>
      <w:r>
        <w:rPr>
          <w:rFonts w:hint="eastAsia"/>
          <w:szCs w:val="21"/>
        </w:rPr>
        <w:t>GB 17167</w:t>
      </w:r>
      <w:r>
        <w:rPr>
          <w:rFonts w:hint="eastAsia"/>
          <w:szCs w:val="21"/>
        </w:rPr>
        <w:t>、</w:t>
      </w:r>
      <w:r>
        <w:t>GB/T 35461</w:t>
      </w:r>
      <w:r>
        <w:rPr>
          <w:rFonts w:hint="eastAsia"/>
        </w:rPr>
        <w:t>或相关计量检定规程的要求，并确保在有效的检定</w:t>
      </w:r>
      <w:r>
        <w:rPr>
          <w:rFonts w:hint="eastAsia"/>
        </w:rPr>
        <w:t>/</w:t>
      </w:r>
      <w:r>
        <w:rPr>
          <w:rFonts w:hint="eastAsia"/>
        </w:rPr>
        <w:t>校准周期内。</w:t>
      </w:r>
    </w:p>
    <w:p w:rsidR="00506AE6" w:rsidRDefault="0072598A">
      <w:pPr>
        <w:pStyle w:val="a3"/>
        <w:spacing w:before="312" w:after="312" w:line="360" w:lineRule="exact"/>
        <w:ind w:left="0"/>
        <w:outlineLvl w:val="0"/>
        <w:rPr>
          <w:rFonts w:ascii="Times New Roman"/>
        </w:rPr>
      </w:pPr>
      <w:bookmarkStart w:id="364" w:name="_Toc240137901"/>
      <w:bookmarkStart w:id="365" w:name="_Toc159419087"/>
      <w:r>
        <w:rPr>
          <w:rFonts w:ascii="Times New Roman" w:hint="eastAsia"/>
        </w:rPr>
        <w:t>数据质量控制方案要求</w:t>
      </w:r>
      <w:bookmarkEnd w:id="364"/>
      <w:bookmarkEnd w:id="365"/>
    </w:p>
    <w:p w:rsidR="00506AE6" w:rsidRDefault="0072598A">
      <w:pPr>
        <w:pStyle w:val="a4"/>
        <w:spacing w:before="156" w:after="156" w:line="360" w:lineRule="exact"/>
        <w:ind w:left="0"/>
        <w:jc w:val="both"/>
        <w:outlineLvl w:val="1"/>
      </w:pPr>
      <w:bookmarkStart w:id="366" w:name="_Toc140045490"/>
      <w:bookmarkStart w:id="367" w:name="_Toc143457017"/>
      <w:bookmarkStart w:id="368" w:name="_Toc140003049"/>
      <w:r>
        <w:rPr>
          <w:rFonts w:hint="eastAsia"/>
        </w:rPr>
        <w:t>数据质量控制方案</w:t>
      </w:r>
      <w:r>
        <w:t>的内容</w:t>
      </w:r>
      <w:bookmarkEnd w:id="366"/>
      <w:bookmarkEnd w:id="367"/>
      <w:bookmarkEnd w:id="368"/>
    </w:p>
    <w:p w:rsidR="00506AE6" w:rsidRDefault="0072598A">
      <w:pPr>
        <w:pStyle w:val="affa"/>
        <w:tabs>
          <w:tab w:val="clear" w:pos="-420"/>
          <w:tab w:val="clear" w:pos="0"/>
        </w:tabs>
        <w:spacing w:line="360" w:lineRule="exact"/>
      </w:pPr>
      <w:r>
        <w:rPr>
          <w:rFonts w:hint="eastAsia"/>
        </w:rPr>
        <w:lastRenderedPageBreak/>
        <w:t>企业应按照本文件中各类数据监测与获取要求，结合现有测量能力和条件，制定数据质量控制方案，并按照附录</w:t>
      </w:r>
      <w:r>
        <w:t>D</w:t>
      </w:r>
      <w:r>
        <w:rPr>
          <w:rFonts w:hint="eastAsia"/>
        </w:rPr>
        <w:t>的格式要求进行填报。数据质量控制方案中所有数据的计算与获取方式应符合本文件的要求。</w:t>
      </w:r>
    </w:p>
    <w:p w:rsidR="00506AE6" w:rsidRDefault="0072598A">
      <w:pPr>
        <w:pStyle w:val="affa"/>
        <w:tabs>
          <w:tab w:val="clear" w:pos="-420"/>
          <w:tab w:val="clear" w:pos="0"/>
        </w:tabs>
        <w:spacing w:line="360" w:lineRule="exact"/>
      </w:pPr>
      <w:r>
        <w:rPr>
          <w:rFonts w:hint="eastAsia"/>
        </w:rPr>
        <w:t>数据质量控制方案应包括以下内容：</w:t>
      </w:r>
    </w:p>
    <w:p w:rsidR="00506AE6" w:rsidRDefault="0072598A">
      <w:pPr>
        <w:pStyle w:val="affa"/>
        <w:numPr>
          <w:ilvl w:val="0"/>
          <w:numId w:val="21"/>
        </w:numPr>
        <w:tabs>
          <w:tab w:val="clear" w:pos="-420"/>
          <w:tab w:val="clear" w:pos="0"/>
          <w:tab w:val="clear" w:pos="4201"/>
          <w:tab w:val="clear" w:pos="9298"/>
        </w:tabs>
        <w:spacing w:line="360" w:lineRule="exact"/>
        <w:ind w:left="704" w:firstLineChars="0" w:hanging="284"/>
      </w:pPr>
      <w:r>
        <w:rPr>
          <w:rFonts w:hint="eastAsia"/>
        </w:rPr>
        <w:t>数据质量控制方案的版本及修订情况。</w:t>
      </w:r>
    </w:p>
    <w:p w:rsidR="00506AE6" w:rsidRDefault="0072598A">
      <w:pPr>
        <w:pStyle w:val="affa"/>
        <w:numPr>
          <w:ilvl w:val="0"/>
          <w:numId w:val="21"/>
        </w:numPr>
        <w:tabs>
          <w:tab w:val="clear" w:pos="-420"/>
          <w:tab w:val="clear" w:pos="0"/>
          <w:tab w:val="clear" w:pos="4201"/>
          <w:tab w:val="clear" w:pos="9298"/>
        </w:tabs>
        <w:spacing w:line="360" w:lineRule="exact"/>
        <w:ind w:left="704" w:firstLineChars="0" w:hanging="284"/>
      </w:pPr>
      <w:r>
        <w:rPr>
          <w:rFonts w:hint="eastAsia"/>
        </w:rPr>
        <w:t>企业情况：包括企业基本信息、主营产品、组织机构图、厂区平面分布图、工艺流程图等。</w:t>
      </w:r>
    </w:p>
    <w:p w:rsidR="00506AE6" w:rsidRDefault="0072598A">
      <w:pPr>
        <w:pStyle w:val="affa"/>
        <w:numPr>
          <w:ilvl w:val="0"/>
          <w:numId w:val="21"/>
        </w:numPr>
        <w:tabs>
          <w:tab w:val="clear" w:pos="-420"/>
          <w:tab w:val="clear" w:pos="0"/>
          <w:tab w:val="clear" w:pos="4201"/>
          <w:tab w:val="clear" w:pos="9298"/>
        </w:tabs>
        <w:spacing w:line="360" w:lineRule="exact"/>
        <w:ind w:left="704" w:firstLineChars="0" w:hanging="284"/>
      </w:pPr>
      <w:r>
        <w:rPr>
          <w:rFonts w:hint="eastAsia"/>
        </w:rPr>
        <w:t>按照本文件确定的实际核算边界和主要排放设施情况：包括核算边界的描述、设施编号、名称、位置、使用状态等。</w:t>
      </w:r>
    </w:p>
    <w:p w:rsidR="00506AE6" w:rsidRDefault="0072598A">
      <w:pPr>
        <w:pStyle w:val="affa"/>
        <w:numPr>
          <w:ilvl w:val="0"/>
          <w:numId w:val="21"/>
        </w:numPr>
        <w:tabs>
          <w:tab w:val="clear" w:pos="-420"/>
          <w:tab w:val="clear" w:pos="0"/>
          <w:tab w:val="clear" w:pos="4201"/>
          <w:tab w:val="clear" w:pos="9298"/>
        </w:tabs>
        <w:spacing w:line="360" w:lineRule="exact"/>
        <w:ind w:left="704" w:firstLineChars="0" w:hanging="284"/>
      </w:pPr>
      <w:r>
        <w:rPr>
          <w:rFonts w:hint="eastAsia"/>
        </w:rPr>
        <w:t>数据的确定方式应包括：</w:t>
      </w:r>
    </w:p>
    <w:p w:rsidR="00506AE6" w:rsidRDefault="0072598A">
      <w:pPr>
        <w:pStyle w:val="affa"/>
        <w:numPr>
          <w:ilvl w:val="0"/>
          <w:numId w:val="22"/>
        </w:numPr>
        <w:tabs>
          <w:tab w:val="clear" w:pos="-420"/>
          <w:tab w:val="clear" w:pos="0"/>
          <w:tab w:val="clear" w:pos="4201"/>
          <w:tab w:val="clear" w:pos="9298"/>
        </w:tabs>
        <w:spacing w:line="360" w:lineRule="exact"/>
        <w:ind w:left="964" w:firstLineChars="0" w:hanging="227"/>
      </w:pPr>
      <w:r>
        <w:t>参</w:t>
      </w:r>
      <w:r>
        <w:t>数：明确所有监测的参数名称和单位；</w:t>
      </w:r>
    </w:p>
    <w:p w:rsidR="00506AE6" w:rsidRDefault="0072598A">
      <w:pPr>
        <w:pStyle w:val="affa"/>
        <w:numPr>
          <w:ilvl w:val="0"/>
          <w:numId w:val="22"/>
        </w:numPr>
        <w:tabs>
          <w:tab w:val="clear" w:pos="-420"/>
          <w:tab w:val="clear" w:pos="0"/>
          <w:tab w:val="clear" w:pos="4201"/>
          <w:tab w:val="clear" w:pos="9298"/>
        </w:tabs>
        <w:spacing w:line="360" w:lineRule="exact"/>
        <w:ind w:left="964" w:firstLineChars="0" w:hanging="227"/>
      </w:pPr>
      <w:r>
        <w:t>参数获取：</w:t>
      </w:r>
      <w:r>
        <w:rPr>
          <w:rFonts w:hint="eastAsia"/>
          <w:color w:val="000000"/>
        </w:rPr>
        <w:t>明确参数获取方式、频次，涉及的计算方法，是否采用实测或缺省值</w:t>
      </w:r>
      <w:r>
        <w:t>；</w:t>
      </w:r>
    </w:p>
    <w:p w:rsidR="00506AE6" w:rsidRDefault="0072598A">
      <w:pPr>
        <w:pStyle w:val="affa"/>
        <w:numPr>
          <w:ilvl w:val="0"/>
          <w:numId w:val="22"/>
        </w:numPr>
        <w:tabs>
          <w:tab w:val="clear" w:pos="-420"/>
          <w:tab w:val="clear" w:pos="0"/>
          <w:tab w:val="clear" w:pos="4201"/>
          <w:tab w:val="clear" w:pos="9298"/>
        </w:tabs>
        <w:spacing w:line="360" w:lineRule="exact"/>
        <w:ind w:left="964" w:firstLineChars="0" w:hanging="227"/>
      </w:pPr>
      <w:r>
        <w:rPr>
          <w:rFonts w:hint="eastAsia"/>
        </w:rPr>
        <w:t>计量器具和检测设备</w:t>
      </w:r>
      <w:r>
        <w:t>：明确</w:t>
      </w:r>
      <w:r>
        <w:rPr>
          <w:rFonts w:hint="eastAsia"/>
        </w:rPr>
        <w:t>计量器具和检测设备</w:t>
      </w:r>
      <w:r>
        <w:t>的数量、型号、精度、位置、</w:t>
      </w:r>
      <w:r>
        <w:rPr>
          <w:rFonts w:hint="eastAsia"/>
        </w:rPr>
        <w:t>测量</w:t>
      </w:r>
      <w:r>
        <w:t>频次、检定</w:t>
      </w:r>
      <w:r>
        <w:t>/</w:t>
      </w:r>
      <w:r>
        <w:t>校准频次以及所依据的检定</w:t>
      </w:r>
      <w:r>
        <w:t>/</w:t>
      </w:r>
      <w:r>
        <w:t>校准技术规范。明确</w:t>
      </w:r>
      <w:r>
        <w:rPr>
          <w:rFonts w:hint="eastAsia"/>
        </w:rPr>
        <w:t>计量器具和检测设备</w:t>
      </w:r>
      <w:r>
        <w:t>的内部管理规定等；</w:t>
      </w:r>
    </w:p>
    <w:p w:rsidR="00506AE6" w:rsidRDefault="0072598A">
      <w:pPr>
        <w:pStyle w:val="affa"/>
        <w:numPr>
          <w:ilvl w:val="0"/>
          <w:numId w:val="22"/>
        </w:numPr>
        <w:tabs>
          <w:tab w:val="clear" w:pos="-420"/>
          <w:tab w:val="clear" w:pos="0"/>
          <w:tab w:val="clear" w:pos="4201"/>
          <w:tab w:val="clear" w:pos="9298"/>
        </w:tabs>
        <w:spacing w:line="360" w:lineRule="exact"/>
        <w:ind w:left="964" w:firstLineChars="0" w:hanging="227"/>
      </w:pPr>
      <w:r>
        <w:t>数据记录频次：明确各项参数数据记录频次；</w:t>
      </w:r>
    </w:p>
    <w:p w:rsidR="00506AE6" w:rsidRDefault="0072598A">
      <w:pPr>
        <w:pStyle w:val="affa"/>
        <w:numPr>
          <w:ilvl w:val="0"/>
          <w:numId w:val="22"/>
        </w:numPr>
        <w:tabs>
          <w:tab w:val="clear" w:pos="-420"/>
          <w:tab w:val="clear" w:pos="0"/>
          <w:tab w:val="clear" w:pos="4201"/>
          <w:tab w:val="clear" w:pos="9298"/>
        </w:tabs>
        <w:spacing w:line="360" w:lineRule="exact"/>
        <w:ind w:left="964" w:firstLineChars="0" w:hanging="227"/>
      </w:pPr>
      <w:r>
        <w:t>数据缺失处理：明确数据缺失处理方式，处理方式应基于审慎性原则且符合生态环境部相关规定；</w:t>
      </w:r>
    </w:p>
    <w:p w:rsidR="00506AE6" w:rsidRDefault="0072598A">
      <w:pPr>
        <w:pStyle w:val="affa"/>
        <w:numPr>
          <w:ilvl w:val="0"/>
          <w:numId w:val="22"/>
        </w:numPr>
        <w:tabs>
          <w:tab w:val="clear" w:pos="-420"/>
          <w:tab w:val="clear" w:pos="0"/>
          <w:tab w:val="clear" w:pos="4201"/>
          <w:tab w:val="clear" w:pos="9298"/>
        </w:tabs>
        <w:spacing w:line="360" w:lineRule="exact"/>
        <w:ind w:left="964" w:firstLineChars="0" w:hanging="227"/>
      </w:pPr>
      <w:r>
        <w:t>负责部门：明确各项数据监测、流转、记录、分析等环节管理部门。</w:t>
      </w:r>
    </w:p>
    <w:p w:rsidR="00506AE6" w:rsidRDefault="0072598A">
      <w:pPr>
        <w:pStyle w:val="affa"/>
        <w:numPr>
          <w:ilvl w:val="0"/>
          <w:numId w:val="21"/>
        </w:numPr>
        <w:tabs>
          <w:tab w:val="clear" w:pos="-420"/>
          <w:tab w:val="clear" w:pos="0"/>
          <w:tab w:val="clear" w:pos="4201"/>
          <w:tab w:val="clear" w:pos="9298"/>
        </w:tabs>
        <w:spacing w:line="360" w:lineRule="exact"/>
        <w:ind w:left="704" w:firstLineChars="0" w:hanging="284"/>
      </w:pPr>
      <w:r>
        <w:rPr>
          <w:rFonts w:hint="eastAsia"/>
          <w:color w:val="000000"/>
        </w:rPr>
        <w:t>燃煤收到基低位发热量和熟料中氧化钙和氧化镁含量检测的采样、制样方案：采样方案包括采样依据、采样点、采样频次、采样方式、采样质量和记录等；制样方案包括制样方法、制样设施、样品保存和记录等</w:t>
      </w:r>
      <w:r>
        <w:rPr>
          <w:rFonts w:hint="eastAsia"/>
          <w:color w:val="000000"/>
        </w:rPr>
        <w:t>；</w:t>
      </w:r>
      <w:r>
        <w:rPr>
          <w:rFonts w:hint="eastAsia"/>
          <w:color w:val="000000"/>
        </w:rPr>
        <w:t>制定采样、制样、检测全流程</w:t>
      </w:r>
      <w:r>
        <w:rPr>
          <w:rFonts w:hint="eastAsia"/>
          <w:color w:val="000000"/>
        </w:rPr>
        <w:t>视频监控</w:t>
      </w:r>
      <w:r>
        <w:rPr>
          <w:rFonts w:hint="eastAsia"/>
          <w:color w:val="000000"/>
        </w:rPr>
        <w:t>方案。</w:t>
      </w:r>
    </w:p>
    <w:p w:rsidR="00506AE6" w:rsidRDefault="0072598A">
      <w:pPr>
        <w:pStyle w:val="affa"/>
        <w:numPr>
          <w:ilvl w:val="0"/>
          <w:numId w:val="21"/>
        </w:numPr>
        <w:tabs>
          <w:tab w:val="clear" w:pos="-420"/>
          <w:tab w:val="clear" w:pos="0"/>
          <w:tab w:val="clear" w:pos="4201"/>
          <w:tab w:val="clear" w:pos="9298"/>
        </w:tabs>
        <w:spacing w:line="360" w:lineRule="exact"/>
        <w:ind w:left="704" w:firstLineChars="0" w:hanging="284"/>
      </w:pPr>
      <w:r>
        <w:rPr>
          <w:rFonts w:hint="eastAsia"/>
        </w:rPr>
        <w:t>数据内部质量控制和质量保证相关规定应包括以下内容：</w:t>
      </w:r>
    </w:p>
    <w:p w:rsidR="00506AE6" w:rsidRDefault="0072598A">
      <w:pPr>
        <w:pStyle w:val="affa"/>
        <w:numPr>
          <w:ilvl w:val="0"/>
          <w:numId w:val="22"/>
        </w:numPr>
        <w:tabs>
          <w:tab w:val="clear" w:pos="-420"/>
          <w:tab w:val="clear" w:pos="0"/>
          <w:tab w:val="clear" w:pos="4201"/>
          <w:tab w:val="clear" w:pos="9298"/>
        </w:tabs>
        <w:spacing w:line="360" w:lineRule="exact"/>
        <w:ind w:left="964" w:firstLineChars="0" w:hanging="227"/>
      </w:pPr>
      <w:r>
        <w:rPr>
          <w:rFonts w:hint="eastAsia"/>
        </w:rPr>
        <w:t>建立内部管理制度和质量保证体系，</w:t>
      </w:r>
      <w:r>
        <w:rPr>
          <w:rFonts w:hint="eastAsia"/>
          <w:color w:val="000000"/>
        </w:rPr>
        <w:t>包括</w:t>
      </w:r>
      <w:r>
        <w:rPr>
          <w:rFonts w:hint="eastAsia"/>
          <w:szCs w:val="21"/>
        </w:rPr>
        <w:t>：明确建立</w:t>
      </w:r>
      <w:r>
        <w:rPr>
          <w:rFonts w:hint="eastAsia"/>
        </w:rPr>
        <w:t>计量器具和检测设备</w:t>
      </w:r>
      <w:r>
        <w:rPr>
          <w:rFonts w:hint="eastAsia"/>
          <w:szCs w:val="21"/>
        </w:rPr>
        <w:t>使用和管理制度，确定</w:t>
      </w:r>
      <w:r>
        <w:rPr>
          <w:rFonts w:hint="eastAsia"/>
        </w:rPr>
        <w:t>计量器具和检测设备</w:t>
      </w:r>
      <w:r>
        <w:rPr>
          <w:rFonts w:hint="eastAsia"/>
          <w:szCs w:val="21"/>
        </w:rPr>
        <w:t>管理和维护的部门及人员职责；建立</w:t>
      </w:r>
      <w:r>
        <w:rPr>
          <w:rFonts w:hint="eastAsia"/>
        </w:rPr>
        <w:t>计量器具和检测设备</w:t>
      </w:r>
      <w:r>
        <w:rPr>
          <w:rFonts w:hint="eastAsia"/>
          <w:szCs w:val="21"/>
        </w:rPr>
        <w:t>台账，明确规定</w:t>
      </w:r>
      <w:r>
        <w:rPr>
          <w:rFonts w:hint="eastAsia"/>
        </w:rPr>
        <w:t>计量器具和检测设备</w:t>
      </w:r>
      <w:r>
        <w:rPr>
          <w:rFonts w:hint="eastAsia"/>
          <w:szCs w:val="21"/>
        </w:rPr>
        <w:t>类型及型号、安装位置、测量频次、</w:t>
      </w:r>
      <w:r>
        <w:rPr>
          <w:rFonts w:hint="eastAsia"/>
        </w:rPr>
        <w:t>计量器具和检测设备</w:t>
      </w:r>
      <w:r>
        <w:rPr>
          <w:rFonts w:hint="eastAsia"/>
          <w:szCs w:val="21"/>
        </w:rPr>
        <w:t>精度，以及规定的</w:t>
      </w:r>
      <w:r>
        <w:rPr>
          <w:rFonts w:hint="eastAsia"/>
        </w:rPr>
        <w:t>计量器具和检测设备</w:t>
      </w:r>
      <w:r>
        <w:rPr>
          <w:rFonts w:hint="eastAsia"/>
          <w:szCs w:val="21"/>
        </w:rPr>
        <w:t>检定</w:t>
      </w:r>
      <w:r>
        <w:rPr>
          <w:rFonts w:hint="eastAsia"/>
          <w:szCs w:val="21"/>
        </w:rPr>
        <w:t>/</w:t>
      </w:r>
      <w:r>
        <w:rPr>
          <w:rFonts w:hint="eastAsia"/>
          <w:szCs w:val="21"/>
        </w:rPr>
        <w:t>校准频次；</w:t>
      </w:r>
      <w:r>
        <w:rPr>
          <w:rFonts w:hint="eastAsia"/>
          <w:color w:val="000000"/>
        </w:rPr>
        <w:t>明确排放相关计量、检测、核算、报告和管理工作的负责部门及其职责、具体工作要求、工作流程等；指定专职人员负责温室气体排放核算和报告工作</w:t>
      </w:r>
      <w:r>
        <w:rPr>
          <w:rFonts w:hint="eastAsia"/>
        </w:rPr>
        <w:t>；</w:t>
      </w:r>
    </w:p>
    <w:p w:rsidR="00506AE6" w:rsidRDefault="0072598A">
      <w:pPr>
        <w:pStyle w:val="affa"/>
        <w:numPr>
          <w:ilvl w:val="0"/>
          <w:numId w:val="22"/>
        </w:numPr>
        <w:tabs>
          <w:tab w:val="clear" w:pos="-420"/>
          <w:tab w:val="clear" w:pos="0"/>
          <w:tab w:val="clear" w:pos="4201"/>
          <w:tab w:val="clear" w:pos="9298"/>
        </w:tabs>
        <w:spacing w:line="360" w:lineRule="exact"/>
        <w:ind w:left="964" w:firstLineChars="0" w:hanging="227"/>
      </w:pPr>
      <w:r>
        <w:rPr>
          <w:rFonts w:hint="eastAsia"/>
        </w:rPr>
        <w:t>建立内审制度，确保提交的排放报告和支撑材料符合技术规范、内部管理制度和质量保证要求；</w:t>
      </w:r>
    </w:p>
    <w:p w:rsidR="00506AE6" w:rsidRDefault="0072598A">
      <w:pPr>
        <w:pStyle w:val="affa"/>
        <w:numPr>
          <w:ilvl w:val="0"/>
          <w:numId w:val="22"/>
        </w:numPr>
        <w:tabs>
          <w:tab w:val="clear" w:pos="-420"/>
          <w:tab w:val="clear" w:pos="0"/>
          <w:tab w:val="clear" w:pos="4201"/>
          <w:tab w:val="clear" w:pos="9298"/>
        </w:tabs>
        <w:spacing w:line="360" w:lineRule="exact"/>
        <w:ind w:left="964" w:firstLineChars="0" w:hanging="227"/>
      </w:pPr>
      <w:r>
        <w:rPr>
          <w:rFonts w:hint="eastAsia"/>
        </w:rPr>
        <w:t>建立原始凭证和台账记录管理制度，规范排放报告和支撑材料的登记、保存和使用。</w:t>
      </w:r>
    </w:p>
    <w:p w:rsidR="00506AE6" w:rsidRDefault="0072598A">
      <w:pPr>
        <w:pStyle w:val="a4"/>
        <w:spacing w:before="156" w:after="156" w:line="360" w:lineRule="exact"/>
        <w:ind w:left="0"/>
        <w:jc w:val="both"/>
        <w:outlineLvl w:val="1"/>
      </w:pPr>
      <w:bookmarkStart w:id="369" w:name="_Toc140003050"/>
      <w:bookmarkStart w:id="370" w:name="_Toc143457018"/>
      <w:r>
        <w:rPr>
          <w:rFonts w:hint="eastAsia"/>
        </w:rPr>
        <w:t>数据质量控制方案的修订</w:t>
      </w:r>
      <w:bookmarkEnd w:id="369"/>
      <w:bookmarkEnd w:id="370"/>
    </w:p>
    <w:p w:rsidR="00506AE6" w:rsidRDefault="0072598A">
      <w:pPr>
        <w:pStyle w:val="affa"/>
        <w:tabs>
          <w:tab w:val="clear" w:pos="-420"/>
          <w:tab w:val="clear" w:pos="0"/>
        </w:tabs>
        <w:spacing w:line="360" w:lineRule="exact"/>
      </w:pPr>
      <w:r>
        <w:rPr>
          <w:rFonts w:hint="eastAsia"/>
        </w:rPr>
        <w:t>企业在以下情况下应按照生态环境部规定的时限对数据质量控制方案进行修订，修订内容应符合实际情况并满足本文件的要求：</w:t>
      </w:r>
    </w:p>
    <w:p w:rsidR="00506AE6" w:rsidRDefault="0072598A">
      <w:pPr>
        <w:pStyle w:val="affa"/>
        <w:numPr>
          <w:ilvl w:val="0"/>
          <w:numId w:val="23"/>
        </w:numPr>
        <w:tabs>
          <w:tab w:val="clear" w:pos="-420"/>
          <w:tab w:val="clear" w:pos="0"/>
          <w:tab w:val="clear" w:pos="4201"/>
          <w:tab w:val="clear" w:pos="9298"/>
        </w:tabs>
        <w:spacing w:line="360" w:lineRule="exact"/>
        <w:ind w:left="704" w:firstLineChars="0" w:hanging="284"/>
      </w:pPr>
      <w:r>
        <w:rPr>
          <w:rFonts w:hint="eastAsia"/>
        </w:rPr>
        <w:t>排放设施</w:t>
      </w:r>
      <w:r>
        <w:rPr>
          <w:rFonts w:hint="eastAsia"/>
        </w:rPr>
        <w:t>发生变化或使用方案中未包括的新燃料或物料而产生排放。</w:t>
      </w:r>
    </w:p>
    <w:p w:rsidR="00506AE6" w:rsidRDefault="0072598A">
      <w:pPr>
        <w:pStyle w:val="affa"/>
        <w:numPr>
          <w:ilvl w:val="0"/>
          <w:numId w:val="23"/>
        </w:numPr>
        <w:tabs>
          <w:tab w:val="clear" w:pos="-420"/>
          <w:tab w:val="clear" w:pos="0"/>
          <w:tab w:val="clear" w:pos="4201"/>
          <w:tab w:val="clear" w:pos="9298"/>
        </w:tabs>
        <w:spacing w:line="360" w:lineRule="exact"/>
        <w:ind w:left="704" w:firstLineChars="0" w:hanging="284"/>
      </w:pPr>
      <w:r>
        <w:rPr>
          <w:rFonts w:hint="eastAsia"/>
        </w:rPr>
        <w:lastRenderedPageBreak/>
        <w:t>采用新的计量器具、检测设备和方法，使数据的准确度提高。</w:t>
      </w:r>
    </w:p>
    <w:p w:rsidR="00506AE6" w:rsidRDefault="0072598A">
      <w:pPr>
        <w:pStyle w:val="affa"/>
        <w:numPr>
          <w:ilvl w:val="0"/>
          <w:numId w:val="23"/>
        </w:numPr>
        <w:tabs>
          <w:tab w:val="clear" w:pos="-420"/>
          <w:tab w:val="clear" w:pos="0"/>
          <w:tab w:val="clear" w:pos="4201"/>
          <w:tab w:val="clear" w:pos="9298"/>
        </w:tabs>
        <w:spacing w:line="360" w:lineRule="exact"/>
        <w:ind w:left="704" w:firstLineChars="0" w:hanging="284"/>
      </w:pPr>
      <w:r>
        <w:rPr>
          <w:rFonts w:hint="eastAsia"/>
        </w:rPr>
        <w:t>发现之前采用的测量方法所产生的数据不正确。</w:t>
      </w:r>
    </w:p>
    <w:p w:rsidR="00506AE6" w:rsidRDefault="0072598A">
      <w:pPr>
        <w:pStyle w:val="affa"/>
        <w:numPr>
          <w:ilvl w:val="0"/>
          <w:numId w:val="23"/>
        </w:numPr>
        <w:tabs>
          <w:tab w:val="clear" w:pos="-420"/>
          <w:tab w:val="clear" w:pos="0"/>
          <w:tab w:val="clear" w:pos="4201"/>
          <w:tab w:val="clear" w:pos="9298"/>
        </w:tabs>
        <w:spacing w:line="360" w:lineRule="exact"/>
        <w:ind w:left="704" w:firstLineChars="0" w:hanging="284"/>
      </w:pPr>
      <w:r>
        <w:rPr>
          <w:rFonts w:hint="eastAsia"/>
        </w:rPr>
        <w:t>发现更改方案可提高报告数据的准确度。</w:t>
      </w:r>
    </w:p>
    <w:p w:rsidR="00506AE6" w:rsidRDefault="0072598A">
      <w:pPr>
        <w:pStyle w:val="affa"/>
        <w:numPr>
          <w:ilvl w:val="0"/>
          <w:numId w:val="23"/>
        </w:numPr>
        <w:tabs>
          <w:tab w:val="clear" w:pos="-420"/>
          <w:tab w:val="clear" w:pos="0"/>
          <w:tab w:val="clear" w:pos="4201"/>
          <w:tab w:val="clear" w:pos="9298"/>
        </w:tabs>
        <w:spacing w:line="360" w:lineRule="exact"/>
        <w:ind w:left="704" w:firstLineChars="0" w:hanging="284"/>
      </w:pPr>
      <w:r>
        <w:rPr>
          <w:rFonts w:hint="eastAsia"/>
        </w:rPr>
        <w:t>发现方案不符合本文件核算和报告的要求。</w:t>
      </w:r>
    </w:p>
    <w:p w:rsidR="00506AE6" w:rsidRDefault="0072598A">
      <w:pPr>
        <w:pStyle w:val="affa"/>
        <w:numPr>
          <w:ilvl w:val="0"/>
          <w:numId w:val="23"/>
        </w:numPr>
        <w:tabs>
          <w:tab w:val="clear" w:pos="-420"/>
          <w:tab w:val="clear" w:pos="0"/>
          <w:tab w:val="clear" w:pos="4201"/>
          <w:tab w:val="clear" w:pos="9298"/>
        </w:tabs>
        <w:spacing w:line="360" w:lineRule="exact"/>
        <w:ind w:left="704" w:firstLineChars="0" w:hanging="284"/>
      </w:pPr>
      <w:r>
        <w:rPr>
          <w:rFonts w:hint="eastAsia"/>
        </w:rPr>
        <w:t>生态环境部明确的其他需要修订的情况。</w:t>
      </w:r>
    </w:p>
    <w:p w:rsidR="00506AE6" w:rsidRDefault="0072598A">
      <w:pPr>
        <w:pStyle w:val="a4"/>
        <w:spacing w:before="156" w:after="156" w:line="360" w:lineRule="exact"/>
        <w:ind w:left="0"/>
        <w:jc w:val="both"/>
        <w:outlineLvl w:val="1"/>
      </w:pPr>
      <w:bookmarkStart w:id="371" w:name="_Toc140003051"/>
      <w:bookmarkStart w:id="372" w:name="_Toc143457019"/>
      <w:r>
        <w:rPr>
          <w:rFonts w:hint="eastAsia"/>
        </w:rPr>
        <w:t>数据质量控制方案的执行</w:t>
      </w:r>
      <w:bookmarkEnd w:id="371"/>
      <w:bookmarkEnd w:id="372"/>
    </w:p>
    <w:p w:rsidR="00506AE6" w:rsidRDefault="0072598A">
      <w:pPr>
        <w:pStyle w:val="affa"/>
        <w:tabs>
          <w:tab w:val="clear" w:pos="-420"/>
          <w:tab w:val="clear" w:pos="0"/>
        </w:tabs>
        <w:spacing w:line="360" w:lineRule="exact"/>
      </w:pPr>
      <w:r>
        <w:rPr>
          <w:rFonts w:hint="eastAsia"/>
        </w:rPr>
        <w:t>企业应严格按照数据质量控制方案实施温室气体的测量活动，并符合以下要求：</w:t>
      </w:r>
    </w:p>
    <w:p w:rsidR="00506AE6" w:rsidRDefault="0072598A">
      <w:pPr>
        <w:pStyle w:val="affa"/>
        <w:numPr>
          <w:ilvl w:val="0"/>
          <w:numId w:val="24"/>
        </w:numPr>
        <w:tabs>
          <w:tab w:val="clear" w:pos="-420"/>
          <w:tab w:val="clear" w:pos="0"/>
          <w:tab w:val="clear" w:pos="4201"/>
          <w:tab w:val="clear" w:pos="9298"/>
        </w:tabs>
        <w:spacing w:line="360" w:lineRule="exact"/>
        <w:ind w:left="704" w:firstLineChars="0" w:hanging="284"/>
      </w:pPr>
      <w:r>
        <w:rPr>
          <w:rFonts w:hint="eastAsia"/>
        </w:rPr>
        <w:t>熟料生产基本情况与方案描述一致。</w:t>
      </w:r>
    </w:p>
    <w:p w:rsidR="00506AE6" w:rsidRDefault="0072598A">
      <w:pPr>
        <w:pStyle w:val="affa"/>
        <w:numPr>
          <w:ilvl w:val="0"/>
          <w:numId w:val="24"/>
        </w:numPr>
        <w:tabs>
          <w:tab w:val="clear" w:pos="-420"/>
          <w:tab w:val="clear" w:pos="0"/>
          <w:tab w:val="clear" w:pos="4201"/>
          <w:tab w:val="clear" w:pos="9298"/>
        </w:tabs>
        <w:spacing w:line="360" w:lineRule="exact"/>
        <w:ind w:left="704" w:firstLineChars="0" w:hanging="284"/>
      </w:pPr>
      <w:r>
        <w:rPr>
          <w:rFonts w:hint="eastAsia"/>
        </w:rPr>
        <w:t>核算边界和主要排放设施与方案描述一致。</w:t>
      </w:r>
    </w:p>
    <w:p w:rsidR="00506AE6" w:rsidRDefault="0072598A">
      <w:pPr>
        <w:pStyle w:val="affa"/>
        <w:numPr>
          <w:ilvl w:val="0"/>
          <w:numId w:val="24"/>
        </w:numPr>
        <w:tabs>
          <w:tab w:val="clear" w:pos="-420"/>
          <w:tab w:val="clear" w:pos="0"/>
          <w:tab w:val="clear" w:pos="4201"/>
          <w:tab w:val="clear" w:pos="9298"/>
        </w:tabs>
        <w:spacing w:line="360" w:lineRule="exact"/>
        <w:ind w:left="704" w:firstLineChars="0" w:hanging="284"/>
      </w:pPr>
      <w:r>
        <w:rPr>
          <w:rFonts w:hint="eastAsia"/>
        </w:rPr>
        <w:t>所有活动数据、排放因子和生产数据能够按照方案实施测量。</w:t>
      </w:r>
    </w:p>
    <w:p w:rsidR="00506AE6" w:rsidRDefault="0072598A">
      <w:pPr>
        <w:pStyle w:val="affa"/>
        <w:numPr>
          <w:ilvl w:val="0"/>
          <w:numId w:val="24"/>
        </w:numPr>
        <w:tabs>
          <w:tab w:val="clear" w:pos="-420"/>
          <w:tab w:val="clear" w:pos="0"/>
          <w:tab w:val="clear" w:pos="4201"/>
          <w:tab w:val="clear" w:pos="9298"/>
        </w:tabs>
        <w:spacing w:line="360" w:lineRule="exact"/>
        <w:ind w:left="704" w:firstLineChars="0" w:hanging="284"/>
      </w:pPr>
      <w:r>
        <w:rPr>
          <w:rFonts w:hint="eastAsia"/>
        </w:rPr>
        <w:t>燃煤和熟料的采样、制样、检测</w:t>
      </w:r>
      <w:r>
        <w:rPr>
          <w:rFonts w:hint="eastAsia"/>
        </w:rPr>
        <w:t>及</w:t>
      </w:r>
      <w:r>
        <w:rPr>
          <w:rFonts w:hint="eastAsia"/>
        </w:rPr>
        <w:t>全流程视频监控能够按照方案实施。</w:t>
      </w:r>
    </w:p>
    <w:p w:rsidR="00506AE6" w:rsidRDefault="0072598A">
      <w:pPr>
        <w:pStyle w:val="affa"/>
        <w:numPr>
          <w:ilvl w:val="0"/>
          <w:numId w:val="24"/>
        </w:numPr>
        <w:tabs>
          <w:tab w:val="clear" w:pos="-420"/>
          <w:tab w:val="clear" w:pos="0"/>
          <w:tab w:val="clear" w:pos="4201"/>
          <w:tab w:val="clear" w:pos="9298"/>
        </w:tabs>
        <w:spacing w:line="360" w:lineRule="exact"/>
        <w:ind w:left="704" w:firstLineChars="0" w:hanging="284"/>
      </w:pPr>
      <w:r>
        <w:rPr>
          <w:rFonts w:hint="eastAsia"/>
        </w:rPr>
        <w:t>计量器具和检测设备得到了有效维护和</w:t>
      </w:r>
      <w:r>
        <w:rPr>
          <w:rFonts w:hint="eastAsia"/>
          <w:szCs w:val="21"/>
        </w:rPr>
        <w:t>检定</w:t>
      </w:r>
      <w:r>
        <w:rPr>
          <w:rFonts w:hint="eastAsia"/>
          <w:szCs w:val="21"/>
        </w:rPr>
        <w:t>/</w:t>
      </w:r>
      <w:r>
        <w:rPr>
          <w:rFonts w:hint="eastAsia"/>
        </w:rPr>
        <w:t>校准，维护和</w:t>
      </w:r>
      <w:r>
        <w:rPr>
          <w:rFonts w:hint="eastAsia"/>
          <w:szCs w:val="21"/>
        </w:rPr>
        <w:t>检定</w:t>
      </w:r>
      <w:r>
        <w:rPr>
          <w:rFonts w:hint="eastAsia"/>
          <w:szCs w:val="21"/>
        </w:rPr>
        <w:t>/</w:t>
      </w:r>
      <w:r>
        <w:rPr>
          <w:rFonts w:hint="eastAsia"/>
        </w:rPr>
        <w:t>校准能够同时符合方案、核算指南、国家要求、地区要求和设备制造商的要求。</w:t>
      </w:r>
    </w:p>
    <w:p w:rsidR="00506AE6" w:rsidRDefault="0072598A">
      <w:pPr>
        <w:pStyle w:val="affa"/>
        <w:numPr>
          <w:ilvl w:val="0"/>
          <w:numId w:val="24"/>
        </w:numPr>
        <w:tabs>
          <w:tab w:val="clear" w:pos="-420"/>
          <w:tab w:val="clear" w:pos="0"/>
          <w:tab w:val="clear" w:pos="4201"/>
          <w:tab w:val="clear" w:pos="9298"/>
        </w:tabs>
        <w:spacing w:line="360" w:lineRule="exact"/>
        <w:ind w:left="704" w:firstLineChars="0" w:hanging="284"/>
      </w:pPr>
      <w:r>
        <w:rPr>
          <w:rFonts w:hint="eastAsia"/>
        </w:rPr>
        <w:t>测量结果能够按照方案中规定的频次记录。</w:t>
      </w:r>
    </w:p>
    <w:p w:rsidR="00506AE6" w:rsidRDefault="0072598A">
      <w:pPr>
        <w:pStyle w:val="affa"/>
        <w:numPr>
          <w:ilvl w:val="0"/>
          <w:numId w:val="24"/>
        </w:numPr>
        <w:tabs>
          <w:tab w:val="clear" w:pos="-420"/>
          <w:tab w:val="clear" w:pos="0"/>
          <w:tab w:val="clear" w:pos="4201"/>
          <w:tab w:val="clear" w:pos="9298"/>
        </w:tabs>
        <w:spacing w:line="360" w:lineRule="exact"/>
        <w:ind w:left="704" w:firstLineChars="0" w:hanging="284"/>
      </w:pPr>
      <w:r>
        <w:rPr>
          <w:rFonts w:hint="eastAsia"/>
        </w:rPr>
        <w:t>数据缺失时的处理方式能够与方案一致。</w:t>
      </w:r>
    </w:p>
    <w:p w:rsidR="00506AE6" w:rsidRDefault="0072598A">
      <w:pPr>
        <w:pStyle w:val="affa"/>
        <w:numPr>
          <w:ilvl w:val="0"/>
          <w:numId w:val="24"/>
        </w:numPr>
        <w:tabs>
          <w:tab w:val="clear" w:pos="-420"/>
          <w:tab w:val="clear" w:pos="0"/>
          <w:tab w:val="clear" w:pos="4201"/>
          <w:tab w:val="clear" w:pos="9298"/>
        </w:tabs>
        <w:spacing w:line="360" w:lineRule="exact"/>
        <w:ind w:left="704" w:firstLineChars="0" w:hanging="284"/>
      </w:pPr>
      <w:r>
        <w:rPr>
          <w:rFonts w:hint="eastAsia"/>
        </w:rPr>
        <w:t>数据内部质量控制和质量保证程序能够按照方案实施。</w:t>
      </w:r>
    </w:p>
    <w:p w:rsidR="00506AE6" w:rsidRDefault="0072598A">
      <w:pPr>
        <w:pStyle w:val="a3"/>
        <w:spacing w:before="312" w:after="312" w:line="360" w:lineRule="exact"/>
        <w:ind w:left="0"/>
        <w:outlineLvl w:val="0"/>
        <w:rPr>
          <w:rFonts w:ascii="Times New Roman"/>
        </w:rPr>
      </w:pPr>
      <w:bookmarkStart w:id="373" w:name="_Toc1727286645"/>
      <w:bookmarkStart w:id="374" w:name="_Toc159419088"/>
      <w:r>
        <w:rPr>
          <w:rFonts w:ascii="Times New Roman" w:hint="eastAsia"/>
        </w:rPr>
        <w:t>数据质量管理要求</w:t>
      </w:r>
      <w:bookmarkEnd w:id="353"/>
      <w:bookmarkEnd w:id="354"/>
      <w:bookmarkEnd w:id="373"/>
      <w:bookmarkEnd w:id="374"/>
    </w:p>
    <w:p w:rsidR="00506AE6" w:rsidRDefault="0072598A">
      <w:pPr>
        <w:pStyle w:val="affa"/>
        <w:tabs>
          <w:tab w:val="clear" w:pos="-420"/>
          <w:tab w:val="clear" w:pos="0"/>
        </w:tabs>
        <w:spacing w:line="360" w:lineRule="exact"/>
      </w:pPr>
      <w:r>
        <w:rPr>
          <w:rFonts w:hint="eastAsia"/>
        </w:rPr>
        <w:t>企业应加强温室气体排放数据质量管理工作，包括但不限于：</w:t>
      </w:r>
    </w:p>
    <w:p w:rsidR="00506AE6" w:rsidRDefault="0072598A">
      <w:pPr>
        <w:pStyle w:val="affa"/>
        <w:numPr>
          <w:ilvl w:val="0"/>
          <w:numId w:val="25"/>
        </w:numPr>
        <w:tabs>
          <w:tab w:val="clear" w:pos="-420"/>
          <w:tab w:val="clear" w:pos="0"/>
          <w:tab w:val="clear" w:pos="4201"/>
          <w:tab w:val="clear" w:pos="9298"/>
        </w:tabs>
        <w:spacing w:line="360" w:lineRule="exact"/>
        <w:ind w:left="704" w:firstLineChars="0" w:hanging="284"/>
        <w:rPr>
          <w:szCs w:val="21"/>
        </w:rPr>
      </w:pPr>
      <w:bookmarkStart w:id="375" w:name="_Toc159419089"/>
      <w:bookmarkStart w:id="376" w:name="_Toc143457021"/>
      <w:bookmarkStart w:id="377" w:name="_Toc140003053"/>
      <w:bookmarkStart w:id="378" w:name="_Toc146201697"/>
      <w:bookmarkStart w:id="379" w:name="_Toc140045491"/>
      <w:r>
        <w:rPr>
          <w:rFonts w:cs="宋体" w:hint="eastAsia"/>
          <w:szCs w:val="21"/>
        </w:rPr>
        <w:t>建立温室气体排放核算和报告的内部管理制度和质量保证体系，包括明确负责部门及其职责、具体工作要求、数据管理程序、工作时</w:t>
      </w:r>
      <w:r>
        <w:rPr>
          <w:rFonts w:cs="宋体" w:hint="eastAsia"/>
          <w:szCs w:val="21"/>
        </w:rPr>
        <w:t>间节点等。指定专职人员负责温室气体排放核算和报告工作。</w:t>
      </w:r>
    </w:p>
    <w:p w:rsidR="00506AE6" w:rsidRDefault="0072598A">
      <w:pPr>
        <w:pStyle w:val="affa"/>
        <w:numPr>
          <w:ilvl w:val="0"/>
          <w:numId w:val="25"/>
        </w:numPr>
        <w:tabs>
          <w:tab w:val="clear" w:pos="-420"/>
          <w:tab w:val="clear" w:pos="0"/>
          <w:tab w:val="clear" w:pos="4201"/>
          <w:tab w:val="clear" w:pos="9298"/>
        </w:tabs>
        <w:spacing w:line="360" w:lineRule="exact"/>
        <w:ind w:left="704" w:firstLineChars="0" w:hanging="284"/>
        <w:rPr>
          <w:szCs w:val="21"/>
        </w:rPr>
      </w:pPr>
      <w:r>
        <w:rPr>
          <w:rFonts w:cs="宋体" w:hint="eastAsia"/>
          <w:szCs w:val="21"/>
        </w:rPr>
        <w:t>积极改进自有实验室管理，鼓励参考</w:t>
      </w:r>
      <w:r>
        <w:rPr>
          <w:szCs w:val="21"/>
        </w:rPr>
        <w:t>GB/T 27025</w:t>
      </w:r>
      <w:r>
        <w:rPr>
          <w:rFonts w:cs="宋体" w:hint="eastAsia"/>
          <w:szCs w:val="21"/>
        </w:rPr>
        <w:t>对人员、设施和环境条件、设备、计量溯源性、外部提供的产品和服务等资源要求的规定，使用适当的方法和程序开展取样、检测、记录和报告等实验室活动，</w:t>
      </w:r>
      <w:r>
        <w:rPr>
          <w:rFonts w:hint="eastAsia"/>
        </w:rPr>
        <w:t>采样、制样、检测全流程视频监控影像记录应至少保存一年。</w:t>
      </w:r>
    </w:p>
    <w:p w:rsidR="00506AE6" w:rsidRDefault="0072598A">
      <w:pPr>
        <w:pStyle w:val="affa"/>
        <w:numPr>
          <w:ilvl w:val="0"/>
          <w:numId w:val="25"/>
        </w:numPr>
        <w:tabs>
          <w:tab w:val="clear" w:pos="-420"/>
          <w:tab w:val="clear" w:pos="0"/>
          <w:tab w:val="clear" w:pos="4201"/>
          <w:tab w:val="clear" w:pos="9298"/>
        </w:tabs>
        <w:spacing w:line="360" w:lineRule="exact"/>
        <w:ind w:left="704" w:firstLineChars="0" w:hanging="284"/>
        <w:rPr>
          <w:szCs w:val="21"/>
        </w:rPr>
      </w:pPr>
      <w:r>
        <w:rPr>
          <w:rFonts w:hint="eastAsia"/>
        </w:rPr>
        <w:t>鼓励企业采用</w:t>
      </w:r>
      <w:r>
        <w:rPr>
          <w:rFonts w:hint="eastAsia"/>
        </w:rPr>
        <w:t>智能盘库等技术</w:t>
      </w:r>
      <w:r>
        <w:rPr>
          <w:rFonts w:hint="eastAsia"/>
        </w:rPr>
        <w:t>进行熟料盘库，并制定容重检验方法等规章制度。</w:t>
      </w:r>
    </w:p>
    <w:p w:rsidR="00506AE6" w:rsidRDefault="0072598A">
      <w:pPr>
        <w:pStyle w:val="affa"/>
        <w:numPr>
          <w:ilvl w:val="0"/>
          <w:numId w:val="25"/>
        </w:numPr>
        <w:tabs>
          <w:tab w:val="clear" w:pos="-420"/>
          <w:tab w:val="clear" w:pos="0"/>
          <w:tab w:val="clear" w:pos="4201"/>
          <w:tab w:val="clear" w:pos="9298"/>
        </w:tabs>
        <w:spacing w:line="360" w:lineRule="exact"/>
        <w:ind w:left="704" w:firstLineChars="0" w:hanging="284"/>
        <w:rPr>
          <w:szCs w:val="21"/>
        </w:rPr>
      </w:pPr>
      <w:r>
        <w:rPr>
          <w:rFonts w:cs="宋体" w:hint="eastAsia"/>
          <w:szCs w:val="21"/>
        </w:rPr>
        <w:t>企业应采取技术手段，实现</w:t>
      </w:r>
      <w:r>
        <w:rPr>
          <w:rFonts w:hint="eastAsia"/>
        </w:rPr>
        <w:t>计量器具和检测设备</w:t>
      </w:r>
      <w:r>
        <w:rPr>
          <w:rFonts w:cs="宋体" w:hint="eastAsia"/>
          <w:szCs w:val="21"/>
        </w:rPr>
        <w:t>采集终端与全国碳市场管理平台的对接。</w:t>
      </w:r>
    </w:p>
    <w:p w:rsidR="00506AE6" w:rsidRDefault="0072598A">
      <w:pPr>
        <w:pStyle w:val="affa"/>
        <w:numPr>
          <w:ilvl w:val="0"/>
          <w:numId w:val="25"/>
        </w:numPr>
        <w:tabs>
          <w:tab w:val="clear" w:pos="-420"/>
          <w:tab w:val="clear" w:pos="0"/>
          <w:tab w:val="clear" w:pos="4201"/>
          <w:tab w:val="clear" w:pos="9298"/>
        </w:tabs>
        <w:spacing w:line="360" w:lineRule="exact"/>
        <w:ind w:left="704" w:firstLineChars="0" w:hanging="284"/>
        <w:rPr>
          <w:szCs w:val="21"/>
        </w:rPr>
      </w:pPr>
      <w:r>
        <w:rPr>
          <w:rFonts w:cs="宋体" w:hint="eastAsia"/>
          <w:szCs w:val="21"/>
        </w:rPr>
        <w:t>定期对计量器具、检测设备和测量仪表进行维护管理，并记录存档。</w:t>
      </w:r>
    </w:p>
    <w:p w:rsidR="00506AE6" w:rsidRDefault="0072598A">
      <w:pPr>
        <w:pStyle w:val="affa"/>
        <w:numPr>
          <w:ilvl w:val="0"/>
          <w:numId w:val="25"/>
        </w:numPr>
        <w:tabs>
          <w:tab w:val="clear" w:pos="-420"/>
          <w:tab w:val="clear" w:pos="0"/>
          <w:tab w:val="clear" w:pos="4201"/>
          <w:tab w:val="clear" w:pos="9298"/>
        </w:tabs>
        <w:spacing w:line="360" w:lineRule="exact"/>
        <w:ind w:left="704" w:firstLineChars="0" w:hanging="284"/>
        <w:rPr>
          <w:szCs w:val="21"/>
        </w:rPr>
      </w:pPr>
      <w:r>
        <w:rPr>
          <w:rFonts w:cs="宋体" w:hint="eastAsia"/>
          <w:szCs w:val="21"/>
        </w:rPr>
        <w:t>建立温室气体数据内部台账管理制度。台账应明确数据来源、数据获取时间及填报台账的相关责任人等信息。排放报告所涉及数据的原始记录和管理台账应至少保存五年，确保相关</w:t>
      </w:r>
      <w:r>
        <w:rPr>
          <w:rFonts w:cs="宋体" w:hint="eastAsia"/>
        </w:rPr>
        <w:t>排放数据可被追溯。</w:t>
      </w:r>
    </w:p>
    <w:p w:rsidR="00506AE6" w:rsidRDefault="0072598A">
      <w:pPr>
        <w:pStyle w:val="affa"/>
        <w:numPr>
          <w:ilvl w:val="0"/>
          <w:numId w:val="25"/>
        </w:numPr>
        <w:tabs>
          <w:tab w:val="clear" w:pos="-420"/>
          <w:tab w:val="clear" w:pos="0"/>
          <w:tab w:val="clear" w:pos="4201"/>
          <w:tab w:val="clear" w:pos="9298"/>
        </w:tabs>
        <w:spacing w:line="360" w:lineRule="exact"/>
        <w:ind w:left="704" w:firstLineChars="0" w:hanging="284"/>
        <w:rPr>
          <w:szCs w:val="21"/>
        </w:rPr>
      </w:pPr>
      <w:r>
        <w:rPr>
          <w:rFonts w:cs="宋体" w:hint="eastAsia"/>
          <w:szCs w:val="21"/>
        </w:rPr>
        <w:t>建立温室气体排放报告内部审核制度。定期对温室气体排放数据进行交叉校验，对可能产生的数据误差风险进行识别，并提出相应的解决方案。</w:t>
      </w:r>
    </w:p>
    <w:p w:rsidR="00506AE6" w:rsidRDefault="0072598A">
      <w:pPr>
        <w:pStyle w:val="affa"/>
        <w:numPr>
          <w:ilvl w:val="0"/>
          <w:numId w:val="25"/>
        </w:numPr>
        <w:tabs>
          <w:tab w:val="clear" w:pos="-420"/>
          <w:tab w:val="clear" w:pos="0"/>
          <w:tab w:val="clear" w:pos="4201"/>
          <w:tab w:val="clear" w:pos="9298"/>
        </w:tabs>
        <w:spacing w:line="360" w:lineRule="exact"/>
        <w:ind w:left="704" w:firstLineChars="0" w:hanging="284"/>
        <w:rPr>
          <w:szCs w:val="21"/>
        </w:rPr>
      </w:pPr>
      <w:bookmarkStart w:id="380" w:name="_Hlk46157488"/>
      <w:r>
        <w:rPr>
          <w:rFonts w:cs="宋体" w:hint="eastAsia"/>
          <w:szCs w:val="21"/>
        </w:rPr>
        <w:t>规定数据来源，在之后各核算年度的获取数据精度一般不应降低。</w:t>
      </w:r>
    </w:p>
    <w:bookmarkEnd w:id="380"/>
    <w:p w:rsidR="00506AE6" w:rsidRDefault="0072598A">
      <w:pPr>
        <w:pStyle w:val="affa"/>
        <w:numPr>
          <w:ilvl w:val="0"/>
          <w:numId w:val="25"/>
        </w:numPr>
        <w:tabs>
          <w:tab w:val="clear" w:pos="-420"/>
          <w:tab w:val="clear" w:pos="0"/>
          <w:tab w:val="clear" w:pos="4201"/>
          <w:tab w:val="clear" w:pos="9298"/>
        </w:tabs>
        <w:spacing w:line="360" w:lineRule="exact"/>
        <w:ind w:left="704" w:firstLineChars="0" w:hanging="284"/>
        <w:rPr>
          <w:szCs w:val="21"/>
        </w:rPr>
      </w:pPr>
      <w:r>
        <w:rPr>
          <w:rFonts w:cs="宋体" w:hint="eastAsia"/>
          <w:szCs w:val="21"/>
        </w:rPr>
        <w:lastRenderedPageBreak/>
        <w:t>鼓励有条件的企业加强样品自动采集与分析技术应用，采取创新技术手段，加强原始数据防篡改管理。</w:t>
      </w:r>
    </w:p>
    <w:p w:rsidR="00506AE6" w:rsidRDefault="0072598A">
      <w:pPr>
        <w:pStyle w:val="a3"/>
        <w:spacing w:before="312" w:after="312" w:line="360" w:lineRule="exact"/>
        <w:ind w:left="0"/>
        <w:outlineLvl w:val="0"/>
        <w:rPr>
          <w:rFonts w:ascii="Times New Roman"/>
        </w:rPr>
      </w:pPr>
      <w:bookmarkStart w:id="381" w:name="_Toc1845950845"/>
      <w:r>
        <w:rPr>
          <w:rFonts w:ascii="Times New Roman" w:hint="eastAsia"/>
        </w:rPr>
        <w:t>定期报告要求</w:t>
      </w:r>
      <w:bookmarkEnd w:id="375"/>
      <w:bookmarkEnd w:id="376"/>
      <w:bookmarkEnd w:id="381"/>
    </w:p>
    <w:p w:rsidR="00506AE6" w:rsidRDefault="0072598A">
      <w:pPr>
        <w:pStyle w:val="a4"/>
        <w:spacing w:before="156" w:after="156" w:line="360" w:lineRule="exact"/>
        <w:ind w:left="0"/>
        <w:outlineLvl w:val="1"/>
      </w:pPr>
      <w:bookmarkStart w:id="382" w:name="_Toc140003054"/>
      <w:r>
        <w:rPr>
          <w:rFonts w:hint="eastAsia"/>
        </w:rPr>
        <w:t>排放报告格式要求</w:t>
      </w:r>
      <w:bookmarkEnd w:id="382"/>
    </w:p>
    <w:p w:rsidR="00506AE6" w:rsidRDefault="0072598A">
      <w:r>
        <w:rPr>
          <w:rFonts w:hint="eastAsia"/>
        </w:rPr>
        <w:t>排放报告包括以下基本内容，报告模板见附录</w:t>
      </w:r>
      <w:r>
        <w:rPr>
          <w:rFonts w:hint="eastAsia"/>
        </w:rPr>
        <w:t>E</w:t>
      </w:r>
      <w:r>
        <w:rPr>
          <w:rFonts w:hint="eastAsia"/>
        </w:rPr>
        <w:t>。</w:t>
      </w:r>
      <w:r>
        <w:rPr>
          <w:rFonts w:hint="eastAsia"/>
        </w:rPr>
        <w:t xml:space="preserve"> </w:t>
      </w:r>
    </w:p>
    <w:p w:rsidR="00506AE6" w:rsidRDefault="0072598A">
      <w:pPr>
        <w:pStyle w:val="affa"/>
        <w:numPr>
          <w:ilvl w:val="0"/>
          <w:numId w:val="26"/>
        </w:numPr>
        <w:tabs>
          <w:tab w:val="clear" w:pos="-420"/>
          <w:tab w:val="clear" w:pos="0"/>
          <w:tab w:val="clear" w:pos="4201"/>
          <w:tab w:val="clear" w:pos="9298"/>
        </w:tabs>
        <w:spacing w:line="360" w:lineRule="exact"/>
        <w:ind w:left="704" w:firstLineChars="0" w:hanging="284"/>
      </w:pPr>
      <w:r>
        <w:rPr>
          <w:rFonts w:hint="eastAsia"/>
        </w:rPr>
        <w:t>企业基本信息</w:t>
      </w:r>
    </w:p>
    <w:p w:rsidR="00506AE6" w:rsidRDefault="0072598A">
      <w:r>
        <w:rPr>
          <w:rFonts w:hint="eastAsia"/>
        </w:rPr>
        <w:t>企业名称、统一社会信用代码等基本信息。</w:t>
      </w:r>
    </w:p>
    <w:p w:rsidR="00506AE6" w:rsidRDefault="0072598A">
      <w:pPr>
        <w:pStyle w:val="affa"/>
        <w:numPr>
          <w:ilvl w:val="0"/>
          <w:numId w:val="26"/>
        </w:numPr>
        <w:tabs>
          <w:tab w:val="clear" w:pos="-420"/>
          <w:tab w:val="clear" w:pos="0"/>
          <w:tab w:val="clear" w:pos="4201"/>
          <w:tab w:val="clear" w:pos="9298"/>
        </w:tabs>
        <w:spacing w:line="360" w:lineRule="exact"/>
        <w:ind w:left="704" w:firstLineChars="0" w:hanging="284"/>
      </w:pPr>
      <w:r>
        <w:rPr>
          <w:rFonts w:hint="eastAsia"/>
        </w:rPr>
        <w:t>生产线及排放设施信息</w:t>
      </w:r>
    </w:p>
    <w:p w:rsidR="00506AE6" w:rsidRDefault="0072598A">
      <w:r>
        <w:rPr>
          <w:rFonts w:hint="eastAsia"/>
        </w:rPr>
        <w:t>各生产线对应的批复设计能力、窑规格、海拔高度、</w:t>
      </w:r>
      <w:r>
        <w:rPr>
          <w:rFonts w:hint="eastAsia"/>
        </w:rPr>
        <w:t>熟料类别、</w:t>
      </w:r>
      <w:r>
        <w:rPr>
          <w:rFonts w:hint="eastAsia"/>
        </w:rPr>
        <w:t>熟料品种、批复的以电石渣为主要原料的生产线、批复的替代燃料处理能力、批复的替代燃料种类、批复的协同处置能力、批复的协同处置废物种类等。</w:t>
      </w:r>
    </w:p>
    <w:p w:rsidR="00506AE6" w:rsidRDefault="0072598A">
      <w:pPr>
        <w:pStyle w:val="affa"/>
        <w:numPr>
          <w:ilvl w:val="0"/>
          <w:numId w:val="26"/>
        </w:numPr>
        <w:tabs>
          <w:tab w:val="clear" w:pos="-420"/>
          <w:tab w:val="clear" w:pos="0"/>
          <w:tab w:val="clear" w:pos="4201"/>
          <w:tab w:val="clear" w:pos="9298"/>
        </w:tabs>
        <w:spacing w:line="360" w:lineRule="exact"/>
        <w:ind w:left="704" w:firstLineChars="0" w:hanging="284"/>
      </w:pPr>
      <w:r>
        <w:rPr>
          <w:rFonts w:hint="eastAsia"/>
        </w:rPr>
        <w:t>熟料生产化石燃料燃烧排放表</w:t>
      </w:r>
    </w:p>
    <w:p w:rsidR="00506AE6" w:rsidRDefault="0072598A">
      <w:r>
        <w:rPr>
          <w:rFonts w:hint="eastAsia"/>
        </w:rPr>
        <w:t>各生产线对应的燃煤消耗量、收到基低位发热量、</w:t>
      </w:r>
      <w:r>
        <w:rPr>
          <w:rFonts w:hint="eastAsia"/>
        </w:rPr>
        <w:t>单位热值含碳量、碳氧化率、化石燃料燃烧排放量等。</w:t>
      </w:r>
    </w:p>
    <w:p w:rsidR="00506AE6" w:rsidRDefault="0072598A">
      <w:pPr>
        <w:pStyle w:val="affa"/>
        <w:numPr>
          <w:ilvl w:val="0"/>
          <w:numId w:val="26"/>
        </w:numPr>
        <w:tabs>
          <w:tab w:val="clear" w:pos="-420"/>
          <w:tab w:val="clear" w:pos="0"/>
          <w:tab w:val="clear" w:pos="4201"/>
          <w:tab w:val="clear" w:pos="9298"/>
        </w:tabs>
        <w:spacing w:line="360" w:lineRule="exact"/>
        <w:ind w:left="704" w:firstLineChars="0" w:hanging="284"/>
      </w:pPr>
      <w:r>
        <w:rPr>
          <w:rFonts w:hint="eastAsia"/>
        </w:rPr>
        <w:t>熟料生产过程排放表</w:t>
      </w:r>
    </w:p>
    <w:p w:rsidR="00506AE6" w:rsidRDefault="0072598A">
      <w:r>
        <w:rPr>
          <w:rFonts w:hint="eastAsia"/>
        </w:rPr>
        <w:t>各生产线对应的熟料产量、熟料对应的过程排放因子、熟料中氧化钙和氧化镁含量（实测时适用）、非碳酸盐替代原料种类及消耗量、非碳酸盐替代原料对应的扣减系数、过程排放量等。</w:t>
      </w:r>
    </w:p>
    <w:p w:rsidR="00506AE6" w:rsidRDefault="0072598A">
      <w:pPr>
        <w:pStyle w:val="affa"/>
        <w:numPr>
          <w:ilvl w:val="0"/>
          <w:numId w:val="26"/>
        </w:numPr>
        <w:tabs>
          <w:tab w:val="clear" w:pos="-420"/>
          <w:tab w:val="clear" w:pos="0"/>
          <w:tab w:val="clear" w:pos="4201"/>
          <w:tab w:val="clear" w:pos="9298"/>
        </w:tabs>
        <w:spacing w:line="360" w:lineRule="exact"/>
        <w:ind w:left="704" w:firstLineChars="0" w:hanging="284"/>
      </w:pPr>
      <w:r>
        <w:rPr>
          <w:rFonts w:hint="eastAsia"/>
        </w:rPr>
        <w:t>熟料生产消耗电力排放表</w:t>
      </w:r>
    </w:p>
    <w:p w:rsidR="00506AE6" w:rsidRDefault="0072598A">
      <w:r>
        <w:rPr>
          <w:rFonts w:hint="eastAsia"/>
        </w:rPr>
        <w:t>各生产线对应的消耗电量、总消耗电量、余热电站发电量、购入电网非化石能源电量、自发自用非化石能源电量、电力排放因子、消耗电力产生的排放量等。</w:t>
      </w:r>
    </w:p>
    <w:p w:rsidR="00506AE6" w:rsidRDefault="0072598A">
      <w:pPr>
        <w:pStyle w:val="affa"/>
        <w:numPr>
          <w:ilvl w:val="0"/>
          <w:numId w:val="26"/>
        </w:numPr>
        <w:tabs>
          <w:tab w:val="clear" w:pos="-420"/>
          <w:tab w:val="clear" w:pos="0"/>
          <w:tab w:val="clear" w:pos="4201"/>
          <w:tab w:val="clear" w:pos="9298"/>
        </w:tabs>
        <w:spacing w:line="360" w:lineRule="exact"/>
        <w:ind w:left="704" w:firstLineChars="0" w:hanging="284"/>
      </w:pPr>
      <w:r>
        <w:rPr>
          <w:rFonts w:hint="eastAsia"/>
        </w:rPr>
        <w:t>熟料生产替代燃料相关参数报告表</w:t>
      </w:r>
    </w:p>
    <w:p w:rsidR="00506AE6" w:rsidRDefault="0072598A">
      <w:r>
        <w:rPr>
          <w:rFonts w:hint="eastAsia"/>
        </w:rPr>
        <w:t>各生产线对应的替代燃料种类及消耗量。</w:t>
      </w:r>
    </w:p>
    <w:p w:rsidR="00506AE6" w:rsidRDefault="0072598A">
      <w:pPr>
        <w:pStyle w:val="affa"/>
        <w:numPr>
          <w:ilvl w:val="0"/>
          <w:numId w:val="26"/>
        </w:numPr>
        <w:tabs>
          <w:tab w:val="clear" w:pos="-420"/>
          <w:tab w:val="clear" w:pos="0"/>
          <w:tab w:val="clear" w:pos="4201"/>
          <w:tab w:val="clear" w:pos="9298"/>
        </w:tabs>
        <w:spacing w:line="360" w:lineRule="exact"/>
        <w:ind w:left="704" w:firstLineChars="0" w:hanging="284"/>
      </w:pPr>
      <w:r>
        <w:rPr>
          <w:rFonts w:hint="eastAsia"/>
        </w:rPr>
        <w:t>熟料生产数据及排放量汇总表</w:t>
      </w:r>
    </w:p>
    <w:p w:rsidR="00506AE6" w:rsidRDefault="0072598A">
      <w:r>
        <w:rPr>
          <w:rFonts w:hint="eastAsia"/>
        </w:rPr>
        <w:t>各生产线对应的</w:t>
      </w:r>
      <w:r>
        <w:rPr>
          <w:rFonts w:hint="eastAsia"/>
        </w:rPr>
        <w:t>碳排放量、碳排放强度，以及全部生产线熟料总产量、碳排放总量、碳排放强度等。</w:t>
      </w:r>
    </w:p>
    <w:p w:rsidR="00506AE6" w:rsidRDefault="0072598A">
      <w:pPr>
        <w:pStyle w:val="affa"/>
        <w:numPr>
          <w:ilvl w:val="0"/>
          <w:numId w:val="26"/>
        </w:numPr>
        <w:tabs>
          <w:tab w:val="clear" w:pos="-420"/>
          <w:tab w:val="clear" w:pos="0"/>
          <w:tab w:val="clear" w:pos="4201"/>
          <w:tab w:val="clear" w:pos="9298"/>
        </w:tabs>
        <w:spacing w:line="360" w:lineRule="exact"/>
        <w:ind w:left="704" w:firstLineChars="0" w:hanging="284"/>
      </w:pPr>
      <w:r>
        <w:rPr>
          <w:rFonts w:hint="eastAsia"/>
        </w:rPr>
        <w:t>企业层级排放量汇总表</w:t>
      </w:r>
    </w:p>
    <w:p w:rsidR="00506AE6" w:rsidRDefault="0072598A">
      <w:bookmarkStart w:id="383" w:name="_Hlk144634149"/>
      <w:r>
        <w:rPr>
          <w:rFonts w:hint="eastAsia"/>
        </w:rPr>
        <w:t>企业层级的化石燃料燃烧排放、过程排放、净购入使用电力产生的排放、净购入使用热力产生的排放等对应的相关参数，以及自备电厂排放量、企业层级碳排放总量等</w:t>
      </w:r>
      <w:bookmarkEnd w:id="383"/>
      <w:r>
        <w:rPr>
          <w:rFonts w:hint="eastAsia"/>
        </w:rPr>
        <w:t>。</w:t>
      </w:r>
    </w:p>
    <w:p w:rsidR="00506AE6" w:rsidRDefault="0072598A">
      <w:pPr>
        <w:pStyle w:val="affa"/>
        <w:numPr>
          <w:ilvl w:val="0"/>
          <w:numId w:val="26"/>
        </w:numPr>
        <w:tabs>
          <w:tab w:val="clear" w:pos="-420"/>
          <w:tab w:val="clear" w:pos="0"/>
          <w:tab w:val="clear" w:pos="4201"/>
          <w:tab w:val="clear" w:pos="9298"/>
        </w:tabs>
        <w:spacing w:line="360" w:lineRule="exact"/>
        <w:ind w:left="704" w:firstLineChars="0" w:hanging="284"/>
      </w:pPr>
      <w:bookmarkStart w:id="384" w:name="_Toc115215128"/>
      <w:bookmarkStart w:id="385" w:name="_Toc115215231"/>
      <w:bookmarkStart w:id="386" w:name="_Toc140161228"/>
      <w:bookmarkStart w:id="387" w:name="_Toc116867645"/>
      <w:r>
        <w:rPr>
          <w:rFonts w:hint="eastAsia"/>
        </w:rPr>
        <w:t>生产相关信息</w:t>
      </w:r>
      <w:bookmarkEnd w:id="384"/>
      <w:bookmarkEnd w:id="385"/>
      <w:bookmarkEnd w:id="386"/>
      <w:bookmarkEnd w:id="387"/>
    </w:p>
    <w:p w:rsidR="00506AE6" w:rsidRDefault="0072598A">
      <w:pPr>
        <w:pStyle w:val="affa"/>
        <w:tabs>
          <w:tab w:val="clear" w:pos="-420"/>
          <w:tab w:val="clear" w:pos="0"/>
        </w:tabs>
        <w:spacing w:line="360" w:lineRule="exact"/>
        <w:rPr>
          <w:bCs/>
          <w:szCs w:val="21"/>
        </w:rPr>
      </w:pPr>
      <w:r>
        <w:rPr>
          <w:rFonts w:hint="eastAsia"/>
          <w:bCs/>
          <w:szCs w:val="21"/>
        </w:rPr>
        <w:t>熟料生产为熟料产量数据，企业层级为各产品产量数据</w:t>
      </w:r>
      <w:r>
        <w:rPr>
          <w:bCs/>
          <w:szCs w:val="21"/>
        </w:rPr>
        <w:t>。</w:t>
      </w:r>
    </w:p>
    <w:p w:rsidR="00506AE6" w:rsidRDefault="0072598A">
      <w:pPr>
        <w:pStyle w:val="affa"/>
        <w:numPr>
          <w:ilvl w:val="0"/>
          <w:numId w:val="26"/>
        </w:numPr>
        <w:tabs>
          <w:tab w:val="clear" w:pos="-420"/>
          <w:tab w:val="clear" w:pos="0"/>
          <w:tab w:val="clear" w:pos="4201"/>
          <w:tab w:val="clear" w:pos="9298"/>
        </w:tabs>
        <w:spacing w:line="360" w:lineRule="exact"/>
        <w:ind w:left="704" w:firstLineChars="0" w:hanging="284"/>
      </w:pPr>
      <w:r>
        <w:rPr>
          <w:rFonts w:hint="eastAsia"/>
        </w:rPr>
        <w:t>其他信息</w:t>
      </w:r>
    </w:p>
    <w:p w:rsidR="00506AE6" w:rsidRDefault="0072598A">
      <w:r>
        <w:rPr>
          <w:rFonts w:hint="eastAsia"/>
        </w:rPr>
        <w:t>企业通过市场化交易购入使用的非化石能源电力消费量相关信息。</w:t>
      </w:r>
    </w:p>
    <w:p w:rsidR="00506AE6" w:rsidRDefault="0072598A">
      <w:pPr>
        <w:pStyle w:val="affa"/>
        <w:numPr>
          <w:ilvl w:val="0"/>
          <w:numId w:val="26"/>
        </w:numPr>
        <w:tabs>
          <w:tab w:val="clear" w:pos="-420"/>
          <w:tab w:val="clear" w:pos="0"/>
          <w:tab w:val="clear" w:pos="4201"/>
          <w:tab w:val="clear" w:pos="9298"/>
        </w:tabs>
        <w:spacing w:line="360" w:lineRule="exact"/>
        <w:ind w:left="704" w:firstLineChars="0" w:hanging="284"/>
      </w:pPr>
      <w:r>
        <w:rPr>
          <w:rFonts w:hint="eastAsia"/>
        </w:rPr>
        <w:t>烟气二氧化碳排放在线监测日平均值月报表</w:t>
      </w:r>
    </w:p>
    <w:p w:rsidR="00506AE6" w:rsidRDefault="0072598A">
      <w:r>
        <w:rPr>
          <w:rFonts w:hint="eastAsia"/>
        </w:rPr>
        <w:t>二氧化碳体积浓度、标准状态下干基二氧化碳质量浓度、标准状态下干烟气体积流量、二氧化碳排放量、烟气温度、烟气静压、烟气湿度、负荷。</w:t>
      </w:r>
    </w:p>
    <w:p w:rsidR="00506AE6" w:rsidRDefault="0072598A">
      <w:pPr>
        <w:pStyle w:val="a4"/>
        <w:spacing w:before="156" w:after="156" w:line="360" w:lineRule="exact"/>
        <w:ind w:left="0"/>
        <w:outlineLvl w:val="1"/>
      </w:pPr>
      <w:bookmarkStart w:id="388" w:name="_Toc140003055"/>
      <w:r>
        <w:rPr>
          <w:rFonts w:hint="eastAsia"/>
        </w:rPr>
        <w:lastRenderedPageBreak/>
        <w:t>排放报告存证要求</w:t>
      </w:r>
      <w:bookmarkEnd w:id="388"/>
    </w:p>
    <w:p w:rsidR="00506AE6" w:rsidRDefault="0072598A">
      <w:pPr>
        <w:pStyle w:val="a5"/>
      </w:pPr>
      <w:r>
        <w:rPr>
          <w:rFonts w:hint="eastAsia"/>
        </w:rPr>
        <w:t>熟料生产相关参数按照如下要求开展月度存证，在每月结束后的</w:t>
      </w:r>
      <w:r>
        <w:rPr>
          <w:rFonts w:hint="eastAsia"/>
        </w:rPr>
        <w:t>15</w:t>
      </w:r>
      <w:r>
        <w:rPr>
          <w:rFonts w:hint="eastAsia"/>
        </w:rPr>
        <w:t>个自然日内通过全国碳市场管理平台上传</w:t>
      </w:r>
      <w:bookmarkStart w:id="389" w:name="_Hlk161142713"/>
      <w:r>
        <w:rPr>
          <w:rFonts w:hint="eastAsia"/>
        </w:rPr>
        <w:t>燃煤消耗量、燃煤收到基低位发热量（实测时适用）、熟料产量、熟料中氧化钙和氧化镁含量（实测时适用）、非碳酸盐替代原料消耗量、熟料生产线消耗电量、余热电站发电量、购入电网非化石能源电量、自发自用非化石能源电量</w:t>
      </w:r>
      <w:bookmarkEnd w:id="389"/>
      <w:r>
        <w:rPr>
          <w:rFonts w:hint="eastAsia"/>
        </w:rPr>
        <w:t>等关键参数：</w:t>
      </w:r>
    </w:p>
    <w:p w:rsidR="00506AE6" w:rsidRDefault="0072598A">
      <w:pPr>
        <w:pStyle w:val="affa"/>
        <w:numPr>
          <w:ilvl w:val="0"/>
          <w:numId w:val="27"/>
        </w:numPr>
        <w:tabs>
          <w:tab w:val="clear" w:pos="-420"/>
          <w:tab w:val="clear" w:pos="0"/>
          <w:tab w:val="clear" w:pos="4201"/>
          <w:tab w:val="clear" w:pos="9298"/>
        </w:tabs>
        <w:spacing w:line="360" w:lineRule="exact"/>
        <w:ind w:left="704" w:firstLineChars="0" w:hanging="284"/>
      </w:pPr>
      <w:bookmarkStart w:id="390" w:name="_Hlk143002088"/>
      <w:r>
        <w:rPr>
          <w:rFonts w:hint="eastAsia"/>
        </w:rPr>
        <w:t>燃煤消耗量及种类：通过入磨生产系统记录的，提供每日</w:t>
      </w:r>
      <w:r>
        <w:rPr>
          <w:rFonts w:hint="eastAsia"/>
        </w:rPr>
        <w:t>/</w:t>
      </w:r>
      <w:r>
        <w:rPr>
          <w:rFonts w:hint="eastAsia"/>
        </w:rPr>
        <w:t>每月原始记录、月度生产报表；通过进厂</w:t>
      </w:r>
      <w:r>
        <w:rPr>
          <w:rFonts w:hint="eastAsia"/>
        </w:rPr>
        <w:t>原</w:t>
      </w:r>
      <w:r>
        <w:rPr>
          <w:rFonts w:hint="eastAsia"/>
        </w:rPr>
        <w:t>煤购销存台账统计，提供进厂记录及结算凭证、外销记录及结算凭证、原煤堆场盘库记录、月度生产报表等；入磨煤皮带秤或进厂电子汽车衡等检定</w:t>
      </w:r>
      <w:r>
        <w:rPr>
          <w:rFonts w:hint="eastAsia"/>
        </w:rPr>
        <w:t>/</w:t>
      </w:r>
      <w:r>
        <w:rPr>
          <w:rFonts w:hint="eastAsia"/>
        </w:rPr>
        <w:t>校准原始记录。</w:t>
      </w:r>
    </w:p>
    <w:p w:rsidR="00506AE6" w:rsidRDefault="0072598A">
      <w:pPr>
        <w:pStyle w:val="affa"/>
        <w:numPr>
          <w:ilvl w:val="0"/>
          <w:numId w:val="27"/>
        </w:numPr>
        <w:tabs>
          <w:tab w:val="clear" w:pos="-420"/>
          <w:tab w:val="clear" w:pos="0"/>
          <w:tab w:val="clear" w:pos="4201"/>
          <w:tab w:val="clear" w:pos="9298"/>
        </w:tabs>
        <w:spacing w:line="360" w:lineRule="exact"/>
        <w:ind w:left="704" w:firstLineChars="0" w:hanging="284"/>
      </w:pPr>
      <w:r>
        <w:rPr>
          <w:rFonts w:hint="eastAsia"/>
        </w:rPr>
        <w:t>燃煤收到基低位发热量：提供每日入磨煤或每批次进厂原煤的收到基检测记录。报送提交的原始检测记录中应明确显示检测依据（方法标准）、检测设备、检测人员和检测结果。对于每月进行加权计算的化石燃料收到基低位发热量，提供体现加权计算过程的</w:t>
      </w:r>
      <w:r>
        <w:rPr>
          <w:rFonts w:hint="eastAsia"/>
        </w:rPr>
        <w:t>Excel</w:t>
      </w:r>
      <w:r>
        <w:rPr>
          <w:rFonts w:hint="eastAsia"/>
        </w:rPr>
        <w:t>表，采样、制样、检测全流程视频监控影像</w:t>
      </w:r>
      <w:r>
        <w:rPr>
          <w:rFonts w:hint="eastAsia"/>
        </w:rPr>
        <w:t>记录。</w:t>
      </w:r>
    </w:p>
    <w:p w:rsidR="00506AE6" w:rsidRDefault="0072598A">
      <w:pPr>
        <w:pStyle w:val="affa"/>
        <w:numPr>
          <w:ilvl w:val="0"/>
          <w:numId w:val="27"/>
        </w:numPr>
        <w:tabs>
          <w:tab w:val="clear" w:pos="-420"/>
          <w:tab w:val="clear" w:pos="0"/>
          <w:tab w:val="clear" w:pos="4201"/>
          <w:tab w:val="clear" w:pos="9298"/>
        </w:tabs>
        <w:spacing w:line="360" w:lineRule="exact"/>
        <w:ind w:left="704" w:firstLineChars="0" w:hanging="284"/>
      </w:pPr>
      <w:r>
        <w:rPr>
          <w:rFonts w:hint="eastAsia"/>
        </w:rPr>
        <w:t>熟料产量：通过产销存台账统计，提供出厂记录</w:t>
      </w:r>
      <w:r>
        <w:rPr>
          <w:rFonts w:hint="eastAsia"/>
          <w:szCs w:val="21"/>
        </w:rPr>
        <w:t>、</w:t>
      </w:r>
      <w:r>
        <w:rPr>
          <w:rFonts w:hint="eastAsia"/>
        </w:rPr>
        <w:t>购进记录</w:t>
      </w:r>
      <w:r>
        <w:rPr>
          <w:rFonts w:hint="eastAsia"/>
          <w:szCs w:val="21"/>
        </w:rPr>
        <w:t>、结算凭证、</w:t>
      </w:r>
      <w:r>
        <w:rPr>
          <w:rFonts w:hint="eastAsia"/>
        </w:rPr>
        <w:t>盘库记录、熟料消耗记录、月度生产报表，以及皮带秤、电子汽车衡等</w:t>
      </w:r>
      <w:r>
        <w:t>检定</w:t>
      </w:r>
      <w:r>
        <w:t>/</w:t>
      </w:r>
      <w:r>
        <w:t>校准</w:t>
      </w:r>
      <w:r>
        <w:rPr>
          <w:rFonts w:hint="eastAsia"/>
        </w:rPr>
        <w:t>原始记录。</w:t>
      </w:r>
    </w:p>
    <w:p w:rsidR="00506AE6" w:rsidRDefault="0072598A">
      <w:pPr>
        <w:pStyle w:val="affa"/>
        <w:numPr>
          <w:ilvl w:val="0"/>
          <w:numId w:val="27"/>
        </w:numPr>
        <w:tabs>
          <w:tab w:val="clear" w:pos="-420"/>
          <w:tab w:val="clear" w:pos="0"/>
          <w:tab w:val="clear" w:pos="4201"/>
          <w:tab w:val="clear" w:pos="9298"/>
        </w:tabs>
        <w:spacing w:line="360" w:lineRule="exact"/>
        <w:ind w:left="704" w:firstLineChars="0" w:hanging="284"/>
      </w:pPr>
      <w:r>
        <w:rPr>
          <w:rFonts w:hint="eastAsia"/>
        </w:rPr>
        <w:t>熟料中氧化钙和氧化镁含量：提供每日检测记录，体现月度算术平均计算过程的</w:t>
      </w:r>
      <w:r>
        <w:rPr>
          <w:rFonts w:hint="eastAsia"/>
        </w:rPr>
        <w:t>Excel</w:t>
      </w:r>
      <w:r>
        <w:rPr>
          <w:rFonts w:hint="eastAsia"/>
        </w:rPr>
        <w:t>表</w:t>
      </w:r>
      <w:r>
        <w:rPr>
          <w:rFonts w:hint="eastAsia"/>
          <w:szCs w:val="21"/>
        </w:rPr>
        <w:t>，</w:t>
      </w:r>
      <w:r>
        <w:rPr>
          <w:rFonts w:hint="eastAsia"/>
        </w:rPr>
        <w:t>采样、制样、检测全流程视频监控影像记录。</w:t>
      </w:r>
    </w:p>
    <w:p w:rsidR="00506AE6" w:rsidRDefault="0072598A">
      <w:pPr>
        <w:pStyle w:val="affa"/>
        <w:numPr>
          <w:ilvl w:val="0"/>
          <w:numId w:val="27"/>
        </w:numPr>
        <w:tabs>
          <w:tab w:val="clear" w:pos="-420"/>
          <w:tab w:val="clear" w:pos="0"/>
          <w:tab w:val="clear" w:pos="4201"/>
          <w:tab w:val="clear" w:pos="9298"/>
        </w:tabs>
        <w:spacing w:line="360" w:lineRule="exact"/>
        <w:ind w:left="704" w:firstLineChars="0" w:hanging="284"/>
      </w:pPr>
      <w:r>
        <w:rPr>
          <w:rFonts w:hint="eastAsia"/>
        </w:rPr>
        <w:t>非碳酸盐替代原料消耗量：通过生产系统记录的，提供每日</w:t>
      </w:r>
      <w:r>
        <w:rPr>
          <w:rFonts w:hint="eastAsia"/>
        </w:rPr>
        <w:t>/</w:t>
      </w:r>
      <w:r>
        <w:rPr>
          <w:rFonts w:hint="eastAsia"/>
        </w:rPr>
        <w:t>每月原始记录、月度生产报表，以及皮带秤</w:t>
      </w:r>
      <w:r>
        <w:t>检定</w:t>
      </w:r>
      <w:r>
        <w:t>/</w:t>
      </w:r>
      <w:r>
        <w:t>校准</w:t>
      </w:r>
      <w:r>
        <w:rPr>
          <w:rFonts w:hint="eastAsia"/>
        </w:rPr>
        <w:t>原始记录；企业按生态环境部最新要求在本指南发布后，每月底前在全国碳市场管理平台上报下月非碳酸盐替代原料种类及预计消耗量。</w:t>
      </w:r>
    </w:p>
    <w:p w:rsidR="00506AE6" w:rsidRDefault="0072598A">
      <w:pPr>
        <w:pStyle w:val="affa"/>
        <w:numPr>
          <w:ilvl w:val="0"/>
          <w:numId w:val="27"/>
        </w:numPr>
        <w:tabs>
          <w:tab w:val="clear" w:pos="-420"/>
          <w:tab w:val="clear" w:pos="0"/>
          <w:tab w:val="clear" w:pos="4201"/>
          <w:tab w:val="clear" w:pos="9298"/>
        </w:tabs>
        <w:spacing w:line="360" w:lineRule="exact"/>
        <w:ind w:left="704" w:firstLineChars="0" w:hanging="284"/>
      </w:pPr>
      <w:r>
        <w:rPr>
          <w:rFonts w:hint="eastAsia"/>
        </w:rPr>
        <w:t>熟料生</w:t>
      </w:r>
      <w:r>
        <w:rPr>
          <w:rFonts w:hint="eastAsia"/>
        </w:rPr>
        <w:t>产线总消耗电量：提供每月电量统计原始记录，采用分摊计算得到电力消耗量的，提供</w:t>
      </w:r>
      <w:r>
        <w:rPr>
          <w:rFonts w:hint="eastAsia"/>
        </w:rPr>
        <w:t>Excel</w:t>
      </w:r>
      <w:r>
        <w:rPr>
          <w:rFonts w:hint="eastAsia"/>
        </w:rPr>
        <w:t>计算表。</w:t>
      </w:r>
    </w:p>
    <w:p w:rsidR="00506AE6" w:rsidRDefault="0072598A">
      <w:pPr>
        <w:pStyle w:val="affa"/>
        <w:numPr>
          <w:ilvl w:val="0"/>
          <w:numId w:val="27"/>
        </w:numPr>
        <w:tabs>
          <w:tab w:val="clear" w:pos="-420"/>
          <w:tab w:val="clear" w:pos="0"/>
          <w:tab w:val="clear" w:pos="4201"/>
          <w:tab w:val="clear" w:pos="9298"/>
        </w:tabs>
        <w:spacing w:line="360" w:lineRule="exact"/>
        <w:ind w:left="704" w:firstLineChars="0" w:hanging="284"/>
      </w:pPr>
      <w:r>
        <w:rPr>
          <w:rFonts w:hint="eastAsia"/>
        </w:rPr>
        <w:t>余热电站发电量：提供每月电量统计原始记录，采用分摊计算得到电力消耗量的，提供</w:t>
      </w:r>
      <w:r>
        <w:rPr>
          <w:rFonts w:hint="eastAsia"/>
        </w:rPr>
        <w:t>Excel</w:t>
      </w:r>
      <w:r>
        <w:rPr>
          <w:rFonts w:hint="eastAsia"/>
        </w:rPr>
        <w:t>计算表。</w:t>
      </w:r>
    </w:p>
    <w:p w:rsidR="00506AE6" w:rsidRDefault="0072598A">
      <w:pPr>
        <w:pStyle w:val="affa"/>
        <w:numPr>
          <w:ilvl w:val="0"/>
          <w:numId w:val="27"/>
        </w:numPr>
        <w:tabs>
          <w:tab w:val="clear" w:pos="-420"/>
          <w:tab w:val="clear" w:pos="0"/>
          <w:tab w:val="clear" w:pos="4201"/>
          <w:tab w:val="clear" w:pos="9298"/>
        </w:tabs>
        <w:spacing w:line="360" w:lineRule="exact"/>
        <w:ind w:left="704" w:firstLineChars="0" w:hanging="284"/>
      </w:pPr>
      <w:r>
        <w:rPr>
          <w:rFonts w:hint="eastAsia"/>
        </w:rPr>
        <w:t>购入电网非化石能源电量：应提供购售电双方签订的市场化交易合同（即交易承诺书、交易公告和交易结果）、电力交易机构出具的交易结算凭证和绿色电力证书交易凭证。其中绿色电力证书交易凭证要求签发机构为国家能源局，凭证内容包括项目名称、项目代码、项目类型、项目所在地、电量生产日期等，存量常规水电</w:t>
      </w:r>
      <w:r>
        <w:rPr>
          <w:rFonts w:hint="eastAsia"/>
        </w:rPr>
        <w:t>和</w:t>
      </w:r>
      <w:r>
        <w:rPr>
          <w:rFonts w:hint="eastAsia"/>
        </w:rPr>
        <w:t>核电可不提供绿色电力证书交易凭证；</w:t>
      </w:r>
      <w:r>
        <w:rPr>
          <w:rFonts w:hint="eastAsia"/>
        </w:rPr>
        <w:t>采用分摊计算得到电力消耗量的，提供</w:t>
      </w:r>
      <w:r>
        <w:rPr>
          <w:rFonts w:hint="eastAsia"/>
        </w:rPr>
        <w:t>Excel</w:t>
      </w:r>
      <w:r>
        <w:rPr>
          <w:rFonts w:hint="eastAsia"/>
        </w:rPr>
        <w:t>计算表。以上提供月度相关证明材料。</w:t>
      </w:r>
    </w:p>
    <w:p w:rsidR="00506AE6" w:rsidRDefault="0072598A">
      <w:pPr>
        <w:pStyle w:val="affa"/>
        <w:numPr>
          <w:ilvl w:val="0"/>
          <w:numId w:val="27"/>
        </w:numPr>
        <w:tabs>
          <w:tab w:val="clear" w:pos="-420"/>
          <w:tab w:val="clear" w:pos="0"/>
          <w:tab w:val="clear" w:pos="4201"/>
          <w:tab w:val="clear" w:pos="9298"/>
        </w:tabs>
        <w:spacing w:line="360" w:lineRule="exact"/>
        <w:ind w:left="704" w:firstLineChars="0" w:hanging="284"/>
      </w:pPr>
      <w:r>
        <w:rPr>
          <w:rFonts w:hint="eastAsia"/>
        </w:rPr>
        <w:t>自发自用非化石能源电量：提供每月电量统计原始记录，采用分摊计算得到电力消耗量的，提供</w:t>
      </w:r>
      <w:r>
        <w:rPr>
          <w:rFonts w:hint="eastAsia"/>
        </w:rPr>
        <w:t>Excel</w:t>
      </w:r>
      <w:r>
        <w:rPr>
          <w:rFonts w:hint="eastAsia"/>
        </w:rPr>
        <w:t>计算表。</w:t>
      </w:r>
    </w:p>
    <w:p w:rsidR="00506AE6" w:rsidRDefault="0072598A">
      <w:pPr>
        <w:pStyle w:val="affa"/>
        <w:numPr>
          <w:ilvl w:val="0"/>
          <w:numId w:val="27"/>
        </w:numPr>
        <w:tabs>
          <w:tab w:val="clear" w:pos="-420"/>
          <w:tab w:val="clear" w:pos="0"/>
          <w:tab w:val="clear" w:pos="4201"/>
          <w:tab w:val="clear" w:pos="9298"/>
        </w:tabs>
        <w:spacing w:line="360" w:lineRule="exact"/>
        <w:ind w:left="704" w:firstLineChars="0" w:hanging="284"/>
      </w:pPr>
      <w:r>
        <w:rPr>
          <w:rFonts w:hint="eastAsia"/>
        </w:rPr>
        <w:t>替代燃料消耗量：通过生产系统记录的，提供每月原始记录、月度生产报表。</w:t>
      </w:r>
    </w:p>
    <w:p w:rsidR="00506AE6" w:rsidRDefault="0072598A">
      <w:pPr>
        <w:pStyle w:val="a5"/>
      </w:pPr>
      <w:r>
        <w:rPr>
          <w:rFonts w:hint="eastAsia"/>
        </w:rPr>
        <w:t>企业层级相关参数按照如下要求开展年度存证：</w:t>
      </w:r>
    </w:p>
    <w:p w:rsidR="00506AE6" w:rsidRDefault="0072598A">
      <w:pPr>
        <w:pStyle w:val="affa"/>
        <w:numPr>
          <w:ilvl w:val="0"/>
          <w:numId w:val="28"/>
        </w:numPr>
        <w:tabs>
          <w:tab w:val="clear" w:pos="-420"/>
          <w:tab w:val="clear" w:pos="0"/>
          <w:tab w:val="clear" w:pos="4201"/>
          <w:tab w:val="clear" w:pos="9298"/>
        </w:tabs>
        <w:spacing w:line="360" w:lineRule="exact"/>
        <w:ind w:left="704" w:firstLineChars="0" w:hanging="284"/>
      </w:pPr>
      <w:r>
        <w:rPr>
          <w:rFonts w:hint="eastAsia"/>
        </w:rPr>
        <w:t>化石燃料消耗量：通过生产系统记录的，提供年度原始记录；通过购销存台账统计的，提供年度生产报表、购销存记录或结算凭证。</w:t>
      </w:r>
    </w:p>
    <w:p w:rsidR="00506AE6" w:rsidRDefault="0072598A">
      <w:pPr>
        <w:pStyle w:val="affa"/>
        <w:numPr>
          <w:ilvl w:val="0"/>
          <w:numId w:val="28"/>
        </w:numPr>
        <w:tabs>
          <w:tab w:val="clear" w:pos="-420"/>
          <w:tab w:val="clear" w:pos="0"/>
          <w:tab w:val="clear" w:pos="4201"/>
          <w:tab w:val="clear" w:pos="9298"/>
        </w:tabs>
        <w:spacing w:line="360" w:lineRule="exact"/>
        <w:ind w:left="704" w:firstLineChars="0" w:hanging="284"/>
      </w:pPr>
      <w:r>
        <w:rPr>
          <w:rFonts w:hint="eastAsia"/>
        </w:rPr>
        <w:lastRenderedPageBreak/>
        <w:t>购入</w:t>
      </w:r>
      <w:r>
        <w:rPr>
          <w:rFonts w:hint="eastAsia"/>
        </w:rPr>
        <w:t>/</w:t>
      </w:r>
      <w:r>
        <w:rPr>
          <w:rFonts w:hint="eastAsia"/>
        </w:rPr>
        <w:t>输出电量：采用电表记录读数的，提供年度电量统计原始记录；采用电费结算凭证上数据的，提供年度电费结算凭证；采用分摊计算得到各类型电力消耗量的，提供结算凭证和</w:t>
      </w:r>
      <w:r>
        <w:rPr>
          <w:rFonts w:hint="eastAsia"/>
        </w:rPr>
        <w:t>Excel</w:t>
      </w:r>
      <w:r>
        <w:rPr>
          <w:rFonts w:hint="eastAsia"/>
        </w:rPr>
        <w:t>计算表。</w:t>
      </w:r>
    </w:p>
    <w:p w:rsidR="00506AE6" w:rsidRDefault="0072598A">
      <w:pPr>
        <w:pStyle w:val="affa"/>
        <w:numPr>
          <w:ilvl w:val="0"/>
          <w:numId w:val="28"/>
        </w:numPr>
        <w:tabs>
          <w:tab w:val="clear" w:pos="-420"/>
          <w:tab w:val="clear" w:pos="0"/>
          <w:tab w:val="clear" w:pos="4201"/>
          <w:tab w:val="clear" w:pos="9298"/>
        </w:tabs>
        <w:spacing w:line="360" w:lineRule="exact"/>
        <w:ind w:left="704" w:firstLineChars="0" w:hanging="284"/>
      </w:pPr>
      <w:r>
        <w:rPr>
          <w:rFonts w:hint="eastAsia"/>
        </w:rPr>
        <w:t>购入</w:t>
      </w:r>
      <w:r>
        <w:rPr>
          <w:rFonts w:hint="eastAsia"/>
        </w:rPr>
        <w:t>/</w:t>
      </w:r>
      <w:r>
        <w:rPr>
          <w:rFonts w:hint="eastAsia"/>
        </w:rPr>
        <w:t>外供热量：采用流量计、热量计记录读数的，提供年度统计原始记录和热量</w:t>
      </w:r>
      <w:r>
        <w:rPr>
          <w:rFonts w:hint="eastAsia"/>
        </w:rPr>
        <w:t>Excel</w:t>
      </w:r>
      <w:r>
        <w:rPr>
          <w:rFonts w:hint="eastAsia"/>
        </w:rPr>
        <w:t>计算</w:t>
      </w:r>
      <w:r>
        <w:rPr>
          <w:rFonts w:hint="eastAsia"/>
        </w:rPr>
        <w:t>表；采用热力结算凭证上数据的，提供年度热力结算凭证和热量</w:t>
      </w:r>
      <w:r>
        <w:rPr>
          <w:rFonts w:hint="eastAsia"/>
        </w:rPr>
        <w:t>Excel</w:t>
      </w:r>
      <w:r>
        <w:rPr>
          <w:rFonts w:hint="eastAsia"/>
        </w:rPr>
        <w:t>计算</w:t>
      </w:r>
      <w:r>
        <w:rPr>
          <w:rFonts w:hint="eastAsia"/>
        </w:rPr>
        <w:t>表。</w:t>
      </w:r>
    </w:p>
    <w:p w:rsidR="00506AE6" w:rsidRDefault="0072598A">
      <w:pPr>
        <w:pStyle w:val="affa"/>
        <w:numPr>
          <w:ilvl w:val="0"/>
          <w:numId w:val="28"/>
        </w:numPr>
        <w:tabs>
          <w:tab w:val="clear" w:pos="-420"/>
          <w:tab w:val="clear" w:pos="0"/>
          <w:tab w:val="clear" w:pos="4201"/>
          <w:tab w:val="clear" w:pos="9298"/>
        </w:tabs>
        <w:spacing w:line="360" w:lineRule="exact"/>
        <w:ind w:left="704" w:firstLineChars="0" w:hanging="284"/>
      </w:pPr>
      <w:r>
        <w:rPr>
          <w:rFonts w:hint="eastAsia"/>
        </w:rPr>
        <w:t>二氧化碳排放在线监测系统应提供采购合同、设备铭牌、烟气二氧化碳排放在线监测日平均值月报表。</w:t>
      </w:r>
    </w:p>
    <w:p w:rsidR="00506AE6" w:rsidRDefault="0072598A">
      <w:pPr>
        <w:pStyle w:val="a3"/>
        <w:spacing w:before="312" w:after="312" w:line="360" w:lineRule="exact"/>
        <w:ind w:left="0"/>
        <w:outlineLvl w:val="0"/>
        <w:rPr>
          <w:rFonts w:ascii="Times New Roman"/>
        </w:rPr>
      </w:pPr>
      <w:bookmarkStart w:id="391" w:name="_Toc140003056"/>
      <w:bookmarkStart w:id="392" w:name="_Toc159419090"/>
      <w:bookmarkStart w:id="393" w:name="_Toc1545518979"/>
      <w:bookmarkEnd w:id="390"/>
      <w:r>
        <w:rPr>
          <w:rFonts w:ascii="Times New Roman" w:hint="eastAsia"/>
        </w:rPr>
        <w:t>信息公开格式要求</w:t>
      </w:r>
      <w:bookmarkEnd w:id="391"/>
      <w:bookmarkEnd w:id="392"/>
      <w:bookmarkEnd w:id="393"/>
    </w:p>
    <w:p w:rsidR="00506AE6" w:rsidRDefault="0072598A">
      <w:pPr>
        <w:pStyle w:val="affa"/>
        <w:tabs>
          <w:tab w:val="clear" w:pos="-420"/>
          <w:tab w:val="clear" w:pos="0"/>
        </w:tabs>
        <w:spacing w:line="360" w:lineRule="exact"/>
      </w:pPr>
      <w:bookmarkStart w:id="394" w:name="_Hlk143002141"/>
      <w:r>
        <w:rPr>
          <w:rFonts w:hint="eastAsia"/>
        </w:rPr>
        <w:t>企业信息公开包括以下内容，并按照附录</w:t>
      </w:r>
      <w:r>
        <w:rPr>
          <w:rFonts w:hint="eastAsia"/>
        </w:rPr>
        <w:t>F</w:t>
      </w:r>
      <w:r>
        <w:rPr>
          <w:rFonts w:hint="eastAsia"/>
        </w:rPr>
        <w:t>的格式要求填报。</w:t>
      </w:r>
    </w:p>
    <w:p w:rsidR="00506AE6" w:rsidRDefault="0072598A">
      <w:pPr>
        <w:pStyle w:val="affa"/>
        <w:numPr>
          <w:ilvl w:val="0"/>
          <w:numId w:val="29"/>
        </w:numPr>
        <w:tabs>
          <w:tab w:val="clear" w:pos="-420"/>
          <w:tab w:val="clear" w:pos="0"/>
          <w:tab w:val="clear" w:pos="4201"/>
          <w:tab w:val="clear" w:pos="9298"/>
        </w:tabs>
        <w:spacing w:line="360" w:lineRule="exact"/>
        <w:ind w:left="704" w:firstLineChars="0" w:hanging="284"/>
      </w:pPr>
      <w:r>
        <w:t>基本</w:t>
      </w:r>
      <w:r>
        <w:rPr>
          <w:rFonts w:hint="eastAsia"/>
        </w:rPr>
        <w:t>信息</w:t>
      </w:r>
    </w:p>
    <w:p w:rsidR="00506AE6" w:rsidRDefault="0072598A">
      <w:pPr>
        <w:pStyle w:val="affa"/>
        <w:tabs>
          <w:tab w:val="clear" w:pos="-420"/>
          <w:tab w:val="clear" w:pos="0"/>
        </w:tabs>
        <w:spacing w:line="360" w:lineRule="exact"/>
      </w:pPr>
      <w:r>
        <w:rPr>
          <w:rFonts w:hint="eastAsia"/>
        </w:rPr>
        <w:t>企业名称、统一社会信用代码、法定代表人姓名、生产经营场所地址、行业分类</w:t>
      </w:r>
      <w:r>
        <w:rPr>
          <w:rFonts w:ascii="宋体" w:hint="eastAsia"/>
          <w:szCs w:val="21"/>
        </w:rPr>
        <w:t>及代码</w:t>
      </w:r>
      <w:r>
        <w:rPr>
          <w:rFonts w:hint="eastAsia"/>
        </w:rPr>
        <w:t>、</w:t>
      </w:r>
      <w:r>
        <w:rPr>
          <w:rFonts w:hint="eastAsia"/>
          <w:kern w:val="2"/>
          <w:szCs w:val="24"/>
        </w:rPr>
        <w:t>纳入全国碳市场的行业子类</w:t>
      </w:r>
      <w:r>
        <w:rPr>
          <w:rFonts w:hint="eastAsia"/>
        </w:rPr>
        <w:t>等信息。</w:t>
      </w:r>
    </w:p>
    <w:p w:rsidR="00506AE6" w:rsidRDefault="0072598A">
      <w:pPr>
        <w:pStyle w:val="affa"/>
        <w:numPr>
          <w:ilvl w:val="0"/>
          <w:numId w:val="29"/>
        </w:numPr>
        <w:tabs>
          <w:tab w:val="clear" w:pos="-420"/>
          <w:tab w:val="clear" w:pos="0"/>
          <w:tab w:val="clear" w:pos="4201"/>
          <w:tab w:val="clear" w:pos="9298"/>
        </w:tabs>
        <w:spacing w:line="360" w:lineRule="exact"/>
        <w:ind w:left="704" w:firstLineChars="0" w:hanging="284"/>
      </w:pPr>
      <w:r>
        <w:rPr>
          <w:rFonts w:hint="eastAsia"/>
        </w:rPr>
        <w:t>生产线及排放设施</w:t>
      </w:r>
      <w:r>
        <w:t>信息</w:t>
      </w:r>
    </w:p>
    <w:p w:rsidR="00506AE6" w:rsidRDefault="0072598A">
      <w:pPr>
        <w:pStyle w:val="affa"/>
        <w:tabs>
          <w:tab w:val="clear" w:pos="-420"/>
          <w:tab w:val="clear" w:pos="0"/>
        </w:tabs>
        <w:spacing w:line="360" w:lineRule="exact"/>
      </w:pPr>
      <w:r>
        <w:rPr>
          <w:rFonts w:hint="eastAsia"/>
        </w:rPr>
        <w:t>批复的设计能力、窑规格、海拔高度、熟料品种等信息。</w:t>
      </w:r>
    </w:p>
    <w:p w:rsidR="00506AE6" w:rsidRDefault="0072598A">
      <w:pPr>
        <w:pStyle w:val="affa"/>
        <w:numPr>
          <w:ilvl w:val="0"/>
          <w:numId w:val="29"/>
        </w:numPr>
        <w:tabs>
          <w:tab w:val="clear" w:pos="-420"/>
          <w:tab w:val="clear" w:pos="0"/>
          <w:tab w:val="clear" w:pos="4201"/>
          <w:tab w:val="clear" w:pos="9298"/>
        </w:tabs>
        <w:spacing w:line="360" w:lineRule="exact"/>
        <w:ind w:left="704" w:firstLineChars="0" w:hanging="284"/>
      </w:pPr>
      <w:r>
        <w:rPr>
          <w:rFonts w:hint="eastAsia"/>
        </w:rPr>
        <w:t>熟料生产</w:t>
      </w:r>
      <w:r>
        <w:t>排放量</w:t>
      </w:r>
      <w:r>
        <w:rPr>
          <w:rFonts w:hint="eastAsia"/>
        </w:rPr>
        <w:t>信息</w:t>
      </w:r>
    </w:p>
    <w:p w:rsidR="00506AE6" w:rsidRDefault="0072598A">
      <w:pPr>
        <w:pStyle w:val="affa"/>
        <w:tabs>
          <w:tab w:val="clear" w:pos="-420"/>
          <w:tab w:val="clear" w:pos="0"/>
        </w:tabs>
        <w:spacing w:line="360" w:lineRule="exact"/>
      </w:pPr>
      <w:r>
        <w:rPr>
          <w:rFonts w:hint="eastAsia"/>
        </w:rPr>
        <w:t>熟料生产核算边界二氧化碳排放量。</w:t>
      </w:r>
    </w:p>
    <w:p w:rsidR="00506AE6" w:rsidRDefault="0072598A">
      <w:pPr>
        <w:pStyle w:val="affa"/>
        <w:numPr>
          <w:ilvl w:val="0"/>
          <w:numId w:val="29"/>
        </w:numPr>
        <w:tabs>
          <w:tab w:val="clear" w:pos="-420"/>
          <w:tab w:val="clear" w:pos="0"/>
          <w:tab w:val="clear" w:pos="4201"/>
          <w:tab w:val="clear" w:pos="9298"/>
        </w:tabs>
        <w:spacing w:line="360" w:lineRule="exact"/>
        <w:ind w:left="704" w:firstLineChars="0" w:hanging="284"/>
      </w:pPr>
      <w:r>
        <w:t>生产</w:t>
      </w:r>
      <w:r>
        <w:rPr>
          <w:rFonts w:hint="eastAsia"/>
        </w:rPr>
        <w:t>经营</w:t>
      </w:r>
      <w:r>
        <w:t>变化情况</w:t>
      </w:r>
    </w:p>
    <w:p w:rsidR="00506AE6" w:rsidRDefault="0072598A">
      <w:pPr>
        <w:pStyle w:val="affa"/>
        <w:tabs>
          <w:tab w:val="clear" w:pos="-420"/>
          <w:tab w:val="clear" w:pos="0"/>
        </w:tabs>
        <w:spacing w:line="360" w:lineRule="exact"/>
      </w:pPr>
      <w:r>
        <w:rPr>
          <w:rFonts w:hint="eastAsia"/>
        </w:rPr>
        <w:t>合并、分立、关停或搬迁等情况；地理边界变化情况；熟料生产线关停或新增等情况；其他较上一年度变化情况。</w:t>
      </w:r>
    </w:p>
    <w:p w:rsidR="00506AE6" w:rsidRDefault="0072598A">
      <w:pPr>
        <w:pStyle w:val="affa"/>
        <w:numPr>
          <w:ilvl w:val="0"/>
          <w:numId w:val="29"/>
        </w:numPr>
        <w:tabs>
          <w:tab w:val="clear" w:pos="-420"/>
          <w:tab w:val="clear" w:pos="0"/>
          <w:tab w:val="clear" w:pos="4201"/>
          <w:tab w:val="clear" w:pos="9298"/>
        </w:tabs>
        <w:spacing w:line="360" w:lineRule="exact"/>
        <w:ind w:left="704" w:firstLineChars="0" w:hanging="284"/>
      </w:pPr>
      <w:r>
        <w:rPr>
          <w:rFonts w:hint="eastAsia"/>
        </w:rPr>
        <w:t>企业委托的技术服务机构情况</w:t>
      </w:r>
    </w:p>
    <w:p w:rsidR="00506AE6" w:rsidRDefault="0072598A">
      <w:pPr>
        <w:pStyle w:val="affa"/>
        <w:tabs>
          <w:tab w:val="clear" w:pos="-420"/>
          <w:tab w:val="clear" w:pos="0"/>
        </w:tabs>
        <w:spacing w:line="360" w:lineRule="exact"/>
      </w:pPr>
      <w:r>
        <w:rPr>
          <w:rFonts w:hint="eastAsia"/>
        </w:rPr>
        <w:t>企业委托编制本年度温室气体排放报告的技术服务机构</w:t>
      </w:r>
      <w:r>
        <w:rPr>
          <w:rFonts w:hint="eastAsia"/>
        </w:rPr>
        <w:t>，以及</w:t>
      </w:r>
      <w:r>
        <w:rPr>
          <w:rFonts w:hint="eastAsia"/>
        </w:rPr>
        <w:t>提供检验检测、计量器具和检测设备维护校准服务的技术服务机构的名称</w:t>
      </w:r>
      <w:r>
        <w:rPr>
          <w:rFonts w:hint="eastAsia"/>
        </w:rPr>
        <w:t>和统一社会信用代码。</w:t>
      </w:r>
      <w:bookmarkStart w:id="395" w:name="_Toc366852864"/>
      <w:bookmarkStart w:id="396" w:name="_Hlk143001417"/>
      <w:bookmarkStart w:id="397" w:name="_Toc365637929"/>
      <w:bookmarkEnd w:id="377"/>
      <w:bookmarkEnd w:id="378"/>
      <w:bookmarkEnd w:id="379"/>
      <w:bookmarkEnd w:id="394"/>
    </w:p>
    <w:p w:rsidR="00506AE6" w:rsidRDefault="00506AE6">
      <w:pPr>
        <w:pStyle w:val="affa"/>
        <w:tabs>
          <w:tab w:val="clear" w:pos="-420"/>
          <w:tab w:val="clear" w:pos="0"/>
        </w:tabs>
        <w:spacing w:line="360" w:lineRule="exact"/>
      </w:pPr>
    </w:p>
    <w:p w:rsidR="00506AE6" w:rsidRDefault="00506AE6">
      <w:pPr>
        <w:widowControl/>
        <w:tabs>
          <w:tab w:val="clear" w:pos="4338"/>
          <w:tab w:val="clear" w:pos="8675"/>
        </w:tabs>
        <w:ind w:left="210"/>
        <w:jc w:val="left"/>
        <w:sectPr w:rsidR="00506AE6">
          <w:footerReference w:type="default" r:id="rId17"/>
          <w:pgSz w:w="11906" w:h="16838"/>
          <w:pgMar w:top="1276" w:right="1616" w:bottom="1702" w:left="1616" w:header="851" w:footer="850" w:gutter="0"/>
          <w:pgNumType w:start="1"/>
          <w:cols w:space="720"/>
          <w:docGrid w:type="lines" w:linePitch="312"/>
        </w:sectPr>
      </w:pPr>
    </w:p>
    <w:p w:rsidR="00506AE6" w:rsidRDefault="0072598A">
      <w:pPr>
        <w:pStyle w:val="af3"/>
      </w:pPr>
      <w:bookmarkStart w:id="398" w:name="_Toc1949299359"/>
      <w:r>
        <w:lastRenderedPageBreak/>
        <w:br/>
      </w:r>
      <w:bookmarkStart w:id="399" w:name="_Toc159419091"/>
      <w:r>
        <w:rPr>
          <w:rFonts w:hint="eastAsia"/>
        </w:rPr>
        <w:t>熟料库盘库方法</w:t>
      </w:r>
      <w:bookmarkEnd w:id="398"/>
      <w:bookmarkEnd w:id="399"/>
    </w:p>
    <w:p w:rsidR="00506AE6" w:rsidRDefault="0072598A">
      <w:pPr>
        <w:pStyle w:val="a4"/>
        <w:numPr>
          <w:ilvl w:val="0"/>
          <w:numId w:val="0"/>
        </w:numPr>
        <w:spacing w:before="156" w:after="156" w:line="360" w:lineRule="exact"/>
        <w:jc w:val="both"/>
        <w:outlineLvl w:val="1"/>
        <w:rPr>
          <w:rFonts w:hAnsi="黑体"/>
        </w:rPr>
      </w:pPr>
      <w:r>
        <w:rPr>
          <w:rFonts w:hAnsi="黑体" w:hint="eastAsia"/>
        </w:rPr>
        <w:t>A</w:t>
      </w:r>
      <w:r>
        <w:rPr>
          <w:rFonts w:hAnsi="黑体"/>
        </w:rPr>
        <w:t>.</w:t>
      </w:r>
      <w:r>
        <w:rPr>
          <w:rFonts w:hAnsi="黑体" w:hint="eastAsia"/>
        </w:rPr>
        <w:t>1</w:t>
      </w:r>
      <w:r>
        <w:rPr>
          <w:rFonts w:hAnsi="黑体"/>
        </w:rPr>
        <w:t xml:space="preserve"> </w:t>
      </w:r>
      <w:r>
        <w:rPr>
          <w:rFonts w:hAnsi="黑体" w:hint="eastAsia"/>
        </w:rPr>
        <w:t>人工盘库</w:t>
      </w:r>
    </w:p>
    <w:p w:rsidR="00506AE6" w:rsidRDefault="0072598A">
      <w:pPr>
        <w:adjustRightInd w:val="0"/>
        <w:snapToGrid w:val="0"/>
        <w:ind w:firstLineChars="0" w:firstLine="0"/>
      </w:pPr>
      <w:r>
        <w:rPr>
          <w:rFonts w:hint="eastAsia"/>
        </w:rPr>
        <w:t xml:space="preserve">A.1.1 </w:t>
      </w:r>
      <w:r>
        <w:rPr>
          <w:rFonts w:hint="eastAsia"/>
        </w:rPr>
        <w:t>以所测实际空深作为计算依据，根据各库有效堆料高度扣除平均空深为物料实际平均高度，乘以所测单库横截面积和物料容重得出该库盘点时刻库存数，调整实测时段物料进出库数量，最后计算出统一截止时间的实际库存。</w:t>
      </w:r>
    </w:p>
    <w:p w:rsidR="00506AE6" w:rsidRDefault="0072598A">
      <w:pPr>
        <w:adjustRightInd w:val="0"/>
        <w:snapToGrid w:val="0"/>
        <w:ind w:firstLineChars="0" w:firstLine="0"/>
      </w:pPr>
      <w:r>
        <w:rPr>
          <w:rFonts w:hint="eastAsia"/>
        </w:rPr>
        <w:t xml:space="preserve">A.1.2 </w:t>
      </w:r>
      <w:r>
        <w:rPr>
          <w:rFonts w:hint="eastAsia"/>
        </w:rPr>
        <w:t>以所测实际空深作为计算依据，参考储库的体积、库存对照表，直接计算盘点时刻库存数据（跟踪进出库情况，测算并验证每米物料吨位）。</w:t>
      </w:r>
    </w:p>
    <w:p w:rsidR="00506AE6" w:rsidRDefault="0072598A">
      <w:pPr>
        <w:adjustRightInd w:val="0"/>
        <w:snapToGrid w:val="0"/>
        <w:ind w:firstLineChars="0" w:firstLine="0"/>
      </w:pPr>
      <w:r>
        <w:rPr>
          <w:rFonts w:hint="eastAsia"/>
        </w:rPr>
        <w:t xml:space="preserve">A.1.3 </w:t>
      </w:r>
      <w:r>
        <w:rPr>
          <w:rFonts w:hint="eastAsia"/>
        </w:rPr>
        <w:t>事先已用石块或其他材料进行库底垫底的熟料大库在盘点核定库存时应扣除填方部分的熟料量。</w:t>
      </w:r>
    </w:p>
    <w:p w:rsidR="00506AE6" w:rsidRDefault="0072598A">
      <w:pPr>
        <w:adjustRightInd w:val="0"/>
        <w:snapToGrid w:val="0"/>
        <w:ind w:firstLineChars="0" w:firstLine="0"/>
      </w:pPr>
      <w:r>
        <w:rPr>
          <w:rFonts w:hint="eastAsia"/>
        </w:rPr>
        <w:t xml:space="preserve">A.1.4 </w:t>
      </w:r>
      <w:r>
        <w:rPr>
          <w:rFonts w:hint="eastAsia"/>
        </w:rPr>
        <w:t>库存盘点不考虑挂壁量影响，以实测空深为计算依据，测算出盘点时刻库存数。</w:t>
      </w:r>
    </w:p>
    <w:p w:rsidR="00506AE6" w:rsidRDefault="0072598A">
      <w:pPr>
        <w:adjustRightInd w:val="0"/>
        <w:snapToGrid w:val="0"/>
        <w:ind w:firstLineChars="0" w:firstLine="0"/>
        <w:rPr>
          <w:sz w:val="18"/>
          <w:szCs w:val="18"/>
        </w:rPr>
      </w:pPr>
      <w:r>
        <w:rPr>
          <w:rFonts w:ascii="黑体" w:eastAsia="黑体" w:hAnsi="黑体" w:hint="eastAsia"/>
          <w:sz w:val="18"/>
          <w:szCs w:val="18"/>
        </w:rPr>
        <w:t>注：</w:t>
      </w:r>
      <w:r>
        <w:rPr>
          <w:rFonts w:hint="eastAsia"/>
          <w:sz w:val="18"/>
          <w:szCs w:val="18"/>
        </w:rPr>
        <w:t>空深指从熟料库测量孔放绳或皮尺垂直测量，库内物料与库顶测量孔下口檐间的距离。</w:t>
      </w:r>
    </w:p>
    <w:p w:rsidR="00506AE6" w:rsidRDefault="0072598A">
      <w:pPr>
        <w:adjustRightInd w:val="0"/>
        <w:snapToGrid w:val="0"/>
        <w:spacing w:before="156" w:after="156"/>
        <w:ind w:firstLineChars="0" w:firstLine="0"/>
        <w:outlineLvl w:val="1"/>
      </w:pPr>
      <w:r>
        <w:rPr>
          <w:rFonts w:hint="eastAsia"/>
        </w:rPr>
        <w:t>A.</w:t>
      </w:r>
      <w:r>
        <w:rPr>
          <w:rFonts w:hint="eastAsia"/>
        </w:rPr>
        <w:t xml:space="preserve">1.5 </w:t>
      </w:r>
      <w:r>
        <w:rPr>
          <w:rFonts w:hint="eastAsia"/>
        </w:rPr>
        <w:t>盘库记录与存证</w:t>
      </w:r>
      <w:r>
        <w:rPr>
          <w:rFonts w:hint="eastAsia"/>
        </w:rPr>
        <w:t>的要求如下：</w:t>
      </w:r>
    </w:p>
    <w:p w:rsidR="00506AE6" w:rsidRDefault="0072598A">
      <w:pPr>
        <w:numPr>
          <w:ilvl w:val="0"/>
          <w:numId w:val="30"/>
        </w:numPr>
        <w:adjustRightInd w:val="0"/>
        <w:snapToGrid w:val="0"/>
      </w:pPr>
      <w:r>
        <w:rPr>
          <w:rFonts w:hint="eastAsia"/>
        </w:rPr>
        <w:t>每次盘点宜按照固定的记录格式进行详细记录。盘点记录工作要详细、清晰，杜绝涂改，每次</w:t>
      </w:r>
      <w:r>
        <w:rPr>
          <w:rFonts w:hint="eastAsia"/>
        </w:rPr>
        <w:t>盘点指定专人进行记录，重点记录盘点物料名称、测量库空的时间、库的空深、记录人姓名等内容</w:t>
      </w:r>
      <w:r>
        <w:rPr>
          <w:rFonts w:hint="eastAsia"/>
        </w:rPr>
        <w:t>；</w:t>
      </w:r>
    </w:p>
    <w:p w:rsidR="00506AE6" w:rsidRDefault="0072598A">
      <w:pPr>
        <w:adjustRightInd w:val="0"/>
        <w:snapToGrid w:val="0"/>
      </w:pPr>
      <w:r>
        <w:rPr>
          <w:rFonts w:hint="eastAsia"/>
        </w:rPr>
        <w:t>b)</w:t>
      </w:r>
      <w:r>
        <w:rPr>
          <w:rFonts w:hint="eastAsia"/>
        </w:rPr>
        <w:t xml:space="preserve"> </w:t>
      </w:r>
      <w:r>
        <w:rPr>
          <w:rFonts w:hint="eastAsia"/>
        </w:rPr>
        <w:t>盘点后整理好原始记录，由相关部门进行盘点表的核算。如收集齐全盘库数据后，进行综合整理，对有疑异的数据应及时通知参加盘库的人员重新进行现场复查</w:t>
      </w:r>
      <w:r>
        <w:rPr>
          <w:rFonts w:hint="eastAsia"/>
        </w:rPr>
        <w:t>；</w:t>
      </w:r>
      <w:r>
        <w:rPr>
          <w:rFonts w:hint="eastAsia"/>
        </w:rPr>
        <w:t xml:space="preserve"> </w:t>
      </w:r>
    </w:p>
    <w:p w:rsidR="00506AE6" w:rsidRDefault="0072598A">
      <w:pPr>
        <w:adjustRightInd w:val="0"/>
        <w:snapToGrid w:val="0"/>
      </w:pPr>
      <w:r>
        <w:rPr>
          <w:rFonts w:hint="eastAsia"/>
        </w:rPr>
        <w:t xml:space="preserve">c) </w:t>
      </w:r>
      <w:r>
        <w:rPr>
          <w:rFonts w:hint="eastAsia"/>
        </w:rPr>
        <w:t>盘点原始记录，由参加盘点的人员现场盘点结束时签字，对盘点数据进行确认。</w:t>
      </w:r>
    </w:p>
    <w:p w:rsidR="00506AE6" w:rsidRDefault="0072598A">
      <w:pPr>
        <w:pStyle w:val="a4"/>
        <w:numPr>
          <w:ilvl w:val="0"/>
          <w:numId w:val="0"/>
        </w:numPr>
        <w:spacing w:before="156" w:after="156" w:line="360" w:lineRule="exact"/>
        <w:jc w:val="both"/>
        <w:outlineLvl w:val="1"/>
        <w:rPr>
          <w:rFonts w:hAnsi="黑体"/>
        </w:rPr>
      </w:pPr>
      <w:r>
        <w:rPr>
          <w:rFonts w:hAnsi="黑体" w:hint="eastAsia"/>
        </w:rPr>
        <w:t xml:space="preserve">A.2 </w:t>
      </w:r>
      <w:r>
        <w:rPr>
          <w:rFonts w:hAnsi="黑体" w:hint="eastAsia"/>
        </w:rPr>
        <w:t>智能盘库</w:t>
      </w:r>
    </w:p>
    <w:p w:rsidR="00506AE6" w:rsidRDefault="0072598A">
      <w:pPr>
        <w:adjustRightInd w:val="0"/>
        <w:snapToGrid w:val="0"/>
      </w:pPr>
      <w:r>
        <w:rPr>
          <w:rFonts w:hint="eastAsia"/>
        </w:rPr>
        <w:t>智能盘库系统通过三维成像雷达等电子设备配合算法对熟料库内料面进行三维建模成像，实时对物料体积进行分区盘点，并根据物料容重对质量进行计算，实时掌握熟料库的库存情况。智能盘库系统</w:t>
      </w:r>
      <w:r>
        <w:rPr>
          <w:rFonts w:hint="eastAsia"/>
        </w:rPr>
        <w:t>能实时显示测量体积、测量高度、最大高度、最</w:t>
      </w:r>
      <w:r>
        <w:rPr>
          <w:rFonts w:hint="eastAsia"/>
        </w:rPr>
        <w:t>小</w:t>
      </w:r>
      <w:r>
        <w:rPr>
          <w:rFonts w:hint="eastAsia"/>
        </w:rPr>
        <w:t>高度、测量质量、堆料类型、测量时间等信息，实现对熟料库实时同步、远距离、高精度监控的智能化盘库管理。</w:t>
      </w:r>
    </w:p>
    <w:p w:rsidR="00506AE6" w:rsidRDefault="0072598A">
      <w:pPr>
        <w:pStyle w:val="a4"/>
        <w:numPr>
          <w:ilvl w:val="0"/>
          <w:numId w:val="0"/>
        </w:numPr>
        <w:spacing w:before="156" w:after="156" w:line="360" w:lineRule="exact"/>
        <w:jc w:val="both"/>
        <w:outlineLvl w:val="1"/>
        <w:rPr>
          <w:rFonts w:hAnsi="黑体"/>
        </w:rPr>
      </w:pPr>
      <w:r>
        <w:rPr>
          <w:rFonts w:hAnsi="黑体" w:hint="eastAsia"/>
        </w:rPr>
        <w:t xml:space="preserve">A.3 </w:t>
      </w:r>
      <w:r>
        <w:rPr>
          <w:rFonts w:hAnsi="黑体" w:hint="eastAsia"/>
        </w:rPr>
        <w:t>熟料容重的确定</w:t>
      </w:r>
    </w:p>
    <w:p w:rsidR="00506AE6" w:rsidRDefault="0072598A">
      <w:pPr>
        <w:adjustRightInd w:val="0"/>
        <w:snapToGrid w:val="0"/>
      </w:pPr>
      <w:r>
        <w:rPr>
          <w:rFonts w:hint="eastAsia"/>
        </w:rPr>
        <w:t>熟料容重按各企业规定的物料容重监测方法执行，如用标准体积桶称重计算；应确保熟料取样具有代表性，并保留容重测试确定的相关记录。</w:t>
      </w:r>
    </w:p>
    <w:p w:rsidR="00506AE6" w:rsidRDefault="00506AE6">
      <w:pPr>
        <w:adjustRightInd w:val="0"/>
        <w:snapToGrid w:val="0"/>
        <w:sectPr w:rsidR="00506AE6">
          <w:pgSz w:w="11906" w:h="16838"/>
          <w:pgMar w:top="1276" w:right="1616" w:bottom="1702" w:left="1616" w:header="851" w:footer="850" w:gutter="0"/>
          <w:cols w:space="720"/>
          <w:docGrid w:type="lines" w:linePitch="312"/>
        </w:sectPr>
      </w:pPr>
    </w:p>
    <w:p w:rsidR="00506AE6" w:rsidRDefault="0072598A">
      <w:pPr>
        <w:pStyle w:val="af3"/>
      </w:pPr>
      <w:bookmarkStart w:id="400" w:name="_Toc44779354"/>
      <w:bookmarkStart w:id="401" w:name="_Toc7279"/>
      <w:bookmarkStart w:id="402" w:name="_Toc14028"/>
      <w:bookmarkEnd w:id="395"/>
      <w:bookmarkEnd w:id="396"/>
      <w:bookmarkEnd w:id="397"/>
      <w:r>
        <w:lastRenderedPageBreak/>
        <w:br/>
      </w:r>
      <w:bookmarkStart w:id="403" w:name="_Toc146201698"/>
      <w:bookmarkStart w:id="404" w:name="_Ref143815164"/>
      <w:bookmarkStart w:id="405" w:name="_Toc159419092"/>
      <w:bookmarkStart w:id="406" w:name="_Toc140045492"/>
      <w:bookmarkStart w:id="407" w:name="_Ref143815158"/>
      <w:bookmarkStart w:id="408" w:name="_Toc140003057"/>
      <w:r>
        <w:rPr>
          <w:rFonts w:hint="eastAsia"/>
        </w:rPr>
        <w:t>常用化石燃料相关参数缺省值</w:t>
      </w:r>
      <w:bookmarkEnd w:id="400"/>
      <w:bookmarkEnd w:id="403"/>
      <w:bookmarkEnd w:id="404"/>
      <w:bookmarkEnd w:id="405"/>
      <w:bookmarkEnd w:id="406"/>
      <w:bookmarkEnd w:id="407"/>
      <w:bookmarkEnd w:id="408"/>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627"/>
        <w:gridCol w:w="1014"/>
        <w:gridCol w:w="1991"/>
        <w:gridCol w:w="1571"/>
        <w:gridCol w:w="2193"/>
      </w:tblGrid>
      <w:tr w:rsidR="00506AE6">
        <w:trPr>
          <w:trHeight w:val="340"/>
          <w:jc w:val="center"/>
        </w:trPr>
        <w:tc>
          <w:tcPr>
            <w:tcW w:w="2365" w:type="dxa"/>
            <w:gridSpan w:val="2"/>
            <w:shd w:val="clear" w:color="000000" w:fill="auto"/>
            <w:noWrap/>
            <w:vAlign w:val="center"/>
          </w:tcPr>
          <w:p w:rsidR="00506AE6" w:rsidRDefault="0072598A">
            <w:pPr>
              <w:widowControl/>
              <w:spacing w:line="240" w:lineRule="auto"/>
              <w:ind w:firstLineChars="0" w:firstLine="0"/>
              <w:jc w:val="center"/>
              <w:rPr>
                <w:b/>
                <w:kern w:val="0"/>
                <w:sz w:val="20"/>
                <w:szCs w:val="20"/>
              </w:rPr>
            </w:pPr>
            <w:r>
              <w:rPr>
                <w:b/>
                <w:kern w:val="0"/>
                <w:sz w:val="20"/>
                <w:szCs w:val="20"/>
              </w:rPr>
              <w:t>化石燃料品种</w:t>
            </w:r>
          </w:p>
        </w:tc>
        <w:tc>
          <w:tcPr>
            <w:tcW w:w="1014" w:type="dxa"/>
            <w:shd w:val="clear" w:color="000000" w:fill="auto"/>
            <w:vAlign w:val="center"/>
          </w:tcPr>
          <w:p w:rsidR="00506AE6" w:rsidRDefault="0072598A">
            <w:pPr>
              <w:widowControl/>
              <w:spacing w:line="240" w:lineRule="auto"/>
              <w:ind w:firstLineChars="0" w:firstLine="0"/>
              <w:jc w:val="center"/>
              <w:rPr>
                <w:b/>
                <w:kern w:val="0"/>
                <w:sz w:val="20"/>
                <w:szCs w:val="20"/>
              </w:rPr>
            </w:pPr>
            <w:r>
              <w:rPr>
                <w:b/>
                <w:kern w:val="0"/>
                <w:sz w:val="20"/>
                <w:szCs w:val="20"/>
              </w:rPr>
              <w:t>计量单位</w:t>
            </w:r>
          </w:p>
        </w:tc>
        <w:tc>
          <w:tcPr>
            <w:tcW w:w="1992" w:type="dxa"/>
            <w:shd w:val="clear" w:color="000000" w:fill="auto"/>
            <w:vAlign w:val="center"/>
          </w:tcPr>
          <w:p w:rsidR="00506AE6" w:rsidRDefault="0072598A">
            <w:pPr>
              <w:widowControl/>
              <w:spacing w:line="240" w:lineRule="auto"/>
              <w:ind w:firstLineChars="0" w:firstLine="0"/>
              <w:jc w:val="center"/>
              <w:rPr>
                <w:b/>
                <w:kern w:val="0"/>
                <w:sz w:val="20"/>
                <w:szCs w:val="20"/>
              </w:rPr>
            </w:pPr>
            <w:r>
              <w:rPr>
                <w:b/>
                <w:kern w:val="0"/>
                <w:sz w:val="20"/>
                <w:szCs w:val="20"/>
              </w:rPr>
              <w:t>低位发热量</w:t>
            </w:r>
            <w:r>
              <w:rPr>
                <w:b/>
                <w:kern w:val="0"/>
                <w:sz w:val="20"/>
                <w:szCs w:val="20"/>
                <w:vertAlign w:val="superscript"/>
              </w:rPr>
              <w:t>*1</w:t>
            </w:r>
          </w:p>
          <w:p w:rsidR="00506AE6" w:rsidRDefault="0072598A">
            <w:pPr>
              <w:widowControl/>
              <w:spacing w:line="240" w:lineRule="auto"/>
              <w:ind w:firstLineChars="0" w:firstLine="0"/>
              <w:jc w:val="center"/>
              <w:rPr>
                <w:b/>
                <w:kern w:val="0"/>
                <w:sz w:val="20"/>
                <w:szCs w:val="20"/>
              </w:rPr>
            </w:pPr>
            <w:r>
              <w:rPr>
                <w:b/>
                <w:kern w:val="0"/>
                <w:sz w:val="20"/>
                <w:szCs w:val="20"/>
              </w:rPr>
              <w:t>（</w:t>
            </w:r>
            <w:r>
              <w:rPr>
                <w:b/>
                <w:kern w:val="0"/>
                <w:sz w:val="20"/>
                <w:szCs w:val="20"/>
              </w:rPr>
              <w:t>GJ/t</w:t>
            </w:r>
            <w:r>
              <w:rPr>
                <w:b/>
                <w:kern w:val="0"/>
                <w:sz w:val="20"/>
                <w:szCs w:val="20"/>
              </w:rPr>
              <w:t>，</w:t>
            </w:r>
            <w:r>
              <w:rPr>
                <w:b/>
                <w:kern w:val="0"/>
                <w:sz w:val="20"/>
                <w:szCs w:val="20"/>
              </w:rPr>
              <w:t>GJ/10</w:t>
            </w:r>
            <w:r>
              <w:rPr>
                <w:b/>
                <w:kern w:val="0"/>
                <w:sz w:val="20"/>
                <w:szCs w:val="20"/>
                <w:vertAlign w:val="superscript"/>
              </w:rPr>
              <w:t>4</w:t>
            </w:r>
            <w:r>
              <w:rPr>
                <w:b/>
                <w:kern w:val="0"/>
                <w:sz w:val="20"/>
                <w:szCs w:val="20"/>
              </w:rPr>
              <w:t>Nm</w:t>
            </w:r>
            <w:r>
              <w:rPr>
                <w:b/>
                <w:kern w:val="0"/>
                <w:sz w:val="20"/>
                <w:szCs w:val="20"/>
                <w:vertAlign w:val="superscript"/>
              </w:rPr>
              <w:t>3</w:t>
            </w:r>
            <w:r>
              <w:rPr>
                <w:b/>
                <w:kern w:val="0"/>
                <w:sz w:val="20"/>
                <w:szCs w:val="20"/>
              </w:rPr>
              <w:t>）</w:t>
            </w:r>
          </w:p>
        </w:tc>
        <w:tc>
          <w:tcPr>
            <w:tcW w:w="1571" w:type="dxa"/>
            <w:shd w:val="clear" w:color="000000" w:fill="auto"/>
            <w:vAlign w:val="center"/>
          </w:tcPr>
          <w:p w:rsidR="00506AE6" w:rsidRDefault="0072598A">
            <w:pPr>
              <w:widowControl/>
              <w:spacing w:line="240" w:lineRule="auto"/>
              <w:ind w:firstLineChars="0" w:firstLine="0"/>
              <w:jc w:val="center"/>
              <w:rPr>
                <w:b/>
                <w:kern w:val="0"/>
                <w:sz w:val="20"/>
                <w:szCs w:val="20"/>
              </w:rPr>
            </w:pPr>
            <w:r>
              <w:rPr>
                <w:b/>
                <w:kern w:val="0"/>
                <w:sz w:val="20"/>
                <w:szCs w:val="20"/>
              </w:rPr>
              <w:t>单位热值含碳量</w:t>
            </w:r>
          </w:p>
          <w:p w:rsidR="00506AE6" w:rsidRDefault="0072598A">
            <w:pPr>
              <w:widowControl/>
              <w:spacing w:line="240" w:lineRule="auto"/>
              <w:ind w:firstLineChars="0" w:firstLine="0"/>
              <w:jc w:val="center"/>
              <w:rPr>
                <w:b/>
                <w:kern w:val="0"/>
                <w:sz w:val="20"/>
                <w:szCs w:val="20"/>
              </w:rPr>
            </w:pPr>
            <w:r>
              <w:rPr>
                <w:b/>
                <w:kern w:val="0"/>
                <w:sz w:val="20"/>
                <w:szCs w:val="20"/>
              </w:rPr>
              <w:t>（</w:t>
            </w:r>
            <w:r>
              <w:rPr>
                <w:b/>
                <w:kern w:val="0"/>
                <w:sz w:val="20"/>
                <w:szCs w:val="20"/>
              </w:rPr>
              <w:t>tC/GJ</w:t>
            </w:r>
            <w:r>
              <w:rPr>
                <w:b/>
                <w:kern w:val="0"/>
                <w:sz w:val="20"/>
                <w:szCs w:val="20"/>
              </w:rPr>
              <w:t>）</w:t>
            </w:r>
          </w:p>
        </w:tc>
        <w:tc>
          <w:tcPr>
            <w:tcW w:w="2193" w:type="dxa"/>
            <w:shd w:val="clear" w:color="000000" w:fill="auto"/>
            <w:noWrap/>
            <w:vAlign w:val="center"/>
          </w:tcPr>
          <w:p w:rsidR="00506AE6" w:rsidRDefault="0072598A">
            <w:pPr>
              <w:widowControl/>
              <w:spacing w:line="240" w:lineRule="auto"/>
              <w:ind w:firstLineChars="0" w:firstLine="0"/>
              <w:jc w:val="center"/>
              <w:rPr>
                <w:b/>
                <w:kern w:val="0"/>
                <w:sz w:val="20"/>
                <w:szCs w:val="20"/>
              </w:rPr>
            </w:pPr>
            <w:r>
              <w:rPr>
                <w:b/>
                <w:kern w:val="0"/>
                <w:sz w:val="20"/>
                <w:szCs w:val="20"/>
              </w:rPr>
              <w:t>碳氧化率</w:t>
            </w:r>
          </w:p>
          <w:p w:rsidR="00506AE6" w:rsidRDefault="0072598A">
            <w:pPr>
              <w:widowControl/>
              <w:spacing w:line="240" w:lineRule="auto"/>
              <w:ind w:firstLineChars="0" w:firstLine="0"/>
              <w:jc w:val="center"/>
              <w:rPr>
                <w:b/>
                <w:kern w:val="0"/>
                <w:sz w:val="20"/>
                <w:szCs w:val="20"/>
              </w:rPr>
            </w:pPr>
            <w:r>
              <w:rPr>
                <w:b/>
                <w:kern w:val="0"/>
                <w:sz w:val="20"/>
                <w:szCs w:val="20"/>
              </w:rPr>
              <w:t>（</w:t>
            </w:r>
            <w:r>
              <w:rPr>
                <w:b/>
                <w:kern w:val="0"/>
                <w:sz w:val="20"/>
                <w:szCs w:val="20"/>
              </w:rPr>
              <w:t>%</w:t>
            </w:r>
            <w:r>
              <w:rPr>
                <w:b/>
                <w:kern w:val="0"/>
                <w:sz w:val="20"/>
                <w:szCs w:val="20"/>
              </w:rPr>
              <w:t>）</w:t>
            </w:r>
          </w:p>
        </w:tc>
      </w:tr>
      <w:tr w:rsidR="00506AE6">
        <w:trPr>
          <w:trHeight w:val="430"/>
          <w:jc w:val="center"/>
        </w:trPr>
        <w:tc>
          <w:tcPr>
            <w:tcW w:w="738"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固体燃料</w:t>
            </w:r>
          </w:p>
        </w:tc>
        <w:tc>
          <w:tcPr>
            <w:tcW w:w="1627" w:type="dxa"/>
            <w:shd w:val="clear" w:color="auto" w:fill="auto"/>
            <w:noWrap/>
            <w:vAlign w:val="center"/>
          </w:tcPr>
          <w:p w:rsidR="00506AE6" w:rsidRDefault="0072598A">
            <w:pPr>
              <w:widowControl/>
              <w:spacing w:line="240" w:lineRule="auto"/>
              <w:ind w:firstLineChars="0" w:firstLine="0"/>
              <w:jc w:val="center"/>
              <w:rPr>
                <w:kern w:val="0"/>
                <w:sz w:val="20"/>
                <w:szCs w:val="20"/>
              </w:rPr>
            </w:pPr>
            <w:r>
              <w:rPr>
                <w:kern w:val="0"/>
                <w:sz w:val="20"/>
                <w:szCs w:val="20"/>
              </w:rPr>
              <w:t>水泥生产用</w:t>
            </w:r>
            <w:r>
              <w:rPr>
                <w:rFonts w:hint="eastAsia"/>
                <w:kern w:val="0"/>
                <w:sz w:val="20"/>
                <w:szCs w:val="20"/>
              </w:rPr>
              <w:t>燃</w:t>
            </w:r>
            <w:r>
              <w:rPr>
                <w:kern w:val="0"/>
                <w:sz w:val="20"/>
                <w:szCs w:val="20"/>
              </w:rPr>
              <w:t>煤</w:t>
            </w:r>
          </w:p>
        </w:tc>
        <w:tc>
          <w:tcPr>
            <w:tcW w:w="1014" w:type="dxa"/>
            <w:shd w:val="clear" w:color="auto" w:fill="auto"/>
            <w:vAlign w:val="center"/>
          </w:tcPr>
          <w:p w:rsidR="00506AE6" w:rsidRDefault="0072598A">
            <w:pPr>
              <w:widowControl/>
              <w:spacing w:line="240" w:lineRule="auto"/>
              <w:ind w:firstLineChars="0" w:firstLine="0"/>
              <w:jc w:val="center"/>
              <w:rPr>
                <w:kern w:val="0"/>
                <w:sz w:val="20"/>
                <w:szCs w:val="20"/>
              </w:rPr>
            </w:pPr>
            <w:r>
              <w:rPr>
                <w:kern w:val="0"/>
                <w:sz w:val="20"/>
                <w:szCs w:val="20"/>
              </w:rPr>
              <w:t>t</w:t>
            </w:r>
          </w:p>
        </w:tc>
        <w:tc>
          <w:tcPr>
            <w:tcW w:w="1992"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23.</w:t>
            </w:r>
            <w:r>
              <w:rPr>
                <w:rFonts w:hint="eastAsia"/>
                <w:sz w:val="20"/>
                <w:szCs w:val="20"/>
              </w:rPr>
              <w:t>076</w:t>
            </w:r>
            <w:r>
              <w:rPr>
                <w:rFonts w:hint="eastAsia"/>
                <w:sz w:val="20"/>
                <w:szCs w:val="20"/>
                <w:vertAlign w:val="superscript"/>
              </w:rPr>
              <w:t>*4</w:t>
            </w:r>
          </w:p>
        </w:tc>
        <w:tc>
          <w:tcPr>
            <w:tcW w:w="1571"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0.0261</w:t>
            </w:r>
            <w:r>
              <w:rPr>
                <w:rFonts w:hint="eastAsia"/>
                <w:sz w:val="20"/>
                <w:szCs w:val="20"/>
              </w:rPr>
              <w:t>8</w:t>
            </w:r>
            <w:r>
              <w:rPr>
                <w:sz w:val="20"/>
                <w:szCs w:val="20"/>
                <w:vertAlign w:val="superscript"/>
              </w:rPr>
              <w:t>*3</w:t>
            </w:r>
          </w:p>
        </w:tc>
        <w:tc>
          <w:tcPr>
            <w:tcW w:w="2193" w:type="dxa"/>
            <w:shd w:val="clear" w:color="auto" w:fill="auto"/>
            <w:vAlign w:val="center"/>
          </w:tcPr>
          <w:p w:rsidR="00506AE6" w:rsidRDefault="0072598A">
            <w:pPr>
              <w:widowControl/>
              <w:spacing w:line="240" w:lineRule="auto"/>
              <w:ind w:firstLineChars="0" w:firstLine="0"/>
              <w:jc w:val="center"/>
              <w:rPr>
                <w:kern w:val="0"/>
                <w:sz w:val="20"/>
                <w:szCs w:val="20"/>
              </w:rPr>
            </w:pPr>
            <w:r>
              <w:rPr>
                <w:kern w:val="0"/>
                <w:sz w:val="20"/>
                <w:szCs w:val="20"/>
              </w:rPr>
              <w:t>99</w:t>
            </w:r>
            <w:r>
              <w:rPr>
                <w:kern w:val="0"/>
                <w:sz w:val="20"/>
                <w:szCs w:val="20"/>
                <w:vertAlign w:val="superscript"/>
              </w:rPr>
              <w:t>*3</w:t>
            </w:r>
            <w:r>
              <w:rPr>
                <w:kern w:val="0"/>
                <w:sz w:val="20"/>
                <w:szCs w:val="20"/>
              </w:rPr>
              <w:t>（水泥窑）</w:t>
            </w:r>
          </w:p>
        </w:tc>
      </w:tr>
      <w:tr w:rsidR="00506AE6">
        <w:trPr>
          <w:trHeight w:val="340"/>
          <w:jc w:val="center"/>
        </w:trPr>
        <w:tc>
          <w:tcPr>
            <w:tcW w:w="738" w:type="dxa"/>
            <w:vMerge w:val="restart"/>
            <w:shd w:val="clear" w:color="auto" w:fill="auto"/>
            <w:noWrap/>
            <w:vAlign w:val="center"/>
          </w:tcPr>
          <w:p w:rsidR="00506AE6" w:rsidRDefault="0072598A">
            <w:pPr>
              <w:widowControl/>
              <w:spacing w:line="240" w:lineRule="auto"/>
              <w:ind w:firstLineChars="0" w:firstLine="0"/>
              <w:jc w:val="center"/>
              <w:rPr>
                <w:sz w:val="20"/>
                <w:szCs w:val="20"/>
              </w:rPr>
            </w:pPr>
            <w:r>
              <w:rPr>
                <w:sz w:val="20"/>
                <w:szCs w:val="20"/>
              </w:rPr>
              <w:t>液体燃料</w:t>
            </w:r>
          </w:p>
        </w:tc>
        <w:tc>
          <w:tcPr>
            <w:tcW w:w="1627" w:type="dxa"/>
            <w:shd w:val="clear" w:color="auto" w:fill="auto"/>
            <w:noWrap/>
            <w:vAlign w:val="center"/>
          </w:tcPr>
          <w:p w:rsidR="00506AE6" w:rsidRDefault="0072598A">
            <w:pPr>
              <w:widowControl/>
              <w:spacing w:line="240" w:lineRule="auto"/>
              <w:ind w:firstLineChars="0" w:firstLine="0"/>
              <w:jc w:val="center"/>
              <w:rPr>
                <w:sz w:val="20"/>
                <w:szCs w:val="20"/>
              </w:rPr>
            </w:pPr>
            <w:r>
              <w:rPr>
                <w:sz w:val="20"/>
                <w:szCs w:val="20"/>
              </w:rPr>
              <w:t>原油</w:t>
            </w:r>
          </w:p>
        </w:tc>
        <w:tc>
          <w:tcPr>
            <w:tcW w:w="1014" w:type="dxa"/>
            <w:shd w:val="clear" w:color="auto" w:fill="auto"/>
            <w:vAlign w:val="center"/>
          </w:tcPr>
          <w:p w:rsidR="00506AE6" w:rsidRDefault="0072598A">
            <w:pPr>
              <w:spacing w:line="240" w:lineRule="auto"/>
              <w:ind w:firstLineChars="0" w:firstLine="0"/>
              <w:jc w:val="center"/>
              <w:rPr>
                <w:sz w:val="20"/>
                <w:szCs w:val="20"/>
              </w:rPr>
            </w:pPr>
            <w:r>
              <w:rPr>
                <w:sz w:val="20"/>
                <w:szCs w:val="20"/>
              </w:rPr>
              <w:t>t</w:t>
            </w:r>
          </w:p>
        </w:tc>
        <w:tc>
          <w:tcPr>
            <w:tcW w:w="1992" w:type="dxa"/>
            <w:shd w:val="clear" w:color="auto" w:fill="auto"/>
            <w:vAlign w:val="center"/>
          </w:tcPr>
          <w:p w:rsidR="00506AE6" w:rsidRDefault="0072598A">
            <w:pPr>
              <w:pStyle w:val="Default"/>
              <w:jc w:val="center"/>
              <w:rPr>
                <w:rFonts w:ascii="Times New Roman"/>
              </w:rPr>
            </w:pPr>
            <w:r>
              <w:rPr>
                <w:rFonts w:ascii="Times New Roman"/>
              </w:rPr>
              <w:t>41.816</w:t>
            </w:r>
            <w:r>
              <w:rPr>
                <w:rFonts w:ascii="Times New Roman"/>
                <w:vertAlign w:val="superscript"/>
              </w:rPr>
              <w:t>*</w:t>
            </w:r>
            <w:r>
              <w:rPr>
                <w:rFonts w:ascii="Times New Roman" w:hint="eastAsia"/>
                <w:vertAlign w:val="superscript"/>
              </w:rPr>
              <w:t>5</w:t>
            </w:r>
          </w:p>
        </w:tc>
        <w:tc>
          <w:tcPr>
            <w:tcW w:w="1571"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0.02008</w:t>
            </w:r>
            <w:r>
              <w:rPr>
                <w:sz w:val="20"/>
                <w:szCs w:val="20"/>
                <w:vertAlign w:val="superscript"/>
              </w:rPr>
              <w:t>*3</w:t>
            </w:r>
          </w:p>
        </w:tc>
        <w:tc>
          <w:tcPr>
            <w:tcW w:w="2193" w:type="dxa"/>
            <w:vMerge w:val="restart"/>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98</w:t>
            </w:r>
            <w:r>
              <w:rPr>
                <w:sz w:val="20"/>
                <w:szCs w:val="20"/>
                <w:vertAlign w:val="superscript"/>
              </w:rPr>
              <w:t>*3</w:t>
            </w:r>
          </w:p>
        </w:tc>
      </w:tr>
      <w:tr w:rsidR="00506AE6">
        <w:trPr>
          <w:trHeight w:val="340"/>
          <w:jc w:val="center"/>
        </w:trPr>
        <w:tc>
          <w:tcPr>
            <w:tcW w:w="738" w:type="dxa"/>
            <w:vMerge/>
            <w:shd w:val="clear" w:color="auto" w:fill="auto"/>
            <w:vAlign w:val="center"/>
          </w:tcPr>
          <w:p w:rsidR="00506AE6" w:rsidRDefault="00506AE6">
            <w:pPr>
              <w:widowControl/>
              <w:spacing w:line="240" w:lineRule="auto"/>
              <w:ind w:firstLineChars="0" w:firstLine="0"/>
              <w:jc w:val="center"/>
              <w:rPr>
                <w:sz w:val="20"/>
                <w:szCs w:val="20"/>
              </w:rPr>
            </w:pPr>
          </w:p>
        </w:tc>
        <w:tc>
          <w:tcPr>
            <w:tcW w:w="1627"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燃料油</w:t>
            </w:r>
          </w:p>
        </w:tc>
        <w:tc>
          <w:tcPr>
            <w:tcW w:w="1014" w:type="dxa"/>
            <w:shd w:val="clear" w:color="auto" w:fill="auto"/>
            <w:vAlign w:val="center"/>
          </w:tcPr>
          <w:p w:rsidR="00506AE6" w:rsidRDefault="0072598A">
            <w:pPr>
              <w:spacing w:line="240" w:lineRule="auto"/>
              <w:ind w:firstLineChars="0" w:firstLine="0"/>
              <w:jc w:val="center"/>
              <w:rPr>
                <w:sz w:val="20"/>
                <w:szCs w:val="20"/>
              </w:rPr>
            </w:pPr>
            <w:r>
              <w:rPr>
                <w:sz w:val="20"/>
                <w:szCs w:val="20"/>
              </w:rPr>
              <w:t>t</w:t>
            </w:r>
          </w:p>
        </w:tc>
        <w:tc>
          <w:tcPr>
            <w:tcW w:w="1992" w:type="dxa"/>
            <w:shd w:val="clear" w:color="auto" w:fill="auto"/>
            <w:vAlign w:val="center"/>
          </w:tcPr>
          <w:p w:rsidR="00506AE6" w:rsidRDefault="0072598A">
            <w:pPr>
              <w:pStyle w:val="Default"/>
              <w:jc w:val="center"/>
              <w:rPr>
                <w:rFonts w:ascii="Times New Roman"/>
              </w:rPr>
            </w:pPr>
            <w:r>
              <w:rPr>
                <w:rFonts w:ascii="Times New Roman"/>
              </w:rPr>
              <w:t>41.816</w:t>
            </w:r>
            <w:r>
              <w:rPr>
                <w:rFonts w:ascii="Times New Roman"/>
                <w:vertAlign w:val="superscript"/>
              </w:rPr>
              <w:t>*</w:t>
            </w:r>
            <w:r>
              <w:rPr>
                <w:rFonts w:ascii="Times New Roman" w:hint="eastAsia"/>
                <w:vertAlign w:val="superscript"/>
              </w:rPr>
              <w:t>5</w:t>
            </w:r>
          </w:p>
        </w:tc>
        <w:tc>
          <w:tcPr>
            <w:tcW w:w="1571"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0.02110</w:t>
            </w:r>
            <w:r>
              <w:rPr>
                <w:sz w:val="20"/>
                <w:szCs w:val="20"/>
                <w:vertAlign w:val="superscript"/>
              </w:rPr>
              <w:t>*3</w:t>
            </w:r>
          </w:p>
        </w:tc>
        <w:tc>
          <w:tcPr>
            <w:tcW w:w="2193" w:type="dxa"/>
            <w:vMerge/>
            <w:shd w:val="clear" w:color="auto" w:fill="auto"/>
            <w:vAlign w:val="center"/>
          </w:tcPr>
          <w:p w:rsidR="00506AE6" w:rsidRDefault="00506AE6">
            <w:pPr>
              <w:widowControl/>
              <w:spacing w:line="240" w:lineRule="auto"/>
              <w:ind w:firstLineChars="0" w:firstLine="0"/>
              <w:jc w:val="center"/>
              <w:rPr>
                <w:sz w:val="20"/>
                <w:szCs w:val="20"/>
              </w:rPr>
            </w:pPr>
          </w:p>
        </w:tc>
      </w:tr>
      <w:tr w:rsidR="00506AE6">
        <w:trPr>
          <w:trHeight w:val="340"/>
          <w:jc w:val="center"/>
        </w:trPr>
        <w:tc>
          <w:tcPr>
            <w:tcW w:w="738" w:type="dxa"/>
            <w:vMerge/>
            <w:shd w:val="clear" w:color="auto" w:fill="auto"/>
            <w:vAlign w:val="center"/>
          </w:tcPr>
          <w:p w:rsidR="00506AE6" w:rsidRDefault="00506AE6">
            <w:pPr>
              <w:widowControl/>
              <w:spacing w:line="240" w:lineRule="auto"/>
              <w:ind w:firstLineChars="0" w:firstLine="0"/>
              <w:jc w:val="center"/>
              <w:rPr>
                <w:sz w:val="20"/>
                <w:szCs w:val="20"/>
              </w:rPr>
            </w:pPr>
          </w:p>
        </w:tc>
        <w:tc>
          <w:tcPr>
            <w:tcW w:w="1627"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汽油</w:t>
            </w:r>
          </w:p>
        </w:tc>
        <w:tc>
          <w:tcPr>
            <w:tcW w:w="1014" w:type="dxa"/>
            <w:shd w:val="clear" w:color="auto" w:fill="auto"/>
            <w:vAlign w:val="center"/>
          </w:tcPr>
          <w:p w:rsidR="00506AE6" w:rsidRDefault="0072598A">
            <w:pPr>
              <w:spacing w:line="240" w:lineRule="auto"/>
              <w:ind w:firstLineChars="0" w:firstLine="0"/>
              <w:jc w:val="center"/>
              <w:rPr>
                <w:sz w:val="20"/>
                <w:szCs w:val="20"/>
              </w:rPr>
            </w:pPr>
            <w:r>
              <w:rPr>
                <w:sz w:val="20"/>
                <w:szCs w:val="20"/>
              </w:rPr>
              <w:t>t</w:t>
            </w:r>
          </w:p>
        </w:tc>
        <w:tc>
          <w:tcPr>
            <w:tcW w:w="1992" w:type="dxa"/>
            <w:shd w:val="clear" w:color="auto" w:fill="auto"/>
            <w:vAlign w:val="center"/>
          </w:tcPr>
          <w:p w:rsidR="00506AE6" w:rsidRDefault="0072598A">
            <w:pPr>
              <w:pStyle w:val="Default"/>
              <w:jc w:val="center"/>
              <w:rPr>
                <w:rFonts w:ascii="Times New Roman"/>
              </w:rPr>
            </w:pPr>
            <w:r>
              <w:rPr>
                <w:rFonts w:ascii="Times New Roman"/>
              </w:rPr>
              <w:t>43.070</w:t>
            </w:r>
            <w:r>
              <w:rPr>
                <w:rFonts w:ascii="Times New Roman"/>
                <w:vertAlign w:val="superscript"/>
              </w:rPr>
              <w:t>*</w:t>
            </w:r>
            <w:r>
              <w:rPr>
                <w:rFonts w:ascii="Times New Roman" w:hint="eastAsia"/>
                <w:vertAlign w:val="superscript"/>
              </w:rPr>
              <w:t>5</w:t>
            </w:r>
          </w:p>
        </w:tc>
        <w:tc>
          <w:tcPr>
            <w:tcW w:w="1571"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0.01890</w:t>
            </w:r>
            <w:r>
              <w:rPr>
                <w:sz w:val="20"/>
                <w:szCs w:val="20"/>
                <w:vertAlign w:val="superscript"/>
              </w:rPr>
              <w:t>*3</w:t>
            </w:r>
          </w:p>
        </w:tc>
        <w:tc>
          <w:tcPr>
            <w:tcW w:w="2193" w:type="dxa"/>
            <w:vMerge/>
            <w:shd w:val="clear" w:color="auto" w:fill="auto"/>
            <w:vAlign w:val="center"/>
          </w:tcPr>
          <w:p w:rsidR="00506AE6" w:rsidRDefault="00506AE6">
            <w:pPr>
              <w:widowControl/>
              <w:spacing w:line="240" w:lineRule="auto"/>
              <w:ind w:firstLineChars="0" w:firstLine="0"/>
              <w:jc w:val="center"/>
              <w:rPr>
                <w:sz w:val="20"/>
                <w:szCs w:val="20"/>
              </w:rPr>
            </w:pPr>
          </w:p>
        </w:tc>
      </w:tr>
      <w:tr w:rsidR="00506AE6">
        <w:trPr>
          <w:trHeight w:val="340"/>
          <w:jc w:val="center"/>
        </w:trPr>
        <w:tc>
          <w:tcPr>
            <w:tcW w:w="738" w:type="dxa"/>
            <w:vMerge/>
            <w:shd w:val="clear" w:color="auto" w:fill="auto"/>
            <w:vAlign w:val="center"/>
          </w:tcPr>
          <w:p w:rsidR="00506AE6" w:rsidRDefault="00506AE6">
            <w:pPr>
              <w:widowControl/>
              <w:spacing w:line="240" w:lineRule="auto"/>
              <w:ind w:firstLineChars="0" w:firstLine="0"/>
              <w:jc w:val="center"/>
              <w:rPr>
                <w:sz w:val="20"/>
                <w:szCs w:val="20"/>
              </w:rPr>
            </w:pPr>
          </w:p>
        </w:tc>
        <w:tc>
          <w:tcPr>
            <w:tcW w:w="1627"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柴油</w:t>
            </w:r>
          </w:p>
        </w:tc>
        <w:tc>
          <w:tcPr>
            <w:tcW w:w="1014" w:type="dxa"/>
            <w:shd w:val="clear" w:color="auto" w:fill="auto"/>
            <w:vAlign w:val="center"/>
          </w:tcPr>
          <w:p w:rsidR="00506AE6" w:rsidRDefault="0072598A">
            <w:pPr>
              <w:spacing w:line="240" w:lineRule="auto"/>
              <w:ind w:firstLineChars="0" w:firstLine="0"/>
              <w:jc w:val="center"/>
              <w:rPr>
                <w:sz w:val="20"/>
                <w:szCs w:val="20"/>
              </w:rPr>
            </w:pPr>
            <w:r>
              <w:rPr>
                <w:sz w:val="20"/>
                <w:szCs w:val="20"/>
              </w:rPr>
              <w:t>t</w:t>
            </w:r>
          </w:p>
        </w:tc>
        <w:tc>
          <w:tcPr>
            <w:tcW w:w="1992" w:type="dxa"/>
            <w:shd w:val="clear" w:color="auto" w:fill="auto"/>
            <w:vAlign w:val="center"/>
          </w:tcPr>
          <w:p w:rsidR="00506AE6" w:rsidRDefault="0072598A">
            <w:pPr>
              <w:pStyle w:val="Default"/>
              <w:jc w:val="center"/>
              <w:rPr>
                <w:rFonts w:ascii="Times New Roman"/>
              </w:rPr>
            </w:pPr>
            <w:r>
              <w:rPr>
                <w:rFonts w:ascii="Times New Roman"/>
              </w:rPr>
              <w:t>42.652</w:t>
            </w:r>
            <w:r>
              <w:rPr>
                <w:rFonts w:ascii="Times New Roman"/>
                <w:vertAlign w:val="superscript"/>
              </w:rPr>
              <w:t>*</w:t>
            </w:r>
            <w:r>
              <w:rPr>
                <w:rFonts w:ascii="Times New Roman" w:hint="eastAsia"/>
                <w:vertAlign w:val="superscript"/>
              </w:rPr>
              <w:t>5</w:t>
            </w:r>
          </w:p>
        </w:tc>
        <w:tc>
          <w:tcPr>
            <w:tcW w:w="1571"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0.02020</w:t>
            </w:r>
            <w:r>
              <w:rPr>
                <w:sz w:val="20"/>
                <w:szCs w:val="20"/>
                <w:vertAlign w:val="superscript"/>
              </w:rPr>
              <w:t>*3</w:t>
            </w:r>
          </w:p>
        </w:tc>
        <w:tc>
          <w:tcPr>
            <w:tcW w:w="2193" w:type="dxa"/>
            <w:vMerge/>
            <w:shd w:val="clear" w:color="auto" w:fill="auto"/>
            <w:vAlign w:val="center"/>
          </w:tcPr>
          <w:p w:rsidR="00506AE6" w:rsidRDefault="00506AE6">
            <w:pPr>
              <w:widowControl/>
              <w:spacing w:line="240" w:lineRule="auto"/>
              <w:ind w:firstLineChars="0" w:firstLine="0"/>
              <w:jc w:val="center"/>
              <w:rPr>
                <w:sz w:val="20"/>
                <w:szCs w:val="20"/>
              </w:rPr>
            </w:pPr>
          </w:p>
        </w:tc>
      </w:tr>
      <w:tr w:rsidR="00506AE6">
        <w:trPr>
          <w:trHeight w:val="340"/>
          <w:jc w:val="center"/>
        </w:trPr>
        <w:tc>
          <w:tcPr>
            <w:tcW w:w="738" w:type="dxa"/>
            <w:vMerge/>
            <w:shd w:val="clear" w:color="auto" w:fill="auto"/>
            <w:vAlign w:val="center"/>
          </w:tcPr>
          <w:p w:rsidR="00506AE6" w:rsidRDefault="00506AE6">
            <w:pPr>
              <w:widowControl/>
              <w:spacing w:line="240" w:lineRule="auto"/>
              <w:ind w:firstLineChars="0" w:firstLine="0"/>
              <w:jc w:val="center"/>
              <w:rPr>
                <w:sz w:val="20"/>
                <w:szCs w:val="20"/>
              </w:rPr>
            </w:pPr>
          </w:p>
        </w:tc>
        <w:tc>
          <w:tcPr>
            <w:tcW w:w="1627"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煤油</w:t>
            </w:r>
          </w:p>
        </w:tc>
        <w:tc>
          <w:tcPr>
            <w:tcW w:w="1014" w:type="dxa"/>
            <w:shd w:val="clear" w:color="auto" w:fill="auto"/>
            <w:vAlign w:val="center"/>
          </w:tcPr>
          <w:p w:rsidR="00506AE6" w:rsidRDefault="0072598A">
            <w:pPr>
              <w:spacing w:line="240" w:lineRule="auto"/>
              <w:ind w:firstLineChars="0" w:firstLine="0"/>
              <w:jc w:val="center"/>
              <w:rPr>
                <w:sz w:val="20"/>
                <w:szCs w:val="20"/>
              </w:rPr>
            </w:pPr>
            <w:r>
              <w:rPr>
                <w:sz w:val="20"/>
                <w:szCs w:val="20"/>
              </w:rPr>
              <w:t>t</w:t>
            </w:r>
          </w:p>
        </w:tc>
        <w:tc>
          <w:tcPr>
            <w:tcW w:w="1992"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43.070</w:t>
            </w:r>
            <w:r>
              <w:rPr>
                <w:sz w:val="20"/>
                <w:szCs w:val="20"/>
                <w:vertAlign w:val="superscript"/>
              </w:rPr>
              <w:t>*</w:t>
            </w:r>
            <w:r>
              <w:rPr>
                <w:rFonts w:hint="eastAsia"/>
                <w:sz w:val="20"/>
                <w:szCs w:val="20"/>
                <w:vertAlign w:val="superscript"/>
              </w:rPr>
              <w:t>5</w:t>
            </w:r>
          </w:p>
        </w:tc>
        <w:tc>
          <w:tcPr>
            <w:tcW w:w="1571" w:type="dxa"/>
            <w:shd w:val="clear" w:color="auto" w:fill="auto"/>
            <w:vAlign w:val="center"/>
          </w:tcPr>
          <w:p w:rsidR="00506AE6" w:rsidRDefault="0072598A">
            <w:pPr>
              <w:pStyle w:val="Default"/>
              <w:jc w:val="center"/>
              <w:rPr>
                <w:rFonts w:ascii="Times New Roman"/>
              </w:rPr>
            </w:pPr>
            <w:r>
              <w:rPr>
                <w:rFonts w:ascii="Times New Roman"/>
              </w:rPr>
              <w:t>0.01960</w:t>
            </w:r>
            <w:r>
              <w:rPr>
                <w:rFonts w:ascii="Times New Roman"/>
                <w:vertAlign w:val="superscript"/>
              </w:rPr>
              <w:t>*3</w:t>
            </w:r>
          </w:p>
        </w:tc>
        <w:tc>
          <w:tcPr>
            <w:tcW w:w="2193" w:type="dxa"/>
            <w:vMerge/>
            <w:shd w:val="clear" w:color="auto" w:fill="auto"/>
            <w:vAlign w:val="center"/>
          </w:tcPr>
          <w:p w:rsidR="00506AE6" w:rsidRDefault="00506AE6">
            <w:pPr>
              <w:widowControl/>
              <w:spacing w:line="240" w:lineRule="auto"/>
              <w:ind w:firstLineChars="0" w:firstLine="0"/>
              <w:jc w:val="center"/>
              <w:rPr>
                <w:sz w:val="20"/>
                <w:szCs w:val="20"/>
              </w:rPr>
            </w:pPr>
          </w:p>
        </w:tc>
      </w:tr>
      <w:tr w:rsidR="00506AE6">
        <w:trPr>
          <w:trHeight w:val="340"/>
          <w:jc w:val="center"/>
        </w:trPr>
        <w:tc>
          <w:tcPr>
            <w:tcW w:w="738" w:type="dxa"/>
            <w:vMerge/>
            <w:shd w:val="clear" w:color="auto" w:fill="auto"/>
            <w:vAlign w:val="center"/>
          </w:tcPr>
          <w:p w:rsidR="00506AE6" w:rsidRDefault="00506AE6">
            <w:pPr>
              <w:widowControl/>
              <w:spacing w:line="240" w:lineRule="auto"/>
              <w:ind w:firstLineChars="0" w:firstLine="0"/>
              <w:jc w:val="center"/>
              <w:rPr>
                <w:sz w:val="20"/>
                <w:szCs w:val="20"/>
              </w:rPr>
            </w:pPr>
          </w:p>
        </w:tc>
        <w:tc>
          <w:tcPr>
            <w:tcW w:w="1627" w:type="dxa"/>
            <w:shd w:val="clear" w:color="auto" w:fill="auto"/>
            <w:noWrap/>
            <w:vAlign w:val="center"/>
          </w:tcPr>
          <w:p w:rsidR="00506AE6" w:rsidRDefault="0072598A">
            <w:pPr>
              <w:widowControl/>
              <w:spacing w:line="240" w:lineRule="auto"/>
              <w:ind w:firstLineChars="0" w:firstLine="0"/>
              <w:jc w:val="center"/>
              <w:rPr>
                <w:sz w:val="20"/>
                <w:szCs w:val="20"/>
              </w:rPr>
            </w:pPr>
            <w:r>
              <w:rPr>
                <w:sz w:val="20"/>
                <w:szCs w:val="20"/>
              </w:rPr>
              <w:t>液化天然气</w:t>
            </w:r>
          </w:p>
        </w:tc>
        <w:tc>
          <w:tcPr>
            <w:tcW w:w="1014" w:type="dxa"/>
            <w:shd w:val="clear" w:color="auto" w:fill="auto"/>
            <w:vAlign w:val="center"/>
          </w:tcPr>
          <w:p w:rsidR="00506AE6" w:rsidRDefault="0072598A">
            <w:pPr>
              <w:spacing w:line="240" w:lineRule="auto"/>
              <w:ind w:firstLineChars="0" w:firstLine="0"/>
              <w:jc w:val="center"/>
              <w:rPr>
                <w:sz w:val="20"/>
                <w:szCs w:val="20"/>
              </w:rPr>
            </w:pPr>
            <w:r>
              <w:rPr>
                <w:sz w:val="20"/>
                <w:szCs w:val="20"/>
              </w:rPr>
              <w:t>t</w:t>
            </w:r>
          </w:p>
        </w:tc>
        <w:tc>
          <w:tcPr>
            <w:tcW w:w="1992" w:type="dxa"/>
            <w:shd w:val="clear" w:color="auto" w:fill="auto"/>
            <w:vAlign w:val="center"/>
          </w:tcPr>
          <w:p w:rsidR="00506AE6" w:rsidRDefault="0072598A">
            <w:pPr>
              <w:pStyle w:val="Default"/>
              <w:jc w:val="center"/>
              <w:rPr>
                <w:rFonts w:ascii="Times New Roman"/>
              </w:rPr>
            </w:pPr>
            <w:r>
              <w:rPr>
                <w:rFonts w:ascii="Times New Roman"/>
              </w:rPr>
              <w:t>51.498</w:t>
            </w:r>
            <w:r>
              <w:rPr>
                <w:rFonts w:ascii="Times New Roman"/>
                <w:vertAlign w:val="superscript"/>
              </w:rPr>
              <w:t>*</w:t>
            </w:r>
            <w:r>
              <w:rPr>
                <w:rFonts w:ascii="Times New Roman" w:hint="eastAsia"/>
                <w:vertAlign w:val="superscript"/>
              </w:rPr>
              <w:t>6</w:t>
            </w:r>
          </w:p>
        </w:tc>
        <w:tc>
          <w:tcPr>
            <w:tcW w:w="1571" w:type="dxa"/>
            <w:shd w:val="clear" w:color="auto" w:fill="auto"/>
            <w:vAlign w:val="center"/>
          </w:tcPr>
          <w:p w:rsidR="00506AE6" w:rsidRDefault="0072598A">
            <w:pPr>
              <w:pStyle w:val="Default"/>
              <w:jc w:val="center"/>
              <w:rPr>
                <w:rFonts w:ascii="Times New Roman"/>
              </w:rPr>
            </w:pPr>
            <w:r>
              <w:rPr>
                <w:rFonts w:ascii="Times New Roman"/>
              </w:rPr>
              <w:t>0.01720</w:t>
            </w:r>
            <w:r>
              <w:rPr>
                <w:rFonts w:ascii="Times New Roman"/>
                <w:vertAlign w:val="superscript"/>
              </w:rPr>
              <w:t>*3</w:t>
            </w:r>
          </w:p>
        </w:tc>
        <w:tc>
          <w:tcPr>
            <w:tcW w:w="2193" w:type="dxa"/>
            <w:vMerge/>
            <w:shd w:val="clear" w:color="auto" w:fill="auto"/>
            <w:vAlign w:val="center"/>
          </w:tcPr>
          <w:p w:rsidR="00506AE6" w:rsidRDefault="00506AE6">
            <w:pPr>
              <w:widowControl/>
              <w:spacing w:line="240" w:lineRule="auto"/>
              <w:ind w:firstLineChars="0" w:firstLine="0"/>
              <w:jc w:val="center"/>
              <w:rPr>
                <w:sz w:val="20"/>
                <w:szCs w:val="20"/>
              </w:rPr>
            </w:pPr>
          </w:p>
        </w:tc>
      </w:tr>
      <w:tr w:rsidR="00506AE6">
        <w:trPr>
          <w:trHeight w:val="340"/>
          <w:jc w:val="center"/>
        </w:trPr>
        <w:tc>
          <w:tcPr>
            <w:tcW w:w="738" w:type="dxa"/>
            <w:vMerge/>
            <w:shd w:val="clear" w:color="auto" w:fill="auto"/>
            <w:vAlign w:val="center"/>
          </w:tcPr>
          <w:p w:rsidR="00506AE6" w:rsidRDefault="00506AE6">
            <w:pPr>
              <w:widowControl/>
              <w:spacing w:line="240" w:lineRule="auto"/>
              <w:ind w:firstLineChars="0" w:firstLine="0"/>
              <w:jc w:val="center"/>
              <w:rPr>
                <w:sz w:val="20"/>
                <w:szCs w:val="20"/>
              </w:rPr>
            </w:pPr>
          </w:p>
        </w:tc>
        <w:tc>
          <w:tcPr>
            <w:tcW w:w="1627" w:type="dxa"/>
            <w:shd w:val="clear" w:color="auto" w:fill="auto"/>
            <w:noWrap/>
            <w:vAlign w:val="center"/>
          </w:tcPr>
          <w:p w:rsidR="00506AE6" w:rsidRDefault="0072598A">
            <w:pPr>
              <w:widowControl/>
              <w:spacing w:line="240" w:lineRule="auto"/>
              <w:ind w:firstLineChars="0" w:firstLine="0"/>
              <w:jc w:val="center"/>
              <w:rPr>
                <w:sz w:val="20"/>
                <w:szCs w:val="20"/>
              </w:rPr>
            </w:pPr>
            <w:r>
              <w:rPr>
                <w:sz w:val="20"/>
                <w:szCs w:val="20"/>
              </w:rPr>
              <w:t>液化石油气</w:t>
            </w:r>
          </w:p>
        </w:tc>
        <w:tc>
          <w:tcPr>
            <w:tcW w:w="1014" w:type="dxa"/>
            <w:shd w:val="clear" w:color="auto" w:fill="auto"/>
            <w:vAlign w:val="center"/>
          </w:tcPr>
          <w:p w:rsidR="00506AE6" w:rsidRDefault="0072598A">
            <w:pPr>
              <w:spacing w:line="240" w:lineRule="auto"/>
              <w:ind w:firstLineChars="0" w:firstLine="0"/>
              <w:jc w:val="center"/>
              <w:rPr>
                <w:sz w:val="20"/>
                <w:szCs w:val="20"/>
              </w:rPr>
            </w:pPr>
            <w:r>
              <w:rPr>
                <w:sz w:val="20"/>
                <w:szCs w:val="20"/>
              </w:rPr>
              <w:t>t</w:t>
            </w:r>
          </w:p>
        </w:tc>
        <w:tc>
          <w:tcPr>
            <w:tcW w:w="1992" w:type="dxa"/>
            <w:shd w:val="clear" w:color="auto" w:fill="auto"/>
            <w:vAlign w:val="center"/>
          </w:tcPr>
          <w:p w:rsidR="00506AE6" w:rsidRDefault="0072598A">
            <w:pPr>
              <w:pStyle w:val="Default"/>
              <w:jc w:val="center"/>
              <w:rPr>
                <w:rFonts w:ascii="Times New Roman"/>
              </w:rPr>
            </w:pPr>
            <w:r>
              <w:rPr>
                <w:rFonts w:ascii="Times New Roman"/>
              </w:rPr>
              <w:t>50.179</w:t>
            </w:r>
            <w:r>
              <w:rPr>
                <w:rFonts w:ascii="Times New Roman"/>
                <w:vertAlign w:val="superscript"/>
              </w:rPr>
              <w:t>*</w:t>
            </w:r>
            <w:r>
              <w:rPr>
                <w:rFonts w:ascii="Times New Roman" w:hint="eastAsia"/>
                <w:vertAlign w:val="superscript"/>
              </w:rPr>
              <w:t>5</w:t>
            </w:r>
          </w:p>
        </w:tc>
        <w:tc>
          <w:tcPr>
            <w:tcW w:w="1571" w:type="dxa"/>
            <w:shd w:val="clear" w:color="auto" w:fill="auto"/>
            <w:vAlign w:val="center"/>
          </w:tcPr>
          <w:p w:rsidR="00506AE6" w:rsidRDefault="0072598A">
            <w:pPr>
              <w:pStyle w:val="Default"/>
              <w:jc w:val="center"/>
              <w:rPr>
                <w:rFonts w:ascii="Times New Roman"/>
              </w:rPr>
            </w:pPr>
            <w:r>
              <w:rPr>
                <w:rFonts w:ascii="Times New Roman"/>
              </w:rPr>
              <w:t>0.01720</w:t>
            </w:r>
            <w:r>
              <w:rPr>
                <w:rFonts w:ascii="Times New Roman"/>
                <w:vertAlign w:val="superscript"/>
              </w:rPr>
              <w:t>*3</w:t>
            </w:r>
          </w:p>
        </w:tc>
        <w:tc>
          <w:tcPr>
            <w:tcW w:w="2193" w:type="dxa"/>
            <w:vMerge/>
            <w:shd w:val="clear" w:color="auto" w:fill="auto"/>
            <w:vAlign w:val="center"/>
          </w:tcPr>
          <w:p w:rsidR="00506AE6" w:rsidRDefault="00506AE6">
            <w:pPr>
              <w:widowControl/>
              <w:spacing w:line="240" w:lineRule="auto"/>
              <w:ind w:firstLineChars="0" w:firstLine="0"/>
              <w:jc w:val="center"/>
              <w:rPr>
                <w:sz w:val="20"/>
                <w:szCs w:val="20"/>
              </w:rPr>
            </w:pPr>
          </w:p>
        </w:tc>
      </w:tr>
      <w:tr w:rsidR="00506AE6">
        <w:trPr>
          <w:trHeight w:val="340"/>
          <w:jc w:val="center"/>
        </w:trPr>
        <w:tc>
          <w:tcPr>
            <w:tcW w:w="738" w:type="dxa"/>
            <w:vMerge/>
            <w:shd w:val="clear" w:color="auto" w:fill="auto"/>
            <w:vAlign w:val="center"/>
          </w:tcPr>
          <w:p w:rsidR="00506AE6" w:rsidRDefault="00506AE6">
            <w:pPr>
              <w:widowControl/>
              <w:spacing w:line="240" w:lineRule="auto"/>
              <w:ind w:firstLineChars="0" w:firstLine="0"/>
              <w:jc w:val="center"/>
              <w:rPr>
                <w:sz w:val="20"/>
                <w:szCs w:val="20"/>
              </w:rPr>
            </w:pPr>
          </w:p>
        </w:tc>
        <w:tc>
          <w:tcPr>
            <w:tcW w:w="1627" w:type="dxa"/>
            <w:shd w:val="clear" w:color="auto" w:fill="auto"/>
            <w:noWrap/>
            <w:vAlign w:val="center"/>
          </w:tcPr>
          <w:p w:rsidR="00506AE6" w:rsidRDefault="0072598A">
            <w:pPr>
              <w:widowControl/>
              <w:spacing w:line="240" w:lineRule="auto"/>
              <w:ind w:firstLineChars="0" w:firstLine="0"/>
              <w:jc w:val="center"/>
              <w:rPr>
                <w:sz w:val="20"/>
                <w:szCs w:val="20"/>
              </w:rPr>
            </w:pPr>
            <w:r>
              <w:rPr>
                <w:sz w:val="20"/>
                <w:szCs w:val="20"/>
              </w:rPr>
              <w:t>煤焦油</w:t>
            </w:r>
          </w:p>
        </w:tc>
        <w:tc>
          <w:tcPr>
            <w:tcW w:w="1014" w:type="dxa"/>
            <w:shd w:val="clear" w:color="auto" w:fill="auto"/>
            <w:vAlign w:val="center"/>
          </w:tcPr>
          <w:p w:rsidR="00506AE6" w:rsidRDefault="0072598A">
            <w:pPr>
              <w:spacing w:line="240" w:lineRule="auto"/>
              <w:ind w:firstLineChars="0" w:firstLine="0"/>
              <w:jc w:val="center"/>
              <w:rPr>
                <w:sz w:val="20"/>
                <w:szCs w:val="20"/>
              </w:rPr>
            </w:pPr>
            <w:r>
              <w:rPr>
                <w:sz w:val="20"/>
                <w:szCs w:val="20"/>
              </w:rPr>
              <w:t>t</w:t>
            </w:r>
          </w:p>
        </w:tc>
        <w:tc>
          <w:tcPr>
            <w:tcW w:w="1992"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33.453</w:t>
            </w:r>
            <w:r>
              <w:rPr>
                <w:sz w:val="20"/>
                <w:szCs w:val="20"/>
                <w:vertAlign w:val="superscript"/>
              </w:rPr>
              <w:t>*</w:t>
            </w:r>
            <w:r>
              <w:rPr>
                <w:rFonts w:hint="eastAsia"/>
                <w:sz w:val="20"/>
                <w:szCs w:val="20"/>
                <w:vertAlign w:val="superscript"/>
              </w:rPr>
              <w:t>5</w:t>
            </w:r>
          </w:p>
        </w:tc>
        <w:tc>
          <w:tcPr>
            <w:tcW w:w="1571"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0.02200</w:t>
            </w:r>
            <w:r>
              <w:rPr>
                <w:sz w:val="20"/>
                <w:szCs w:val="20"/>
                <w:vertAlign w:val="superscript"/>
              </w:rPr>
              <w:t>*2</w:t>
            </w:r>
          </w:p>
        </w:tc>
        <w:tc>
          <w:tcPr>
            <w:tcW w:w="2193" w:type="dxa"/>
            <w:vMerge/>
            <w:shd w:val="clear" w:color="auto" w:fill="auto"/>
            <w:vAlign w:val="center"/>
          </w:tcPr>
          <w:p w:rsidR="00506AE6" w:rsidRDefault="00506AE6">
            <w:pPr>
              <w:widowControl/>
              <w:spacing w:line="240" w:lineRule="auto"/>
              <w:ind w:firstLineChars="0" w:firstLine="0"/>
              <w:jc w:val="center"/>
              <w:rPr>
                <w:sz w:val="20"/>
                <w:szCs w:val="20"/>
              </w:rPr>
            </w:pPr>
          </w:p>
        </w:tc>
      </w:tr>
      <w:tr w:rsidR="00506AE6">
        <w:trPr>
          <w:trHeight w:val="340"/>
          <w:jc w:val="center"/>
        </w:trPr>
        <w:tc>
          <w:tcPr>
            <w:tcW w:w="738" w:type="dxa"/>
            <w:vMerge w:val="restart"/>
            <w:shd w:val="clear" w:color="auto" w:fill="auto"/>
            <w:noWrap/>
            <w:vAlign w:val="center"/>
          </w:tcPr>
          <w:p w:rsidR="00506AE6" w:rsidRDefault="0072598A">
            <w:pPr>
              <w:spacing w:line="240" w:lineRule="auto"/>
              <w:ind w:firstLineChars="0" w:firstLine="0"/>
              <w:jc w:val="center"/>
              <w:rPr>
                <w:sz w:val="20"/>
                <w:szCs w:val="20"/>
              </w:rPr>
            </w:pPr>
            <w:r>
              <w:rPr>
                <w:sz w:val="20"/>
                <w:szCs w:val="20"/>
              </w:rPr>
              <w:t>气体燃料</w:t>
            </w:r>
          </w:p>
        </w:tc>
        <w:tc>
          <w:tcPr>
            <w:tcW w:w="1627" w:type="dxa"/>
            <w:shd w:val="clear" w:color="auto" w:fill="auto"/>
            <w:noWrap/>
            <w:vAlign w:val="center"/>
          </w:tcPr>
          <w:p w:rsidR="00506AE6" w:rsidRDefault="0072598A">
            <w:pPr>
              <w:widowControl/>
              <w:spacing w:line="240" w:lineRule="auto"/>
              <w:ind w:firstLineChars="0" w:firstLine="0"/>
              <w:jc w:val="center"/>
              <w:rPr>
                <w:sz w:val="20"/>
                <w:szCs w:val="20"/>
              </w:rPr>
            </w:pPr>
            <w:r>
              <w:rPr>
                <w:sz w:val="20"/>
                <w:szCs w:val="20"/>
              </w:rPr>
              <w:t>天然气</w:t>
            </w:r>
          </w:p>
        </w:tc>
        <w:tc>
          <w:tcPr>
            <w:tcW w:w="1014" w:type="dxa"/>
            <w:shd w:val="clear" w:color="auto" w:fill="auto"/>
            <w:vAlign w:val="center"/>
          </w:tcPr>
          <w:p w:rsidR="00506AE6" w:rsidRDefault="0072598A">
            <w:pPr>
              <w:spacing w:line="240" w:lineRule="auto"/>
              <w:ind w:firstLineChars="0" w:firstLine="0"/>
              <w:jc w:val="center"/>
              <w:rPr>
                <w:sz w:val="20"/>
                <w:szCs w:val="20"/>
              </w:rPr>
            </w:pPr>
            <w:r>
              <w:rPr>
                <w:sz w:val="20"/>
                <w:szCs w:val="20"/>
              </w:rPr>
              <w:t>10</w:t>
            </w:r>
            <w:r>
              <w:rPr>
                <w:sz w:val="20"/>
                <w:szCs w:val="20"/>
                <w:vertAlign w:val="superscript"/>
              </w:rPr>
              <w:t>4</w:t>
            </w:r>
            <w:r>
              <w:rPr>
                <w:sz w:val="20"/>
                <w:szCs w:val="20"/>
              </w:rPr>
              <w:t>Nm</w:t>
            </w:r>
            <w:r>
              <w:rPr>
                <w:sz w:val="20"/>
                <w:szCs w:val="20"/>
                <w:vertAlign w:val="superscript"/>
              </w:rPr>
              <w:t>3</w:t>
            </w:r>
          </w:p>
        </w:tc>
        <w:tc>
          <w:tcPr>
            <w:tcW w:w="1992"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389.310</w:t>
            </w:r>
            <w:r>
              <w:rPr>
                <w:sz w:val="20"/>
                <w:szCs w:val="20"/>
                <w:vertAlign w:val="superscript"/>
              </w:rPr>
              <w:t>*</w:t>
            </w:r>
            <w:r>
              <w:rPr>
                <w:rFonts w:hint="eastAsia"/>
                <w:sz w:val="20"/>
                <w:szCs w:val="20"/>
                <w:vertAlign w:val="superscript"/>
              </w:rPr>
              <w:t>5</w:t>
            </w:r>
          </w:p>
        </w:tc>
        <w:tc>
          <w:tcPr>
            <w:tcW w:w="1571" w:type="dxa"/>
            <w:shd w:val="clear" w:color="auto" w:fill="auto"/>
            <w:vAlign w:val="center"/>
          </w:tcPr>
          <w:p w:rsidR="00506AE6" w:rsidRDefault="0072598A">
            <w:pPr>
              <w:pStyle w:val="Default"/>
              <w:jc w:val="center"/>
              <w:rPr>
                <w:rFonts w:ascii="Times New Roman"/>
              </w:rPr>
            </w:pPr>
            <w:r>
              <w:rPr>
                <w:rFonts w:ascii="Times New Roman"/>
              </w:rPr>
              <w:t>0.01532</w:t>
            </w:r>
            <w:r>
              <w:rPr>
                <w:rFonts w:ascii="Times New Roman"/>
                <w:vertAlign w:val="superscript"/>
              </w:rPr>
              <w:t>*3</w:t>
            </w:r>
          </w:p>
        </w:tc>
        <w:tc>
          <w:tcPr>
            <w:tcW w:w="2193" w:type="dxa"/>
            <w:vMerge w:val="restart"/>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99</w:t>
            </w:r>
            <w:r>
              <w:rPr>
                <w:sz w:val="20"/>
                <w:szCs w:val="20"/>
                <w:vertAlign w:val="superscript"/>
              </w:rPr>
              <w:t>*3</w:t>
            </w:r>
          </w:p>
        </w:tc>
      </w:tr>
      <w:tr w:rsidR="00506AE6">
        <w:trPr>
          <w:trHeight w:val="340"/>
          <w:jc w:val="center"/>
        </w:trPr>
        <w:tc>
          <w:tcPr>
            <w:tcW w:w="738" w:type="dxa"/>
            <w:vMerge/>
            <w:shd w:val="clear" w:color="auto" w:fill="auto"/>
            <w:noWrap/>
            <w:vAlign w:val="center"/>
          </w:tcPr>
          <w:p w:rsidR="00506AE6" w:rsidRDefault="00506AE6">
            <w:pPr>
              <w:spacing w:line="240" w:lineRule="auto"/>
              <w:ind w:firstLineChars="0" w:firstLine="0"/>
              <w:jc w:val="center"/>
              <w:rPr>
                <w:sz w:val="20"/>
                <w:szCs w:val="20"/>
              </w:rPr>
            </w:pPr>
          </w:p>
        </w:tc>
        <w:tc>
          <w:tcPr>
            <w:tcW w:w="1627" w:type="dxa"/>
            <w:shd w:val="clear" w:color="auto" w:fill="auto"/>
            <w:noWrap/>
            <w:vAlign w:val="center"/>
          </w:tcPr>
          <w:p w:rsidR="00506AE6" w:rsidRDefault="0072598A">
            <w:pPr>
              <w:widowControl/>
              <w:spacing w:line="240" w:lineRule="auto"/>
              <w:ind w:firstLineChars="0" w:firstLine="0"/>
              <w:jc w:val="center"/>
              <w:rPr>
                <w:sz w:val="20"/>
                <w:szCs w:val="20"/>
              </w:rPr>
            </w:pPr>
            <w:r>
              <w:rPr>
                <w:sz w:val="20"/>
                <w:szCs w:val="20"/>
              </w:rPr>
              <w:t>高炉煤气</w:t>
            </w:r>
          </w:p>
        </w:tc>
        <w:tc>
          <w:tcPr>
            <w:tcW w:w="1014" w:type="dxa"/>
            <w:shd w:val="clear" w:color="auto" w:fill="auto"/>
            <w:vAlign w:val="center"/>
          </w:tcPr>
          <w:p w:rsidR="00506AE6" w:rsidRDefault="0072598A">
            <w:pPr>
              <w:spacing w:line="240" w:lineRule="auto"/>
              <w:ind w:firstLineChars="0" w:firstLine="0"/>
              <w:jc w:val="center"/>
              <w:rPr>
                <w:sz w:val="20"/>
                <w:szCs w:val="20"/>
              </w:rPr>
            </w:pPr>
            <w:r>
              <w:rPr>
                <w:sz w:val="20"/>
                <w:szCs w:val="20"/>
              </w:rPr>
              <w:t>10</w:t>
            </w:r>
            <w:r>
              <w:rPr>
                <w:sz w:val="20"/>
                <w:szCs w:val="20"/>
                <w:vertAlign w:val="superscript"/>
              </w:rPr>
              <w:t>4</w:t>
            </w:r>
            <w:r>
              <w:rPr>
                <w:sz w:val="20"/>
                <w:szCs w:val="20"/>
              </w:rPr>
              <w:t>Nm</w:t>
            </w:r>
            <w:r>
              <w:rPr>
                <w:sz w:val="20"/>
                <w:szCs w:val="20"/>
                <w:vertAlign w:val="superscript"/>
              </w:rPr>
              <w:t>3</w:t>
            </w:r>
          </w:p>
        </w:tc>
        <w:tc>
          <w:tcPr>
            <w:tcW w:w="1992"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33.000</w:t>
            </w:r>
            <w:r>
              <w:rPr>
                <w:sz w:val="20"/>
                <w:szCs w:val="20"/>
                <w:vertAlign w:val="superscript"/>
              </w:rPr>
              <w:t>*</w:t>
            </w:r>
            <w:r>
              <w:rPr>
                <w:rFonts w:hint="eastAsia"/>
                <w:sz w:val="20"/>
                <w:szCs w:val="20"/>
                <w:vertAlign w:val="superscript"/>
              </w:rPr>
              <w:t>4</w:t>
            </w:r>
          </w:p>
        </w:tc>
        <w:tc>
          <w:tcPr>
            <w:tcW w:w="1571" w:type="dxa"/>
            <w:shd w:val="clear" w:color="auto" w:fill="auto"/>
            <w:vAlign w:val="center"/>
          </w:tcPr>
          <w:p w:rsidR="00506AE6" w:rsidRDefault="0072598A">
            <w:pPr>
              <w:pStyle w:val="Default"/>
              <w:jc w:val="center"/>
              <w:rPr>
                <w:rFonts w:ascii="Times New Roman"/>
              </w:rPr>
            </w:pPr>
            <w:r>
              <w:rPr>
                <w:rFonts w:ascii="Times New Roman"/>
              </w:rPr>
              <w:t>0.07080</w:t>
            </w:r>
            <w:r>
              <w:rPr>
                <w:rFonts w:ascii="Times New Roman"/>
                <w:vertAlign w:val="superscript"/>
              </w:rPr>
              <w:t>*2</w:t>
            </w:r>
          </w:p>
        </w:tc>
        <w:tc>
          <w:tcPr>
            <w:tcW w:w="2193" w:type="dxa"/>
            <w:vMerge/>
            <w:shd w:val="clear" w:color="auto" w:fill="auto"/>
          </w:tcPr>
          <w:p w:rsidR="00506AE6" w:rsidRDefault="00506AE6">
            <w:pPr>
              <w:widowControl/>
              <w:spacing w:line="240" w:lineRule="auto"/>
              <w:ind w:firstLineChars="0" w:firstLine="0"/>
              <w:jc w:val="center"/>
              <w:rPr>
                <w:sz w:val="20"/>
                <w:szCs w:val="20"/>
              </w:rPr>
            </w:pPr>
          </w:p>
        </w:tc>
      </w:tr>
      <w:tr w:rsidR="00506AE6">
        <w:trPr>
          <w:trHeight w:val="340"/>
          <w:jc w:val="center"/>
        </w:trPr>
        <w:tc>
          <w:tcPr>
            <w:tcW w:w="738" w:type="dxa"/>
            <w:vMerge/>
            <w:shd w:val="clear" w:color="auto" w:fill="auto"/>
            <w:noWrap/>
            <w:vAlign w:val="center"/>
          </w:tcPr>
          <w:p w:rsidR="00506AE6" w:rsidRDefault="00506AE6">
            <w:pPr>
              <w:spacing w:line="240" w:lineRule="auto"/>
              <w:ind w:firstLineChars="0" w:firstLine="0"/>
              <w:jc w:val="center"/>
              <w:rPr>
                <w:sz w:val="20"/>
                <w:szCs w:val="20"/>
              </w:rPr>
            </w:pPr>
          </w:p>
        </w:tc>
        <w:tc>
          <w:tcPr>
            <w:tcW w:w="1627" w:type="dxa"/>
            <w:shd w:val="clear" w:color="auto" w:fill="auto"/>
            <w:noWrap/>
            <w:vAlign w:val="center"/>
          </w:tcPr>
          <w:p w:rsidR="00506AE6" w:rsidRDefault="0072598A">
            <w:pPr>
              <w:widowControl/>
              <w:spacing w:line="240" w:lineRule="auto"/>
              <w:ind w:firstLineChars="0" w:firstLine="0"/>
              <w:jc w:val="center"/>
              <w:rPr>
                <w:sz w:val="20"/>
                <w:szCs w:val="20"/>
              </w:rPr>
            </w:pPr>
            <w:r>
              <w:rPr>
                <w:sz w:val="20"/>
                <w:szCs w:val="20"/>
              </w:rPr>
              <w:t>转炉煤气</w:t>
            </w:r>
          </w:p>
        </w:tc>
        <w:tc>
          <w:tcPr>
            <w:tcW w:w="1014" w:type="dxa"/>
            <w:shd w:val="clear" w:color="auto" w:fill="auto"/>
            <w:vAlign w:val="center"/>
          </w:tcPr>
          <w:p w:rsidR="00506AE6" w:rsidRDefault="0072598A">
            <w:pPr>
              <w:spacing w:line="240" w:lineRule="auto"/>
              <w:ind w:firstLineChars="0" w:firstLine="0"/>
              <w:jc w:val="center"/>
              <w:rPr>
                <w:sz w:val="20"/>
                <w:szCs w:val="20"/>
              </w:rPr>
            </w:pPr>
            <w:r>
              <w:rPr>
                <w:sz w:val="20"/>
                <w:szCs w:val="20"/>
              </w:rPr>
              <w:t>10</w:t>
            </w:r>
            <w:r>
              <w:rPr>
                <w:sz w:val="20"/>
                <w:szCs w:val="20"/>
                <w:vertAlign w:val="superscript"/>
              </w:rPr>
              <w:t>4</w:t>
            </w:r>
            <w:r>
              <w:rPr>
                <w:sz w:val="20"/>
                <w:szCs w:val="20"/>
              </w:rPr>
              <w:t>Nm</w:t>
            </w:r>
            <w:r>
              <w:rPr>
                <w:sz w:val="20"/>
                <w:szCs w:val="20"/>
                <w:vertAlign w:val="superscript"/>
              </w:rPr>
              <w:t>3</w:t>
            </w:r>
          </w:p>
        </w:tc>
        <w:tc>
          <w:tcPr>
            <w:tcW w:w="1992"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84.000</w:t>
            </w:r>
            <w:r>
              <w:rPr>
                <w:sz w:val="20"/>
                <w:szCs w:val="20"/>
                <w:vertAlign w:val="superscript"/>
              </w:rPr>
              <w:t>*</w:t>
            </w:r>
            <w:r>
              <w:rPr>
                <w:rFonts w:hint="eastAsia"/>
                <w:sz w:val="20"/>
                <w:szCs w:val="20"/>
                <w:vertAlign w:val="superscript"/>
              </w:rPr>
              <w:t>4</w:t>
            </w:r>
          </w:p>
        </w:tc>
        <w:tc>
          <w:tcPr>
            <w:tcW w:w="1571" w:type="dxa"/>
            <w:shd w:val="clear" w:color="auto" w:fill="auto"/>
            <w:vAlign w:val="center"/>
          </w:tcPr>
          <w:p w:rsidR="00506AE6" w:rsidRDefault="0072598A">
            <w:pPr>
              <w:pStyle w:val="Default"/>
              <w:jc w:val="center"/>
              <w:rPr>
                <w:rFonts w:ascii="Times New Roman"/>
              </w:rPr>
            </w:pPr>
            <w:r>
              <w:rPr>
                <w:rFonts w:ascii="Times New Roman"/>
              </w:rPr>
              <w:t>0.04960</w:t>
            </w:r>
            <w:r>
              <w:rPr>
                <w:rFonts w:ascii="Times New Roman"/>
                <w:vertAlign w:val="superscript"/>
              </w:rPr>
              <w:t>*2</w:t>
            </w:r>
          </w:p>
        </w:tc>
        <w:tc>
          <w:tcPr>
            <w:tcW w:w="2193" w:type="dxa"/>
            <w:vMerge/>
            <w:shd w:val="clear" w:color="auto" w:fill="auto"/>
          </w:tcPr>
          <w:p w:rsidR="00506AE6" w:rsidRDefault="00506AE6">
            <w:pPr>
              <w:widowControl/>
              <w:spacing w:line="240" w:lineRule="auto"/>
              <w:ind w:firstLineChars="0" w:firstLine="0"/>
              <w:jc w:val="center"/>
              <w:rPr>
                <w:sz w:val="20"/>
                <w:szCs w:val="20"/>
              </w:rPr>
            </w:pPr>
          </w:p>
        </w:tc>
      </w:tr>
      <w:tr w:rsidR="00506AE6">
        <w:trPr>
          <w:trHeight w:val="340"/>
          <w:jc w:val="center"/>
        </w:trPr>
        <w:tc>
          <w:tcPr>
            <w:tcW w:w="738" w:type="dxa"/>
            <w:vMerge/>
            <w:shd w:val="clear" w:color="auto" w:fill="auto"/>
            <w:noWrap/>
            <w:vAlign w:val="center"/>
          </w:tcPr>
          <w:p w:rsidR="00506AE6" w:rsidRDefault="00506AE6">
            <w:pPr>
              <w:widowControl/>
              <w:spacing w:line="240" w:lineRule="auto"/>
              <w:ind w:firstLineChars="0" w:firstLine="0"/>
              <w:jc w:val="center"/>
              <w:rPr>
                <w:sz w:val="20"/>
                <w:szCs w:val="20"/>
              </w:rPr>
            </w:pPr>
          </w:p>
        </w:tc>
        <w:tc>
          <w:tcPr>
            <w:tcW w:w="1627" w:type="dxa"/>
            <w:shd w:val="clear" w:color="auto" w:fill="auto"/>
            <w:noWrap/>
            <w:vAlign w:val="center"/>
          </w:tcPr>
          <w:p w:rsidR="00506AE6" w:rsidRDefault="0072598A">
            <w:pPr>
              <w:widowControl/>
              <w:spacing w:line="240" w:lineRule="auto"/>
              <w:ind w:firstLineChars="0" w:firstLine="0"/>
              <w:jc w:val="center"/>
              <w:rPr>
                <w:sz w:val="20"/>
                <w:szCs w:val="20"/>
              </w:rPr>
            </w:pPr>
            <w:r>
              <w:rPr>
                <w:sz w:val="20"/>
                <w:szCs w:val="20"/>
              </w:rPr>
              <w:t>焦炉煤气</w:t>
            </w:r>
          </w:p>
        </w:tc>
        <w:tc>
          <w:tcPr>
            <w:tcW w:w="1014" w:type="dxa"/>
            <w:shd w:val="clear" w:color="auto" w:fill="auto"/>
            <w:vAlign w:val="center"/>
          </w:tcPr>
          <w:p w:rsidR="00506AE6" w:rsidRDefault="0072598A">
            <w:pPr>
              <w:spacing w:line="240" w:lineRule="auto"/>
              <w:ind w:firstLineChars="0" w:firstLine="0"/>
              <w:jc w:val="center"/>
              <w:rPr>
                <w:sz w:val="20"/>
                <w:szCs w:val="20"/>
              </w:rPr>
            </w:pPr>
            <w:r>
              <w:rPr>
                <w:sz w:val="20"/>
                <w:szCs w:val="20"/>
              </w:rPr>
              <w:t>10</w:t>
            </w:r>
            <w:r>
              <w:rPr>
                <w:sz w:val="20"/>
                <w:szCs w:val="20"/>
                <w:vertAlign w:val="superscript"/>
              </w:rPr>
              <w:t>4</w:t>
            </w:r>
            <w:r>
              <w:rPr>
                <w:sz w:val="20"/>
                <w:szCs w:val="20"/>
              </w:rPr>
              <w:t>Nm</w:t>
            </w:r>
            <w:r>
              <w:rPr>
                <w:sz w:val="20"/>
                <w:szCs w:val="20"/>
                <w:vertAlign w:val="superscript"/>
              </w:rPr>
              <w:t>3</w:t>
            </w:r>
          </w:p>
        </w:tc>
        <w:tc>
          <w:tcPr>
            <w:tcW w:w="1992"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173.854</w:t>
            </w:r>
            <w:r>
              <w:rPr>
                <w:sz w:val="20"/>
                <w:szCs w:val="20"/>
                <w:vertAlign w:val="superscript"/>
              </w:rPr>
              <w:t>*</w:t>
            </w:r>
            <w:r>
              <w:rPr>
                <w:rFonts w:hint="eastAsia"/>
                <w:sz w:val="20"/>
                <w:szCs w:val="20"/>
                <w:vertAlign w:val="superscript"/>
              </w:rPr>
              <w:t>4</w:t>
            </w:r>
          </w:p>
        </w:tc>
        <w:tc>
          <w:tcPr>
            <w:tcW w:w="1571" w:type="dxa"/>
            <w:shd w:val="clear" w:color="auto" w:fill="auto"/>
            <w:vAlign w:val="center"/>
          </w:tcPr>
          <w:p w:rsidR="00506AE6" w:rsidRDefault="0072598A">
            <w:pPr>
              <w:pStyle w:val="Default"/>
              <w:jc w:val="center"/>
              <w:rPr>
                <w:rFonts w:ascii="Times New Roman"/>
              </w:rPr>
            </w:pPr>
            <w:r>
              <w:rPr>
                <w:rFonts w:ascii="Times New Roman"/>
              </w:rPr>
              <w:t>0.01210</w:t>
            </w:r>
            <w:r>
              <w:rPr>
                <w:rFonts w:ascii="Times New Roman"/>
                <w:vertAlign w:val="superscript"/>
              </w:rPr>
              <w:t>*2</w:t>
            </w:r>
          </w:p>
        </w:tc>
        <w:tc>
          <w:tcPr>
            <w:tcW w:w="2193" w:type="dxa"/>
            <w:vMerge/>
            <w:shd w:val="clear" w:color="auto" w:fill="auto"/>
          </w:tcPr>
          <w:p w:rsidR="00506AE6" w:rsidRDefault="00506AE6">
            <w:pPr>
              <w:widowControl/>
              <w:spacing w:line="240" w:lineRule="auto"/>
              <w:ind w:firstLineChars="0" w:firstLine="0"/>
              <w:jc w:val="center"/>
              <w:rPr>
                <w:sz w:val="20"/>
                <w:szCs w:val="20"/>
              </w:rPr>
            </w:pPr>
          </w:p>
        </w:tc>
      </w:tr>
      <w:tr w:rsidR="00506AE6">
        <w:trPr>
          <w:trHeight w:val="340"/>
          <w:jc w:val="center"/>
        </w:trPr>
        <w:tc>
          <w:tcPr>
            <w:tcW w:w="738" w:type="dxa"/>
            <w:vMerge/>
            <w:shd w:val="clear" w:color="auto" w:fill="auto"/>
            <w:noWrap/>
            <w:vAlign w:val="center"/>
          </w:tcPr>
          <w:p w:rsidR="00506AE6" w:rsidRDefault="00506AE6">
            <w:pPr>
              <w:widowControl/>
              <w:spacing w:line="240" w:lineRule="auto"/>
              <w:ind w:firstLineChars="0" w:firstLine="0"/>
              <w:jc w:val="center"/>
              <w:rPr>
                <w:sz w:val="20"/>
                <w:szCs w:val="20"/>
              </w:rPr>
            </w:pPr>
          </w:p>
        </w:tc>
        <w:tc>
          <w:tcPr>
            <w:tcW w:w="1627" w:type="dxa"/>
            <w:shd w:val="clear" w:color="auto" w:fill="auto"/>
            <w:noWrap/>
            <w:vAlign w:val="center"/>
          </w:tcPr>
          <w:p w:rsidR="00506AE6" w:rsidRDefault="0072598A">
            <w:pPr>
              <w:widowControl/>
              <w:spacing w:line="240" w:lineRule="auto"/>
              <w:ind w:firstLineChars="0" w:firstLine="0"/>
              <w:jc w:val="center"/>
              <w:rPr>
                <w:sz w:val="20"/>
                <w:szCs w:val="20"/>
              </w:rPr>
            </w:pPr>
            <w:r>
              <w:rPr>
                <w:sz w:val="20"/>
                <w:szCs w:val="20"/>
              </w:rPr>
              <w:t>炼厂干气</w:t>
            </w:r>
          </w:p>
        </w:tc>
        <w:tc>
          <w:tcPr>
            <w:tcW w:w="1014" w:type="dxa"/>
            <w:shd w:val="clear" w:color="auto" w:fill="auto"/>
            <w:vAlign w:val="center"/>
          </w:tcPr>
          <w:p w:rsidR="00506AE6" w:rsidRDefault="0072598A">
            <w:pPr>
              <w:spacing w:line="240" w:lineRule="auto"/>
              <w:ind w:firstLineChars="0" w:firstLine="0"/>
              <w:jc w:val="center"/>
              <w:rPr>
                <w:sz w:val="20"/>
                <w:szCs w:val="20"/>
              </w:rPr>
            </w:pPr>
            <w:r>
              <w:rPr>
                <w:sz w:val="20"/>
                <w:szCs w:val="20"/>
              </w:rPr>
              <w:t>t</w:t>
            </w:r>
          </w:p>
        </w:tc>
        <w:tc>
          <w:tcPr>
            <w:tcW w:w="1992" w:type="dxa"/>
            <w:shd w:val="clear" w:color="auto" w:fill="auto"/>
            <w:vAlign w:val="center"/>
          </w:tcPr>
          <w:p w:rsidR="00506AE6" w:rsidRDefault="0072598A">
            <w:pPr>
              <w:widowControl/>
              <w:spacing w:line="240" w:lineRule="auto"/>
              <w:ind w:firstLineChars="0" w:firstLine="0"/>
              <w:jc w:val="center"/>
              <w:rPr>
                <w:sz w:val="20"/>
                <w:szCs w:val="20"/>
              </w:rPr>
            </w:pPr>
            <w:r>
              <w:rPr>
                <w:sz w:val="20"/>
                <w:szCs w:val="20"/>
              </w:rPr>
              <w:t>45.998</w:t>
            </w:r>
            <w:r>
              <w:rPr>
                <w:sz w:val="20"/>
                <w:szCs w:val="20"/>
                <w:vertAlign w:val="superscript"/>
              </w:rPr>
              <w:t>*</w:t>
            </w:r>
            <w:r>
              <w:rPr>
                <w:rFonts w:hint="eastAsia"/>
                <w:sz w:val="20"/>
                <w:szCs w:val="20"/>
                <w:vertAlign w:val="superscript"/>
              </w:rPr>
              <w:t>5</w:t>
            </w:r>
          </w:p>
        </w:tc>
        <w:tc>
          <w:tcPr>
            <w:tcW w:w="1571" w:type="dxa"/>
            <w:shd w:val="clear" w:color="auto" w:fill="auto"/>
            <w:vAlign w:val="center"/>
          </w:tcPr>
          <w:p w:rsidR="00506AE6" w:rsidRDefault="0072598A">
            <w:pPr>
              <w:pStyle w:val="Default"/>
              <w:jc w:val="center"/>
              <w:rPr>
                <w:rFonts w:ascii="Times New Roman"/>
              </w:rPr>
            </w:pPr>
            <w:r>
              <w:rPr>
                <w:rFonts w:ascii="Times New Roman"/>
              </w:rPr>
              <w:t>0.01820</w:t>
            </w:r>
            <w:r>
              <w:rPr>
                <w:rFonts w:ascii="Times New Roman"/>
                <w:vertAlign w:val="superscript"/>
              </w:rPr>
              <w:t>*3</w:t>
            </w:r>
          </w:p>
        </w:tc>
        <w:tc>
          <w:tcPr>
            <w:tcW w:w="2193" w:type="dxa"/>
            <w:vMerge/>
            <w:shd w:val="clear" w:color="auto" w:fill="auto"/>
          </w:tcPr>
          <w:p w:rsidR="00506AE6" w:rsidRDefault="00506AE6">
            <w:pPr>
              <w:widowControl/>
              <w:spacing w:line="240" w:lineRule="auto"/>
              <w:ind w:firstLineChars="0" w:firstLine="0"/>
              <w:jc w:val="center"/>
              <w:rPr>
                <w:sz w:val="20"/>
                <w:szCs w:val="20"/>
              </w:rPr>
            </w:pPr>
          </w:p>
        </w:tc>
      </w:tr>
      <w:tr w:rsidR="00506AE6">
        <w:trPr>
          <w:trHeight w:val="340"/>
          <w:jc w:val="center"/>
        </w:trPr>
        <w:tc>
          <w:tcPr>
            <w:tcW w:w="9135" w:type="dxa"/>
            <w:gridSpan w:val="6"/>
            <w:shd w:val="clear" w:color="auto" w:fill="auto"/>
            <w:vAlign w:val="center"/>
          </w:tcPr>
          <w:p w:rsidR="00506AE6" w:rsidRDefault="0072598A">
            <w:pPr>
              <w:spacing w:line="240" w:lineRule="auto"/>
              <w:ind w:firstLineChars="0" w:firstLine="0"/>
              <w:rPr>
                <w:sz w:val="20"/>
                <w:szCs w:val="20"/>
              </w:rPr>
            </w:pPr>
            <w:r>
              <w:rPr>
                <w:sz w:val="20"/>
                <w:szCs w:val="20"/>
                <w:vertAlign w:val="superscript"/>
              </w:rPr>
              <w:t>*1</w:t>
            </w:r>
            <w:r>
              <w:rPr>
                <w:sz w:val="20"/>
                <w:szCs w:val="20"/>
              </w:rPr>
              <w:t>根据</w:t>
            </w:r>
            <w:r>
              <w:rPr>
                <w:sz w:val="20"/>
                <w:szCs w:val="20"/>
              </w:rPr>
              <w:t>GB/T</w:t>
            </w:r>
            <w:r>
              <w:rPr>
                <w:rFonts w:hint="eastAsia"/>
                <w:sz w:val="20"/>
                <w:szCs w:val="20"/>
              </w:rPr>
              <w:t xml:space="preserve"> </w:t>
            </w:r>
            <w:r>
              <w:rPr>
                <w:sz w:val="20"/>
                <w:szCs w:val="20"/>
              </w:rPr>
              <w:t>3102.4</w:t>
            </w:r>
            <w:r>
              <w:rPr>
                <w:sz w:val="20"/>
                <w:szCs w:val="20"/>
              </w:rPr>
              <w:t>国际蒸汽表卡换算，</w:t>
            </w:r>
            <w:r>
              <w:rPr>
                <w:sz w:val="20"/>
                <w:szCs w:val="20"/>
              </w:rPr>
              <w:t>1</w:t>
            </w:r>
            <w:r>
              <w:rPr>
                <w:sz w:val="20"/>
                <w:szCs w:val="20"/>
              </w:rPr>
              <w:t>千克标准煤（</w:t>
            </w:r>
            <w:r>
              <w:rPr>
                <w:sz w:val="20"/>
                <w:szCs w:val="20"/>
              </w:rPr>
              <w:t>kgce</w:t>
            </w:r>
            <w:r>
              <w:rPr>
                <w:sz w:val="20"/>
                <w:szCs w:val="20"/>
              </w:rPr>
              <w:t>）低位发热量为</w:t>
            </w:r>
            <w:r>
              <w:rPr>
                <w:sz w:val="20"/>
                <w:szCs w:val="20"/>
              </w:rPr>
              <w:t>29307.6kJ</w:t>
            </w:r>
            <w:r>
              <w:rPr>
                <w:sz w:val="20"/>
                <w:szCs w:val="20"/>
              </w:rPr>
              <w:t>，即</w:t>
            </w:r>
            <w:r>
              <w:rPr>
                <w:sz w:val="20"/>
                <w:szCs w:val="20"/>
              </w:rPr>
              <w:t>7000kcal</w:t>
            </w:r>
            <w:r>
              <w:rPr>
                <w:sz w:val="20"/>
                <w:szCs w:val="20"/>
              </w:rPr>
              <w:t>，本说明</w:t>
            </w:r>
            <w:r>
              <w:rPr>
                <w:sz w:val="20"/>
                <w:szCs w:val="20"/>
              </w:rPr>
              <w:t>1kcal</w:t>
            </w:r>
            <w:r>
              <w:rPr>
                <w:sz w:val="20"/>
                <w:szCs w:val="20"/>
              </w:rPr>
              <w:t>折算为</w:t>
            </w:r>
            <w:r>
              <w:rPr>
                <w:sz w:val="20"/>
                <w:szCs w:val="20"/>
              </w:rPr>
              <w:t>4.1868kJ</w:t>
            </w:r>
            <w:r>
              <w:rPr>
                <w:sz w:val="20"/>
                <w:szCs w:val="20"/>
              </w:rPr>
              <w:t>。</w:t>
            </w:r>
          </w:p>
          <w:p w:rsidR="00506AE6" w:rsidRDefault="0072598A">
            <w:pPr>
              <w:spacing w:line="240" w:lineRule="auto"/>
              <w:ind w:firstLineChars="0" w:firstLine="0"/>
              <w:rPr>
                <w:sz w:val="20"/>
                <w:szCs w:val="20"/>
              </w:rPr>
            </w:pPr>
            <w:r>
              <w:rPr>
                <w:sz w:val="20"/>
                <w:szCs w:val="20"/>
                <w:vertAlign w:val="superscript"/>
              </w:rPr>
              <w:t>*2</w:t>
            </w:r>
            <w:r>
              <w:rPr>
                <w:sz w:val="20"/>
                <w:szCs w:val="20"/>
              </w:rPr>
              <w:t>数据取值来源为《</w:t>
            </w:r>
            <w:r>
              <w:rPr>
                <w:sz w:val="20"/>
                <w:szCs w:val="20"/>
              </w:rPr>
              <w:t>2006</w:t>
            </w:r>
            <w:r>
              <w:rPr>
                <w:sz w:val="20"/>
                <w:szCs w:val="20"/>
              </w:rPr>
              <w:t>年</w:t>
            </w:r>
            <w:r>
              <w:rPr>
                <w:sz w:val="20"/>
                <w:szCs w:val="20"/>
              </w:rPr>
              <w:t>IPCC</w:t>
            </w:r>
            <w:r>
              <w:rPr>
                <w:sz w:val="20"/>
                <w:szCs w:val="20"/>
              </w:rPr>
              <w:t>国家温室气体清单指南》及</w:t>
            </w:r>
            <w:r>
              <w:rPr>
                <w:sz w:val="20"/>
                <w:szCs w:val="20"/>
              </w:rPr>
              <w:t>2019</w:t>
            </w:r>
            <w:r>
              <w:rPr>
                <w:sz w:val="20"/>
                <w:szCs w:val="20"/>
              </w:rPr>
              <w:t>年修订版。</w:t>
            </w:r>
          </w:p>
          <w:p w:rsidR="00506AE6" w:rsidRDefault="0072598A">
            <w:pPr>
              <w:spacing w:line="240" w:lineRule="auto"/>
              <w:ind w:firstLineChars="0" w:firstLine="0"/>
              <w:rPr>
                <w:sz w:val="20"/>
                <w:szCs w:val="20"/>
              </w:rPr>
            </w:pPr>
            <w:r>
              <w:rPr>
                <w:sz w:val="20"/>
                <w:szCs w:val="20"/>
                <w:vertAlign w:val="superscript"/>
              </w:rPr>
              <w:t>*3</w:t>
            </w:r>
            <w:r>
              <w:rPr>
                <w:sz w:val="20"/>
                <w:szCs w:val="20"/>
              </w:rPr>
              <w:t>数据取值来源为《省级温室气体清单编制指南（试行）》。</w:t>
            </w:r>
          </w:p>
          <w:p w:rsidR="00506AE6" w:rsidRDefault="0072598A">
            <w:pPr>
              <w:spacing w:line="240" w:lineRule="auto"/>
              <w:ind w:firstLineChars="0" w:firstLine="0"/>
              <w:rPr>
                <w:sz w:val="20"/>
                <w:szCs w:val="20"/>
              </w:rPr>
            </w:pPr>
            <w:r>
              <w:rPr>
                <w:sz w:val="20"/>
                <w:szCs w:val="20"/>
                <w:vertAlign w:val="superscript"/>
              </w:rPr>
              <w:t>*4</w:t>
            </w:r>
            <w:r>
              <w:rPr>
                <w:sz w:val="20"/>
                <w:szCs w:val="20"/>
              </w:rPr>
              <w:t>数据取值来源为《中国温室气体清单研究》。</w:t>
            </w:r>
          </w:p>
          <w:p w:rsidR="00506AE6" w:rsidRDefault="0072598A">
            <w:pPr>
              <w:spacing w:line="240" w:lineRule="auto"/>
              <w:ind w:firstLineChars="0" w:firstLine="0"/>
              <w:rPr>
                <w:sz w:val="20"/>
                <w:szCs w:val="20"/>
              </w:rPr>
            </w:pPr>
            <w:r>
              <w:rPr>
                <w:sz w:val="20"/>
                <w:szCs w:val="20"/>
                <w:vertAlign w:val="superscript"/>
              </w:rPr>
              <w:t>*</w:t>
            </w:r>
            <w:r>
              <w:rPr>
                <w:rFonts w:hint="eastAsia"/>
                <w:sz w:val="20"/>
                <w:szCs w:val="20"/>
                <w:vertAlign w:val="superscript"/>
              </w:rPr>
              <w:t>5</w:t>
            </w:r>
            <w:r>
              <w:rPr>
                <w:sz w:val="20"/>
                <w:szCs w:val="20"/>
              </w:rPr>
              <w:t>数据取值来源为《中国能源统计年鉴</w:t>
            </w:r>
            <w:r>
              <w:rPr>
                <w:sz w:val="20"/>
                <w:szCs w:val="20"/>
              </w:rPr>
              <w:t>2022</w:t>
            </w:r>
            <w:r>
              <w:rPr>
                <w:sz w:val="20"/>
                <w:szCs w:val="20"/>
              </w:rPr>
              <w:t>》</w:t>
            </w:r>
            <w:r>
              <w:rPr>
                <w:rFonts w:hint="eastAsia"/>
                <w:sz w:val="20"/>
                <w:szCs w:val="20"/>
              </w:rPr>
              <w:t>（统计年鉴有更新时，使用其最新数值）</w:t>
            </w:r>
            <w:r>
              <w:rPr>
                <w:sz w:val="20"/>
                <w:szCs w:val="20"/>
              </w:rPr>
              <w:t>。</w:t>
            </w:r>
          </w:p>
          <w:p w:rsidR="00506AE6" w:rsidRDefault="0072598A">
            <w:pPr>
              <w:spacing w:line="240" w:lineRule="auto"/>
              <w:ind w:firstLineChars="0" w:firstLine="0"/>
              <w:rPr>
                <w:sz w:val="20"/>
                <w:szCs w:val="20"/>
              </w:rPr>
            </w:pPr>
            <w:r>
              <w:rPr>
                <w:sz w:val="20"/>
                <w:szCs w:val="20"/>
                <w:vertAlign w:val="superscript"/>
              </w:rPr>
              <w:t>*</w:t>
            </w:r>
            <w:r>
              <w:rPr>
                <w:rFonts w:hint="eastAsia"/>
                <w:sz w:val="20"/>
                <w:szCs w:val="20"/>
                <w:vertAlign w:val="superscript"/>
              </w:rPr>
              <w:t>6</w:t>
            </w:r>
            <w:r>
              <w:rPr>
                <w:sz w:val="20"/>
                <w:szCs w:val="20"/>
              </w:rPr>
              <w:t>数据取值来源为</w:t>
            </w:r>
            <w:r>
              <w:rPr>
                <w:sz w:val="20"/>
                <w:szCs w:val="20"/>
              </w:rPr>
              <w:t>GB/T</w:t>
            </w:r>
            <w:r>
              <w:rPr>
                <w:rFonts w:hint="eastAsia"/>
                <w:sz w:val="20"/>
                <w:szCs w:val="20"/>
              </w:rPr>
              <w:t xml:space="preserve"> </w:t>
            </w:r>
            <w:r>
              <w:rPr>
                <w:sz w:val="20"/>
                <w:szCs w:val="20"/>
              </w:rPr>
              <w:t>2589-2020</w:t>
            </w:r>
            <w:r>
              <w:rPr>
                <w:sz w:val="20"/>
                <w:szCs w:val="20"/>
              </w:rPr>
              <w:t>《综合能耗计算通则》。</w:t>
            </w:r>
          </w:p>
        </w:tc>
      </w:tr>
    </w:tbl>
    <w:p w:rsidR="00506AE6" w:rsidRDefault="0072598A">
      <w:pPr>
        <w:pStyle w:val="af3"/>
      </w:pPr>
      <w:r>
        <w:rPr>
          <w:rFonts w:hAnsi="宋体"/>
          <w:sz w:val="18"/>
          <w:szCs w:val="18"/>
        </w:rPr>
        <w:br w:type="page"/>
      </w:r>
      <w:bookmarkStart w:id="409" w:name="_Toc1909933938"/>
      <w:r>
        <w:lastRenderedPageBreak/>
        <w:br/>
      </w:r>
      <w:bookmarkStart w:id="410" w:name="_Toc159419093"/>
      <w:r>
        <w:rPr>
          <w:rFonts w:hint="eastAsia"/>
        </w:rPr>
        <w:t>常用非碳酸盐替代原料对应的扣减系数</w:t>
      </w:r>
      <w:bookmarkEnd w:id="409"/>
      <w:bookmarkEnd w:id="410"/>
    </w:p>
    <w:tbl>
      <w:tblPr>
        <w:tblW w:w="8730" w:type="dxa"/>
        <w:jc w:val="center"/>
        <w:tblLook w:val="04A0" w:firstRow="1" w:lastRow="0" w:firstColumn="1" w:lastColumn="0" w:noHBand="0" w:noVBand="1"/>
      </w:tblPr>
      <w:tblGrid>
        <w:gridCol w:w="5949"/>
        <w:gridCol w:w="2781"/>
      </w:tblGrid>
      <w:tr w:rsidR="00506AE6">
        <w:trPr>
          <w:trHeight w:val="283"/>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widowControl/>
              <w:adjustRightInd w:val="0"/>
              <w:snapToGrid w:val="0"/>
              <w:spacing w:line="240" w:lineRule="auto"/>
              <w:ind w:firstLineChars="0" w:firstLine="0"/>
              <w:jc w:val="center"/>
              <w:textAlignment w:val="center"/>
              <w:rPr>
                <w:b/>
                <w:bCs/>
                <w:szCs w:val="21"/>
              </w:rPr>
            </w:pPr>
            <w:r>
              <w:rPr>
                <w:rFonts w:hint="eastAsia"/>
                <w:b/>
                <w:bCs/>
                <w:kern w:val="0"/>
                <w:szCs w:val="21"/>
              </w:rPr>
              <w:t>名称</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widowControl/>
              <w:adjustRightInd w:val="0"/>
              <w:snapToGrid w:val="0"/>
              <w:spacing w:line="240" w:lineRule="auto"/>
              <w:ind w:firstLineChars="0" w:firstLine="0"/>
              <w:jc w:val="center"/>
              <w:textAlignment w:val="center"/>
              <w:rPr>
                <w:b/>
                <w:bCs/>
                <w:szCs w:val="21"/>
              </w:rPr>
            </w:pPr>
            <w:r>
              <w:rPr>
                <w:rFonts w:hint="eastAsia"/>
                <w:b/>
                <w:bCs/>
                <w:kern w:val="0"/>
                <w:szCs w:val="21"/>
              </w:rPr>
              <w:t>扣减系数（</w:t>
            </w:r>
            <w:r>
              <w:rPr>
                <w:b/>
                <w:bCs/>
                <w:kern w:val="0"/>
                <w:szCs w:val="21"/>
              </w:rPr>
              <w:t>tCO</w:t>
            </w:r>
            <w:r>
              <w:rPr>
                <w:b/>
                <w:bCs/>
                <w:kern w:val="0"/>
                <w:szCs w:val="21"/>
                <w:vertAlign w:val="subscript"/>
              </w:rPr>
              <w:t>2</w:t>
            </w:r>
            <w:r>
              <w:rPr>
                <w:b/>
                <w:bCs/>
                <w:kern w:val="0"/>
                <w:szCs w:val="21"/>
              </w:rPr>
              <w:t>/t</w:t>
            </w:r>
            <w:r>
              <w:rPr>
                <w:rFonts w:hint="eastAsia"/>
                <w:b/>
                <w:bCs/>
                <w:kern w:val="0"/>
                <w:szCs w:val="21"/>
              </w:rPr>
              <w:t>）</w:t>
            </w:r>
          </w:p>
        </w:tc>
      </w:tr>
      <w:tr w:rsidR="00506AE6">
        <w:trPr>
          <w:trHeight w:val="283"/>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电石渣</w:t>
            </w:r>
          </w:p>
        </w:tc>
        <w:tc>
          <w:tcPr>
            <w:tcW w:w="2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0.480</w:t>
            </w:r>
          </w:p>
        </w:tc>
      </w:tr>
      <w:tr w:rsidR="00506AE6">
        <w:trPr>
          <w:trHeight w:val="283"/>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熟石灰、镁渣、铁合金炉渣</w:t>
            </w:r>
          </w:p>
        </w:tc>
        <w:tc>
          <w:tcPr>
            <w:tcW w:w="2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0.430</w:t>
            </w:r>
          </w:p>
        </w:tc>
      </w:tr>
      <w:tr w:rsidR="00506AE6">
        <w:trPr>
          <w:trHeight w:val="283"/>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钢渣、黄磷渣、钒钛渣、氮渣、造纸白泥、飞灰</w:t>
            </w:r>
          </w:p>
        </w:tc>
        <w:tc>
          <w:tcPr>
            <w:tcW w:w="2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0.325</w:t>
            </w:r>
          </w:p>
        </w:tc>
      </w:tr>
      <w:tr w:rsidR="00506AE6">
        <w:trPr>
          <w:trHeight w:val="283"/>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脱硫石膏、磷石膏、钛石膏、氟石膏、硼石膏、模型石膏</w:t>
            </w:r>
          </w:p>
        </w:tc>
        <w:tc>
          <w:tcPr>
            <w:tcW w:w="2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0.245</w:t>
            </w:r>
          </w:p>
        </w:tc>
      </w:tr>
      <w:tr w:rsidR="00506AE6">
        <w:trPr>
          <w:trHeight w:val="283"/>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硫酸渣、镍渣、锰渣、锌渣、锡渣</w:t>
            </w:r>
          </w:p>
        </w:tc>
        <w:tc>
          <w:tcPr>
            <w:tcW w:w="27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0.116</w:t>
            </w:r>
          </w:p>
        </w:tc>
      </w:tr>
    </w:tbl>
    <w:p w:rsidR="00506AE6" w:rsidRDefault="00506AE6">
      <w:pPr>
        <w:ind w:firstLine="360"/>
        <w:rPr>
          <w:rFonts w:hAnsi="宋体"/>
          <w:sz w:val="18"/>
          <w:szCs w:val="18"/>
        </w:rPr>
      </w:pPr>
    </w:p>
    <w:p w:rsidR="00506AE6" w:rsidRDefault="00506AE6">
      <w:pPr>
        <w:ind w:firstLine="360"/>
        <w:rPr>
          <w:rFonts w:hAnsi="宋体"/>
          <w:sz w:val="18"/>
          <w:szCs w:val="18"/>
        </w:rPr>
        <w:sectPr w:rsidR="00506AE6">
          <w:pgSz w:w="11906" w:h="16838"/>
          <w:pgMar w:top="1276" w:right="1616" w:bottom="1702" w:left="1616" w:header="851" w:footer="850" w:gutter="0"/>
          <w:cols w:space="720"/>
          <w:docGrid w:type="lines" w:linePitch="312"/>
        </w:sectPr>
      </w:pPr>
    </w:p>
    <w:p w:rsidR="00506AE6" w:rsidRDefault="0072598A">
      <w:pPr>
        <w:pStyle w:val="af3"/>
        <w:spacing w:beforeLines="50" w:before="156" w:after="240"/>
        <w:ind w:left="240"/>
      </w:pPr>
      <w:bookmarkStart w:id="411" w:name="_Toc1870110301"/>
      <w:bookmarkStart w:id="412" w:name="_Toc3362"/>
      <w:r>
        <w:rPr>
          <w:rFonts w:hint="eastAsia"/>
        </w:rPr>
        <w:lastRenderedPageBreak/>
        <w:br/>
      </w:r>
      <w:bookmarkStart w:id="413" w:name="_Toc140045493"/>
      <w:bookmarkStart w:id="414" w:name="_Toc159419094"/>
      <w:bookmarkStart w:id="415" w:name="_Toc143457024"/>
      <w:bookmarkStart w:id="416" w:name="_Toc140003058"/>
      <w:r>
        <w:rPr>
          <w:rFonts w:hint="eastAsia"/>
        </w:rPr>
        <w:t>数据质量控制方案要求</w:t>
      </w:r>
      <w:bookmarkEnd w:id="411"/>
      <w:bookmarkEnd w:id="413"/>
      <w:bookmarkEnd w:id="414"/>
      <w:bookmarkEnd w:id="415"/>
      <w:bookmarkEnd w:id="416"/>
    </w:p>
    <w:tbl>
      <w:tblPr>
        <w:tblW w:w="15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1701"/>
        <w:gridCol w:w="294"/>
        <w:gridCol w:w="1407"/>
        <w:gridCol w:w="11"/>
        <w:gridCol w:w="992"/>
        <w:gridCol w:w="698"/>
        <w:gridCol w:w="142"/>
        <w:gridCol w:w="142"/>
        <w:gridCol w:w="1003"/>
        <w:gridCol w:w="414"/>
        <w:gridCol w:w="578"/>
        <w:gridCol w:w="982"/>
        <w:gridCol w:w="141"/>
        <w:gridCol w:w="284"/>
        <w:gridCol w:w="577"/>
        <w:gridCol w:w="998"/>
        <w:gridCol w:w="987"/>
        <w:gridCol w:w="273"/>
        <w:gridCol w:w="724"/>
        <w:gridCol w:w="987"/>
      </w:tblGrid>
      <w:tr w:rsidR="00506AE6">
        <w:trPr>
          <w:trHeight w:val="283"/>
          <w:jc w:val="center"/>
        </w:trPr>
        <w:tc>
          <w:tcPr>
            <w:tcW w:w="15031" w:type="dxa"/>
            <w:gridSpan w:val="2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rPr>
                <w:kern w:val="0"/>
                <w:szCs w:val="21"/>
              </w:rPr>
            </w:pPr>
            <w:r>
              <w:rPr>
                <w:b/>
                <w:bCs/>
                <w:kern w:val="0"/>
                <w:szCs w:val="21"/>
              </w:rPr>
              <w:t xml:space="preserve">D.1  </w:t>
            </w:r>
            <w:r>
              <w:rPr>
                <w:rFonts w:hint="eastAsia"/>
                <w:b/>
                <w:bCs/>
                <w:kern w:val="0"/>
                <w:szCs w:val="21"/>
              </w:rPr>
              <w:t>数据质量控制方案的版本及修订</w:t>
            </w:r>
          </w:p>
        </w:tc>
      </w:tr>
      <w:tr w:rsidR="00506AE6">
        <w:trPr>
          <w:trHeight w:val="283"/>
          <w:jc w:val="center"/>
        </w:trPr>
        <w:tc>
          <w:tcPr>
            <w:tcW w:w="369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版本号</w:t>
            </w:r>
          </w:p>
        </w:tc>
        <w:tc>
          <w:tcPr>
            <w:tcW w:w="3250"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制定（修订）时间</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首次制定或修订</w:t>
            </w:r>
          </w:p>
        </w:tc>
        <w:tc>
          <w:tcPr>
            <w:tcW w:w="4830" w:type="dxa"/>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修订内容及原因说明</w:t>
            </w:r>
          </w:p>
        </w:tc>
      </w:tr>
      <w:tr w:rsidR="00506AE6">
        <w:trPr>
          <w:trHeight w:val="283"/>
          <w:jc w:val="center"/>
        </w:trPr>
        <w:tc>
          <w:tcPr>
            <w:tcW w:w="369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szCs w:val="21"/>
              </w:rPr>
            </w:pPr>
          </w:p>
        </w:tc>
        <w:tc>
          <w:tcPr>
            <w:tcW w:w="3250"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kern w:val="0"/>
                <w:szCs w:val="21"/>
              </w:rPr>
            </w:pP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szCs w:val="21"/>
              </w:rPr>
            </w:pPr>
          </w:p>
        </w:tc>
        <w:tc>
          <w:tcPr>
            <w:tcW w:w="4830" w:type="dxa"/>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kern w:val="0"/>
                <w:szCs w:val="21"/>
              </w:rPr>
            </w:pPr>
          </w:p>
        </w:tc>
      </w:tr>
      <w:tr w:rsidR="00506AE6">
        <w:trPr>
          <w:trHeight w:val="283"/>
          <w:jc w:val="center"/>
        </w:trPr>
        <w:tc>
          <w:tcPr>
            <w:tcW w:w="369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szCs w:val="21"/>
              </w:rPr>
            </w:pPr>
          </w:p>
        </w:tc>
        <w:tc>
          <w:tcPr>
            <w:tcW w:w="3250"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kern w:val="0"/>
                <w:szCs w:val="21"/>
              </w:rPr>
            </w:pP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szCs w:val="21"/>
              </w:rPr>
            </w:pPr>
          </w:p>
        </w:tc>
        <w:tc>
          <w:tcPr>
            <w:tcW w:w="4830" w:type="dxa"/>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kern w:val="0"/>
                <w:szCs w:val="21"/>
              </w:rPr>
            </w:pPr>
          </w:p>
        </w:tc>
      </w:tr>
      <w:tr w:rsidR="00506AE6">
        <w:trPr>
          <w:trHeight w:val="283"/>
          <w:jc w:val="center"/>
        </w:trPr>
        <w:tc>
          <w:tcPr>
            <w:tcW w:w="15031" w:type="dxa"/>
            <w:gridSpan w:val="2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rPr>
                <w:b/>
                <w:bCs/>
                <w:kern w:val="0"/>
                <w:szCs w:val="21"/>
              </w:rPr>
            </w:pPr>
            <w:r>
              <w:rPr>
                <w:b/>
                <w:bCs/>
                <w:kern w:val="0"/>
                <w:szCs w:val="21"/>
              </w:rPr>
              <w:t xml:space="preserve">D.2  </w:t>
            </w:r>
            <w:r>
              <w:rPr>
                <w:rFonts w:hint="eastAsia"/>
                <w:b/>
                <w:bCs/>
                <w:kern w:val="0"/>
                <w:szCs w:val="21"/>
              </w:rPr>
              <w:t>企业情况</w:t>
            </w:r>
          </w:p>
        </w:tc>
      </w:tr>
      <w:tr w:rsidR="00506AE6">
        <w:trPr>
          <w:trHeight w:val="283"/>
          <w:jc w:val="center"/>
        </w:trPr>
        <w:tc>
          <w:tcPr>
            <w:tcW w:w="369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企业名称</w:t>
            </w:r>
          </w:p>
        </w:tc>
        <w:tc>
          <w:tcPr>
            <w:tcW w:w="11340" w:type="dxa"/>
            <w:gridSpan w:val="1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kern w:val="0"/>
                <w:szCs w:val="21"/>
              </w:rPr>
            </w:pPr>
          </w:p>
        </w:tc>
      </w:tr>
      <w:tr w:rsidR="00506AE6">
        <w:trPr>
          <w:trHeight w:val="283"/>
          <w:jc w:val="center"/>
        </w:trPr>
        <w:tc>
          <w:tcPr>
            <w:tcW w:w="369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统一社会信用代码</w:t>
            </w:r>
          </w:p>
        </w:tc>
        <w:tc>
          <w:tcPr>
            <w:tcW w:w="11340" w:type="dxa"/>
            <w:gridSpan w:val="1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kern w:val="0"/>
                <w:szCs w:val="21"/>
              </w:rPr>
            </w:pPr>
          </w:p>
        </w:tc>
      </w:tr>
      <w:tr w:rsidR="00506AE6">
        <w:trPr>
          <w:trHeight w:val="283"/>
          <w:jc w:val="center"/>
        </w:trPr>
        <w:tc>
          <w:tcPr>
            <w:tcW w:w="369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企业住所</w:t>
            </w:r>
          </w:p>
        </w:tc>
        <w:tc>
          <w:tcPr>
            <w:tcW w:w="11340" w:type="dxa"/>
            <w:gridSpan w:val="18"/>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kern w:val="0"/>
                <w:szCs w:val="21"/>
              </w:rPr>
            </w:pPr>
          </w:p>
        </w:tc>
      </w:tr>
      <w:tr w:rsidR="00506AE6">
        <w:trPr>
          <w:trHeight w:val="283"/>
          <w:jc w:val="center"/>
        </w:trPr>
        <w:tc>
          <w:tcPr>
            <w:tcW w:w="369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法定代表人</w:t>
            </w:r>
          </w:p>
        </w:tc>
        <w:tc>
          <w:tcPr>
            <w:tcW w:w="3250"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rPr>
                <w:kern w:val="0"/>
                <w:szCs w:val="21"/>
              </w:rPr>
            </w:pPr>
            <w:r>
              <w:rPr>
                <w:rFonts w:hint="eastAsia"/>
                <w:kern w:val="0"/>
                <w:szCs w:val="21"/>
              </w:rPr>
              <w:t>姓名：</w:t>
            </w:r>
          </w:p>
        </w:tc>
        <w:tc>
          <w:tcPr>
            <w:tcW w:w="809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rPr>
                <w:kern w:val="0"/>
                <w:szCs w:val="21"/>
              </w:rPr>
            </w:pPr>
            <w:r>
              <w:rPr>
                <w:rFonts w:hint="eastAsia"/>
                <w:kern w:val="0"/>
                <w:szCs w:val="21"/>
              </w:rPr>
              <w:t>电话：</w:t>
            </w:r>
          </w:p>
        </w:tc>
      </w:tr>
      <w:tr w:rsidR="00506AE6">
        <w:trPr>
          <w:trHeight w:val="283"/>
          <w:jc w:val="center"/>
        </w:trPr>
        <w:tc>
          <w:tcPr>
            <w:tcW w:w="369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填报人</w:t>
            </w:r>
          </w:p>
        </w:tc>
        <w:tc>
          <w:tcPr>
            <w:tcW w:w="3250"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rPr>
                <w:kern w:val="0"/>
                <w:szCs w:val="21"/>
              </w:rPr>
            </w:pPr>
            <w:r>
              <w:rPr>
                <w:rFonts w:hint="eastAsia"/>
                <w:kern w:val="0"/>
                <w:szCs w:val="21"/>
              </w:rPr>
              <w:t>姓名：</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rPr>
                <w:kern w:val="0"/>
                <w:szCs w:val="21"/>
              </w:rPr>
            </w:pPr>
            <w:r>
              <w:rPr>
                <w:rFonts w:hint="eastAsia"/>
                <w:kern w:val="0"/>
                <w:szCs w:val="21"/>
              </w:rPr>
              <w:t>电话：</w:t>
            </w:r>
          </w:p>
        </w:tc>
        <w:tc>
          <w:tcPr>
            <w:tcW w:w="483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rPr>
                <w:kern w:val="0"/>
                <w:szCs w:val="21"/>
              </w:rPr>
            </w:pPr>
            <w:r>
              <w:rPr>
                <w:rFonts w:hint="eastAsia"/>
                <w:kern w:val="0"/>
                <w:szCs w:val="21"/>
              </w:rPr>
              <w:t>邮箱：</w:t>
            </w:r>
          </w:p>
        </w:tc>
      </w:tr>
      <w:tr w:rsidR="00506AE6">
        <w:trPr>
          <w:trHeight w:val="283"/>
          <w:jc w:val="center"/>
        </w:trPr>
        <w:tc>
          <w:tcPr>
            <w:tcW w:w="369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行业分类及代码</w:t>
            </w:r>
          </w:p>
        </w:tc>
        <w:tc>
          <w:tcPr>
            <w:tcW w:w="3250"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水泥制造（</w:t>
            </w:r>
            <w:r>
              <w:rPr>
                <w:kern w:val="0"/>
                <w:szCs w:val="21"/>
              </w:rPr>
              <w:t>3011</w:t>
            </w:r>
            <w:r>
              <w:rPr>
                <w:rFonts w:hint="eastAsia"/>
                <w:kern w:val="0"/>
                <w:szCs w:val="21"/>
              </w:rPr>
              <w:t>）</w:t>
            </w:r>
          </w:p>
        </w:tc>
        <w:tc>
          <w:tcPr>
            <w:tcW w:w="3260"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产品名称及代码</w:t>
            </w:r>
          </w:p>
        </w:tc>
        <w:tc>
          <w:tcPr>
            <w:tcW w:w="4830" w:type="dxa"/>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水泥熟料（</w:t>
            </w:r>
            <w:r>
              <w:rPr>
                <w:kern w:val="0"/>
                <w:szCs w:val="21"/>
              </w:rPr>
              <w:t>310101</w:t>
            </w:r>
            <w:r>
              <w:rPr>
                <w:rFonts w:hint="eastAsia"/>
                <w:kern w:val="0"/>
                <w:szCs w:val="21"/>
              </w:rPr>
              <w:t>）</w:t>
            </w:r>
          </w:p>
        </w:tc>
      </w:tr>
      <w:tr w:rsidR="00506AE6">
        <w:trPr>
          <w:trHeight w:val="283"/>
          <w:jc w:val="center"/>
        </w:trPr>
        <w:tc>
          <w:tcPr>
            <w:tcW w:w="3691" w:type="dxa"/>
            <w:gridSpan w:val="4"/>
            <w:vMerge w:val="restart"/>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kern w:val="0"/>
                <w:szCs w:val="21"/>
              </w:rPr>
            </w:pPr>
            <w:r>
              <w:rPr>
                <w:rFonts w:hint="eastAsia"/>
                <w:szCs w:val="21"/>
              </w:rPr>
              <w:t>主营产品</w:t>
            </w:r>
          </w:p>
        </w:tc>
        <w:tc>
          <w:tcPr>
            <w:tcW w:w="3250" w:type="dxa"/>
            <w:gridSpan w:val="5"/>
            <w:tcBorders>
              <w:top w:val="single" w:sz="4" w:space="0" w:color="auto"/>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生产线名称</w:t>
            </w:r>
            <w:r>
              <w:rPr>
                <w:szCs w:val="21"/>
                <w:vertAlign w:val="superscript"/>
              </w:rPr>
              <w:t>*</w:t>
            </w:r>
            <w:r>
              <w:rPr>
                <w:szCs w:val="21"/>
                <w:vertAlign w:val="superscript"/>
              </w:rPr>
              <w:footnoteReference w:id="3"/>
            </w:r>
          </w:p>
        </w:tc>
        <w:tc>
          <w:tcPr>
            <w:tcW w:w="3260" w:type="dxa"/>
            <w:gridSpan w:val="6"/>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熟料</w:t>
            </w:r>
            <w:r>
              <w:rPr>
                <w:rFonts w:hint="eastAsia"/>
                <w:kern w:val="0"/>
                <w:szCs w:val="21"/>
              </w:rPr>
              <w:t>类别</w:t>
            </w:r>
            <w:r>
              <w:rPr>
                <w:szCs w:val="21"/>
                <w:vertAlign w:val="superscript"/>
              </w:rPr>
              <w:t>*</w:t>
            </w:r>
            <w:r>
              <w:rPr>
                <w:szCs w:val="21"/>
                <w:vertAlign w:val="superscript"/>
              </w:rPr>
              <w:footnoteReference w:id="4"/>
            </w:r>
          </w:p>
        </w:tc>
        <w:tc>
          <w:tcPr>
            <w:tcW w:w="4830" w:type="dxa"/>
            <w:gridSpan w:val="7"/>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熟料品种</w:t>
            </w:r>
            <w:r>
              <w:rPr>
                <w:szCs w:val="21"/>
                <w:vertAlign w:val="superscript"/>
              </w:rPr>
              <w:t>*</w:t>
            </w:r>
            <w:r>
              <w:rPr>
                <w:szCs w:val="21"/>
                <w:vertAlign w:val="superscript"/>
              </w:rPr>
              <w:footnoteReference w:id="5"/>
            </w:r>
          </w:p>
        </w:tc>
      </w:tr>
      <w:tr w:rsidR="00506AE6">
        <w:trPr>
          <w:trHeight w:val="283"/>
          <w:jc w:val="center"/>
        </w:trPr>
        <w:tc>
          <w:tcPr>
            <w:tcW w:w="3691" w:type="dxa"/>
            <w:gridSpan w:val="4"/>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szCs w:val="21"/>
              </w:rPr>
            </w:pPr>
          </w:p>
        </w:tc>
        <w:tc>
          <w:tcPr>
            <w:tcW w:w="3250" w:type="dxa"/>
            <w:gridSpan w:val="5"/>
            <w:tcBorders>
              <w:top w:val="single" w:sz="4" w:space="0" w:color="auto"/>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生产线</w:t>
            </w:r>
            <w:r>
              <w:rPr>
                <w:i/>
                <w:iCs/>
                <w:kern w:val="0"/>
                <w:szCs w:val="21"/>
              </w:rPr>
              <w:t>j</w:t>
            </w:r>
          </w:p>
        </w:tc>
        <w:tc>
          <w:tcPr>
            <w:tcW w:w="3260" w:type="dxa"/>
            <w:gridSpan w:val="6"/>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c>
          <w:tcPr>
            <w:tcW w:w="4830" w:type="dxa"/>
            <w:gridSpan w:val="7"/>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r>
      <w:tr w:rsidR="00506AE6">
        <w:trPr>
          <w:trHeight w:val="283"/>
          <w:jc w:val="center"/>
        </w:trPr>
        <w:tc>
          <w:tcPr>
            <w:tcW w:w="3691" w:type="dxa"/>
            <w:gridSpan w:val="4"/>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szCs w:val="21"/>
              </w:rPr>
            </w:pPr>
          </w:p>
        </w:tc>
        <w:tc>
          <w:tcPr>
            <w:tcW w:w="3250" w:type="dxa"/>
            <w:gridSpan w:val="5"/>
            <w:tcBorders>
              <w:top w:val="single" w:sz="4" w:space="0" w:color="auto"/>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jc w:val="center"/>
              <w:rPr>
                <w:kern w:val="0"/>
                <w:szCs w:val="21"/>
              </w:rPr>
            </w:pPr>
            <w:r>
              <w:rPr>
                <w:rFonts w:ascii="宋体" w:hAnsi="宋体"/>
                <w:kern w:val="0"/>
                <w:szCs w:val="21"/>
              </w:rPr>
              <w:t>…</w:t>
            </w:r>
          </w:p>
        </w:tc>
        <w:tc>
          <w:tcPr>
            <w:tcW w:w="3260" w:type="dxa"/>
            <w:gridSpan w:val="6"/>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c>
          <w:tcPr>
            <w:tcW w:w="4830" w:type="dxa"/>
            <w:gridSpan w:val="7"/>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szCs w:val="21"/>
              </w:rPr>
            </w:pPr>
            <w:r>
              <w:rPr>
                <w:rFonts w:hint="eastAsia"/>
                <w:szCs w:val="21"/>
              </w:rPr>
              <w:t>组织机构图</w:t>
            </w:r>
          </w:p>
        </w:tc>
        <w:tc>
          <w:tcPr>
            <w:tcW w:w="11340" w:type="dxa"/>
            <w:gridSpan w:val="18"/>
            <w:tcBorders>
              <w:top w:val="single" w:sz="4" w:space="0" w:color="auto"/>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kern w:val="0"/>
                <w:szCs w:val="21"/>
              </w:rPr>
            </w:pP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szCs w:val="21"/>
              </w:rPr>
            </w:pPr>
            <w:r>
              <w:rPr>
                <w:rFonts w:hint="eastAsia"/>
                <w:szCs w:val="21"/>
              </w:rPr>
              <w:t>厂区平面分布图</w:t>
            </w:r>
          </w:p>
        </w:tc>
        <w:tc>
          <w:tcPr>
            <w:tcW w:w="11340" w:type="dxa"/>
            <w:gridSpan w:val="18"/>
            <w:tcBorders>
              <w:top w:val="single" w:sz="4" w:space="0" w:color="auto"/>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kern w:val="0"/>
                <w:szCs w:val="21"/>
              </w:rPr>
            </w:pP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szCs w:val="21"/>
              </w:rPr>
            </w:pPr>
            <w:r>
              <w:rPr>
                <w:rFonts w:hint="eastAsia"/>
                <w:szCs w:val="21"/>
              </w:rPr>
              <w:t>工艺流程图</w:t>
            </w:r>
          </w:p>
        </w:tc>
        <w:tc>
          <w:tcPr>
            <w:tcW w:w="11340" w:type="dxa"/>
            <w:gridSpan w:val="18"/>
            <w:tcBorders>
              <w:top w:val="single" w:sz="4" w:space="0" w:color="auto"/>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widowControl/>
              <w:adjustRightInd w:val="0"/>
              <w:snapToGrid w:val="0"/>
              <w:spacing w:line="240" w:lineRule="auto"/>
              <w:ind w:firstLineChars="0" w:firstLine="0"/>
              <w:jc w:val="center"/>
              <w:rPr>
                <w:kern w:val="0"/>
                <w:szCs w:val="21"/>
              </w:rPr>
            </w:pPr>
          </w:p>
        </w:tc>
      </w:tr>
      <w:tr w:rsidR="00506AE6">
        <w:trPr>
          <w:trHeight w:val="283"/>
          <w:jc w:val="center"/>
        </w:trPr>
        <w:tc>
          <w:tcPr>
            <w:tcW w:w="15031" w:type="dxa"/>
            <w:gridSpan w:val="2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rPr>
                <w:b/>
                <w:bCs/>
                <w:kern w:val="0"/>
                <w:szCs w:val="21"/>
              </w:rPr>
            </w:pPr>
            <w:r>
              <w:rPr>
                <w:b/>
                <w:bCs/>
                <w:kern w:val="0"/>
                <w:szCs w:val="21"/>
              </w:rPr>
              <w:t xml:space="preserve">D.3  </w:t>
            </w:r>
            <w:r>
              <w:rPr>
                <w:rFonts w:hint="eastAsia"/>
                <w:b/>
                <w:bCs/>
                <w:kern w:val="0"/>
                <w:szCs w:val="21"/>
              </w:rPr>
              <w:t>核算边界和主要排放设施描述</w:t>
            </w:r>
          </w:p>
        </w:tc>
      </w:tr>
      <w:tr w:rsidR="00506AE6">
        <w:trPr>
          <w:trHeight w:val="283"/>
          <w:jc w:val="center"/>
        </w:trPr>
        <w:tc>
          <w:tcPr>
            <w:tcW w:w="15031" w:type="dxa"/>
            <w:gridSpan w:val="2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pStyle w:val="a5"/>
              <w:numPr>
                <w:ilvl w:val="0"/>
                <w:numId w:val="0"/>
              </w:numPr>
              <w:adjustRightInd w:val="0"/>
              <w:spacing w:line="240" w:lineRule="auto"/>
              <w:ind w:firstLine="420"/>
            </w:pPr>
            <w:r>
              <w:rPr>
                <w:rFonts w:hint="eastAsia"/>
              </w:rPr>
              <w:t xml:space="preserve"> 1</w:t>
            </w:r>
            <w:r>
              <w:t xml:space="preserve">. </w:t>
            </w:r>
            <w:r>
              <w:rPr>
                <w:rFonts w:hint="eastAsia"/>
              </w:rPr>
              <w:t>核算边界的描述</w:t>
            </w:r>
          </w:p>
          <w:p w:rsidR="00506AE6" w:rsidRDefault="0072598A">
            <w:pPr>
              <w:widowControl/>
              <w:adjustRightInd w:val="0"/>
              <w:snapToGrid w:val="0"/>
              <w:spacing w:line="240" w:lineRule="auto"/>
              <w:ind w:firstLineChars="0" w:firstLine="0"/>
              <w:rPr>
                <w:kern w:val="0"/>
                <w:szCs w:val="21"/>
              </w:rPr>
            </w:pPr>
            <w:r>
              <w:rPr>
                <w:rFonts w:hint="eastAsia"/>
                <w:kern w:val="0"/>
                <w:szCs w:val="21"/>
              </w:rPr>
              <w:t>（区分熟料生产和企业层级，应包括核算边界所包含的装置、所对应的地理边界、组织单元和生产过程。）</w:t>
            </w:r>
          </w:p>
          <w:p w:rsidR="00506AE6" w:rsidRDefault="00506AE6">
            <w:pPr>
              <w:widowControl/>
              <w:adjustRightInd w:val="0"/>
              <w:snapToGrid w:val="0"/>
              <w:spacing w:line="240" w:lineRule="auto"/>
              <w:ind w:firstLineChars="0" w:firstLine="0"/>
              <w:rPr>
                <w:kern w:val="0"/>
                <w:szCs w:val="21"/>
              </w:rPr>
            </w:pPr>
          </w:p>
          <w:p w:rsidR="00506AE6" w:rsidRDefault="00506AE6">
            <w:pPr>
              <w:widowControl/>
              <w:adjustRightInd w:val="0"/>
              <w:snapToGrid w:val="0"/>
              <w:spacing w:line="240" w:lineRule="auto"/>
              <w:ind w:firstLineChars="0" w:firstLine="0"/>
              <w:rPr>
                <w:kern w:val="0"/>
                <w:szCs w:val="21"/>
              </w:rPr>
            </w:pPr>
          </w:p>
        </w:tc>
      </w:tr>
      <w:tr w:rsidR="00506AE6">
        <w:trPr>
          <w:trHeight w:val="283"/>
          <w:jc w:val="center"/>
        </w:trPr>
        <w:tc>
          <w:tcPr>
            <w:tcW w:w="15031" w:type="dxa"/>
            <w:gridSpan w:val="2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pStyle w:val="a5"/>
              <w:numPr>
                <w:ilvl w:val="0"/>
                <w:numId w:val="0"/>
              </w:numPr>
              <w:adjustRightInd w:val="0"/>
              <w:spacing w:line="240" w:lineRule="auto"/>
              <w:ind w:firstLine="420"/>
            </w:pPr>
            <w:r>
              <w:rPr>
                <w:rFonts w:hint="eastAsia"/>
              </w:rPr>
              <w:lastRenderedPageBreak/>
              <w:t xml:space="preserve"> 2</w:t>
            </w:r>
            <w:r>
              <w:t xml:space="preserve">. </w:t>
            </w:r>
            <w:r>
              <w:rPr>
                <w:rFonts w:hint="eastAsia"/>
              </w:rPr>
              <w:t>主要排放设施</w:t>
            </w:r>
          </w:p>
        </w:tc>
      </w:tr>
      <w:tr w:rsidR="00506AE6">
        <w:trPr>
          <w:trHeight w:val="283"/>
          <w:jc w:val="center"/>
        </w:trPr>
        <w:tc>
          <w:tcPr>
            <w:tcW w:w="1696" w:type="dxa"/>
            <w:gridSpan w:val="2"/>
            <w:tcBorders>
              <w:top w:val="single" w:sz="4" w:space="0" w:color="auto"/>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生产线名称</w:t>
            </w:r>
          </w:p>
        </w:tc>
        <w:tc>
          <w:tcPr>
            <w:tcW w:w="1701" w:type="dxa"/>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设施编号</w:t>
            </w:r>
          </w:p>
        </w:tc>
        <w:tc>
          <w:tcPr>
            <w:tcW w:w="1701" w:type="dxa"/>
            <w:gridSpan w:val="2"/>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设施规格型号</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设施名称</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设施安装位置</w:t>
            </w:r>
          </w:p>
        </w:tc>
        <w:tc>
          <w:tcPr>
            <w:tcW w:w="1985" w:type="dxa"/>
            <w:gridSpan w:val="4"/>
            <w:tcBorders>
              <w:top w:val="single" w:sz="4" w:space="0" w:color="auto"/>
              <w:left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使用状态</w:t>
            </w:r>
          </w:p>
        </w:tc>
        <w:tc>
          <w:tcPr>
            <w:tcW w:w="2835" w:type="dxa"/>
            <w:gridSpan w:val="4"/>
            <w:tcBorders>
              <w:top w:val="single" w:sz="4" w:space="0" w:color="auto"/>
              <w:left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jc w:val="center"/>
              <w:rPr>
                <w:kern w:val="0"/>
                <w:szCs w:val="21"/>
              </w:rPr>
            </w:pPr>
            <w:r>
              <w:rPr>
                <w:rFonts w:hint="eastAsia"/>
                <w:kern w:val="0"/>
                <w:szCs w:val="21"/>
              </w:rPr>
              <w:t>是否纳入熟料生产核算边界</w:t>
            </w:r>
          </w:p>
        </w:tc>
        <w:tc>
          <w:tcPr>
            <w:tcW w:w="1711" w:type="dxa"/>
            <w:gridSpan w:val="2"/>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备注</w:t>
            </w:r>
          </w:p>
        </w:tc>
      </w:tr>
      <w:tr w:rsidR="00506AE6">
        <w:trPr>
          <w:trHeight w:val="283"/>
          <w:jc w:val="center"/>
        </w:trPr>
        <w:tc>
          <w:tcPr>
            <w:tcW w:w="1696" w:type="dxa"/>
            <w:gridSpan w:val="2"/>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生产线</w:t>
            </w:r>
            <w:r>
              <w:rPr>
                <w:i/>
                <w:iCs/>
                <w:kern w:val="0"/>
                <w:szCs w:val="21"/>
              </w:rPr>
              <w:t>j</w:t>
            </w:r>
          </w:p>
        </w:tc>
        <w:tc>
          <w:tcPr>
            <w:tcW w:w="1701" w:type="dxa"/>
            <w:tcBorders>
              <w:left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kern w:val="0"/>
                <w:szCs w:val="21"/>
              </w:rPr>
            </w:pPr>
          </w:p>
        </w:tc>
        <w:tc>
          <w:tcPr>
            <w:tcW w:w="1701" w:type="dxa"/>
            <w:gridSpan w:val="2"/>
            <w:tcBorders>
              <w:left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kern w:val="0"/>
                <w:szCs w:val="21"/>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c>
          <w:tcPr>
            <w:tcW w:w="1985" w:type="dxa"/>
            <w:gridSpan w:val="4"/>
            <w:tcBorders>
              <w:left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jc w:val="center"/>
              <w:rPr>
                <w:kern w:val="0"/>
                <w:szCs w:val="21"/>
              </w:rPr>
            </w:pPr>
            <w:r>
              <w:rPr>
                <w:szCs w:val="21"/>
              </w:rPr>
              <w:sym w:font="Wingdings" w:char="F0A8"/>
            </w:r>
            <w:r>
              <w:rPr>
                <w:rFonts w:hint="eastAsia"/>
                <w:kern w:val="0"/>
                <w:szCs w:val="21"/>
              </w:rPr>
              <w:t>在用</w:t>
            </w:r>
            <w:r>
              <w:rPr>
                <w:szCs w:val="21"/>
              </w:rPr>
              <w:t xml:space="preserve">    </w:t>
            </w:r>
            <w:r>
              <w:rPr>
                <w:szCs w:val="21"/>
              </w:rPr>
              <w:sym w:font="Wingdings" w:char="F0A8"/>
            </w:r>
            <w:r>
              <w:rPr>
                <w:rFonts w:hint="eastAsia"/>
                <w:kern w:val="0"/>
                <w:szCs w:val="21"/>
              </w:rPr>
              <w:t>停用</w:t>
            </w:r>
          </w:p>
        </w:tc>
        <w:tc>
          <w:tcPr>
            <w:tcW w:w="2835" w:type="dxa"/>
            <w:gridSpan w:val="4"/>
            <w:tcBorders>
              <w:left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jc w:val="center"/>
              <w:rPr>
                <w:kern w:val="0"/>
                <w:szCs w:val="21"/>
              </w:rPr>
            </w:pPr>
            <w:r>
              <w:rPr>
                <w:szCs w:val="21"/>
              </w:rPr>
              <w:sym w:font="Wingdings" w:char="F0A8"/>
            </w:r>
            <w:r>
              <w:rPr>
                <w:rFonts w:hint="eastAsia"/>
                <w:szCs w:val="21"/>
              </w:rPr>
              <w:t>是</w:t>
            </w:r>
            <w:r>
              <w:rPr>
                <w:szCs w:val="21"/>
              </w:rPr>
              <w:t xml:space="preserve">    </w:t>
            </w:r>
            <w:r>
              <w:rPr>
                <w:szCs w:val="21"/>
              </w:rPr>
              <w:sym w:font="Wingdings" w:char="F0A8"/>
            </w:r>
            <w:r>
              <w:rPr>
                <w:rFonts w:hint="eastAsia"/>
                <w:szCs w:val="21"/>
              </w:rPr>
              <w:t>否</w:t>
            </w:r>
          </w:p>
        </w:tc>
        <w:tc>
          <w:tcPr>
            <w:tcW w:w="1711" w:type="dxa"/>
            <w:gridSpan w:val="2"/>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r>
      <w:tr w:rsidR="00506AE6">
        <w:trPr>
          <w:trHeight w:val="283"/>
          <w:jc w:val="center"/>
        </w:trPr>
        <w:tc>
          <w:tcPr>
            <w:tcW w:w="1696" w:type="dxa"/>
            <w:gridSpan w:val="2"/>
            <w:tcBorders>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jc w:val="center"/>
              <w:rPr>
                <w:kern w:val="0"/>
                <w:szCs w:val="21"/>
              </w:rPr>
            </w:pPr>
            <w:r>
              <w:rPr>
                <w:rFonts w:ascii="宋体" w:hAnsi="宋体"/>
                <w:kern w:val="0"/>
                <w:szCs w:val="21"/>
              </w:rPr>
              <w:t>…</w:t>
            </w:r>
          </w:p>
        </w:tc>
        <w:tc>
          <w:tcPr>
            <w:tcW w:w="1701" w:type="dxa"/>
            <w:tcBorders>
              <w:left w:val="single" w:sz="4" w:space="0" w:color="auto"/>
              <w:bottom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c>
          <w:tcPr>
            <w:tcW w:w="1701" w:type="dxa"/>
            <w:gridSpan w:val="2"/>
            <w:tcBorders>
              <w:left w:val="single" w:sz="4" w:space="0" w:color="auto"/>
              <w:bottom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c>
          <w:tcPr>
            <w:tcW w:w="1985" w:type="dxa"/>
            <w:gridSpan w:val="4"/>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c>
          <w:tcPr>
            <w:tcW w:w="2835" w:type="dxa"/>
            <w:gridSpan w:val="4"/>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c>
          <w:tcPr>
            <w:tcW w:w="1711" w:type="dxa"/>
            <w:gridSpan w:val="2"/>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kern w:val="0"/>
                <w:szCs w:val="21"/>
              </w:rPr>
            </w:pPr>
          </w:p>
        </w:tc>
      </w:tr>
      <w:tr w:rsidR="00506AE6">
        <w:trPr>
          <w:trHeight w:val="283"/>
          <w:jc w:val="center"/>
        </w:trPr>
        <w:tc>
          <w:tcPr>
            <w:tcW w:w="15031" w:type="dxa"/>
            <w:gridSpan w:val="2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rPr>
                <w:b/>
                <w:bCs/>
                <w:kern w:val="0"/>
                <w:szCs w:val="21"/>
              </w:rPr>
            </w:pPr>
            <w:r>
              <w:rPr>
                <w:b/>
                <w:bCs/>
                <w:kern w:val="0"/>
                <w:szCs w:val="21"/>
              </w:rPr>
              <w:t xml:space="preserve">D.4  </w:t>
            </w:r>
            <w:r>
              <w:rPr>
                <w:rFonts w:hint="eastAsia"/>
                <w:b/>
                <w:bCs/>
                <w:kern w:val="0"/>
                <w:szCs w:val="21"/>
              </w:rPr>
              <w:t>熟料生产活动数据和排放因子的确定方式</w:t>
            </w:r>
          </w:p>
        </w:tc>
      </w:tr>
      <w:tr w:rsidR="00506AE6">
        <w:trPr>
          <w:trHeight w:val="283"/>
          <w:jc w:val="center"/>
        </w:trPr>
        <w:tc>
          <w:tcPr>
            <w:tcW w:w="846" w:type="dxa"/>
            <w:vMerge w:val="restart"/>
            <w:tcBorders>
              <w:top w:val="single" w:sz="4" w:space="0" w:color="auto"/>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szCs w:val="21"/>
              </w:rPr>
            </w:pPr>
            <w:r>
              <w:rPr>
                <w:rFonts w:hint="eastAsia"/>
                <w:kern w:val="0"/>
                <w:szCs w:val="21"/>
              </w:rPr>
              <w:t>生产线名称</w:t>
            </w:r>
          </w:p>
        </w:tc>
        <w:tc>
          <w:tcPr>
            <w:tcW w:w="2845" w:type="dxa"/>
            <w:gridSpan w:val="3"/>
            <w:vMerge w:val="restart"/>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kern w:val="0"/>
                <w:szCs w:val="21"/>
              </w:rPr>
              <w:t>参数名称</w:t>
            </w:r>
          </w:p>
        </w:tc>
        <w:tc>
          <w:tcPr>
            <w:tcW w:w="1418" w:type="dxa"/>
            <w:gridSpan w:val="2"/>
            <w:vMerge w:val="restart"/>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kern w:val="0"/>
                <w:szCs w:val="21"/>
              </w:rPr>
              <w:t>单位</w:t>
            </w:r>
          </w:p>
        </w:tc>
        <w:tc>
          <w:tcPr>
            <w:tcW w:w="197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szCs w:val="21"/>
              </w:rPr>
              <w:t>数据的确定方法</w:t>
            </w:r>
            <w:r>
              <w:rPr>
                <w:rFonts w:hint="eastAsia"/>
                <w:kern w:val="0"/>
                <w:szCs w:val="21"/>
              </w:rPr>
              <w:t>及获取方式</w:t>
            </w:r>
            <w:bookmarkStart w:id="417" w:name="_Ref143383274"/>
            <w:r>
              <w:rPr>
                <w:szCs w:val="21"/>
                <w:vertAlign w:val="superscript"/>
              </w:rPr>
              <w:t>*</w:t>
            </w:r>
            <w:r>
              <w:rPr>
                <w:rStyle w:val="afff8"/>
                <w:kern w:val="0"/>
                <w:szCs w:val="21"/>
              </w:rPr>
              <w:footnoteReference w:id="6"/>
            </w:r>
            <w:bookmarkEnd w:id="417"/>
          </w:p>
        </w:tc>
        <w:tc>
          <w:tcPr>
            <w:tcW w:w="497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rPr>
              <w:t>计量器具和检测设备</w:t>
            </w:r>
            <w:r>
              <w:rPr>
                <w:rFonts w:hint="eastAsia"/>
                <w:szCs w:val="21"/>
              </w:rPr>
              <w:t>（适用于数据获取方式来源于实测值）</w:t>
            </w:r>
          </w:p>
        </w:tc>
        <w:tc>
          <w:tcPr>
            <w:tcW w:w="987" w:type="dxa"/>
            <w:vMerge w:val="restart"/>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kern w:val="0"/>
                <w:szCs w:val="21"/>
              </w:rPr>
              <w:t>数据记录频次</w:t>
            </w:r>
          </w:p>
        </w:tc>
        <w:tc>
          <w:tcPr>
            <w:tcW w:w="997" w:type="dxa"/>
            <w:gridSpan w:val="2"/>
            <w:vMerge w:val="restart"/>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kern w:val="0"/>
                <w:szCs w:val="21"/>
              </w:rPr>
              <w:t>数据缺失时的处理方式</w:t>
            </w:r>
          </w:p>
        </w:tc>
        <w:tc>
          <w:tcPr>
            <w:tcW w:w="987" w:type="dxa"/>
            <w:vMerge w:val="restart"/>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数据获取负责</w:t>
            </w:r>
            <w:r>
              <w:rPr>
                <w:rFonts w:hint="eastAsia"/>
                <w:kern w:val="0"/>
                <w:szCs w:val="21"/>
              </w:rPr>
              <w:t>部门</w:t>
            </w:r>
          </w:p>
        </w:tc>
      </w:tr>
      <w:tr w:rsidR="00506AE6">
        <w:trPr>
          <w:trHeight w:val="283"/>
          <w:jc w:val="center"/>
        </w:trPr>
        <w:tc>
          <w:tcPr>
            <w:tcW w:w="846" w:type="dxa"/>
            <w:vMerge/>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rPr>
                <w:szCs w:val="21"/>
              </w:rPr>
            </w:pPr>
          </w:p>
        </w:tc>
        <w:tc>
          <w:tcPr>
            <w:tcW w:w="2845" w:type="dxa"/>
            <w:gridSpan w:val="3"/>
            <w:vMerge/>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left"/>
              <w:rPr>
                <w:szCs w:val="21"/>
              </w:rPr>
            </w:pPr>
          </w:p>
        </w:tc>
        <w:tc>
          <w:tcPr>
            <w:tcW w:w="1418" w:type="dxa"/>
            <w:gridSpan w:val="2"/>
            <w:vMerge/>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left"/>
              <w:rPr>
                <w:szCs w:val="21"/>
              </w:rPr>
            </w:pPr>
          </w:p>
        </w:tc>
        <w:tc>
          <w:tcPr>
            <w:tcW w:w="992" w:type="dxa"/>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iCs/>
                <w:szCs w:val="21"/>
              </w:rPr>
            </w:pPr>
            <w:r>
              <w:rPr>
                <w:rFonts w:hint="eastAsia"/>
                <w:szCs w:val="21"/>
              </w:rPr>
              <w:t>获取方式</w:t>
            </w:r>
            <w:bookmarkStart w:id="418" w:name="_Ref143383306"/>
            <w:r>
              <w:rPr>
                <w:szCs w:val="21"/>
                <w:vertAlign w:val="superscript"/>
              </w:rPr>
              <w:t>*</w:t>
            </w:r>
            <w:r>
              <w:rPr>
                <w:rStyle w:val="afff8"/>
                <w:szCs w:val="21"/>
              </w:rPr>
              <w:footnoteReference w:id="7"/>
            </w:r>
            <w:bookmarkEnd w:id="418"/>
          </w:p>
        </w:tc>
        <w:tc>
          <w:tcPr>
            <w:tcW w:w="982" w:type="dxa"/>
            <w:gridSpan w:val="3"/>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iCs/>
                <w:szCs w:val="21"/>
              </w:rPr>
            </w:pPr>
            <w:bookmarkStart w:id="419" w:name="_Ref143383334"/>
            <w:r>
              <w:rPr>
                <w:rFonts w:hint="eastAsia"/>
                <w:iCs/>
                <w:szCs w:val="21"/>
              </w:rPr>
              <w:t>具体描述</w:t>
            </w:r>
            <w:r>
              <w:rPr>
                <w:szCs w:val="21"/>
                <w:vertAlign w:val="superscript"/>
              </w:rPr>
              <w:t>*</w:t>
            </w:r>
            <w:r>
              <w:rPr>
                <w:rStyle w:val="afff8"/>
                <w:iCs/>
                <w:szCs w:val="21"/>
              </w:rPr>
              <w:footnoteReference w:id="8"/>
            </w:r>
            <w:bookmarkEnd w:id="419"/>
          </w:p>
        </w:tc>
        <w:tc>
          <w:tcPr>
            <w:tcW w:w="1003" w:type="dxa"/>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rPr>
              <w:t>设备名称</w:t>
            </w:r>
            <w:r>
              <w:rPr>
                <w:rFonts w:hint="eastAsia"/>
                <w:kern w:val="0"/>
                <w:szCs w:val="21"/>
              </w:rPr>
              <w:t>及型号</w:t>
            </w:r>
          </w:p>
        </w:tc>
        <w:tc>
          <w:tcPr>
            <w:tcW w:w="992" w:type="dxa"/>
            <w:gridSpan w:val="2"/>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rPr>
              <w:t>设备</w:t>
            </w:r>
            <w:r>
              <w:rPr>
                <w:rFonts w:hint="eastAsia"/>
                <w:kern w:val="0"/>
                <w:szCs w:val="21"/>
              </w:rPr>
              <w:t>安装位置</w:t>
            </w:r>
          </w:p>
        </w:tc>
        <w:tc>
          <w:tcPr>
            <w:tcW w:w="982" w:type="dxa"/>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监测频次</w:t>
            </w:r>
          </w:p>
        </w:tc>
        <w:tc>
          <w:tcPr>
            <w:tcW w:w="1002" w:type="dxa"/>
            <w:gridSpan w:val="3"/>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rPr>
              <w:t>设备</w:t>
            </w:r>
            <w:r>
              <w:rPr>
                <w:rFonts w:hint="eastAsia"/>
                <w:kern w:val="0"/>
                <w:szCs w:val="21"/>
              </w:rPr>
              <w:t>精度</w:t>
            </w:r>
          </w:p>
        </w:tc>
        <w:tc>
          <w:tcPr>
            <w:tcW w:w="998" w:type="dxa"/>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规定的</w:t>
            </w:r>
            <w:r>
              <w:rPr>
                <w:rFonts w:hint="eastAsia"/>
              </w:rPr>
              <w:t>设备检定</w:t>
            </w:r>
            <w:r>
              <w:rPr>
                <w:rFonts w:hint="eastAsia"/>
              </w:rPr>
              <w:t>/</w:t>
            </w:r>
            <w:r>
              <w:rPr>
                <w:rFonts w:hint="eastAsia"/>
                <w:kern w:val="0"/>
                <w:szCs w:val="21"/>
              </w:rPr>
              <w:t>校准频次</w:t>
            </w:r>
          </w:p>
        </w:tc>
        <w:tc>
          <w:tcPr>
            <w:tcW w:w="987" w:type="dxa"/>
            <w:vMerge/>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left"/>
              <w:rPr>
                <w:szCs w:val="21"/>
              </w:rPr>
            </w:pPr>
          </w:p>
        </w:tc>
        <w:tc>
          <w:tcPr>
            <w:tcW w:w="997" w:type="dxa"/>
            <w:gridSpan w:val="2"/>
            <w:vMerge/>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left"/>
              <w:rPr>
                <w:szCs w:val="21"/>
              </w:rPr>
            </w:pPr>
          </w:p>
        </w:tc>
        <w:tc>
          <w:tcPr>
            <w:tcW w:w="987" w:type="dxa"/>
            <w:vMerge/>
            <w:tcBorders>
              <w:left w:val="single" w:sz="4" w:space="0" w:color="auto"/>
              <w:right w:val="single" w:sz="4" w:space="0" w:color="auto"/>
            </w:tcBorders>
            <w:shd w:val="clear" w:color="auto" w:fill="auto"/>
          </w:tcPr>
          <w:p w:rsidR="00506AE6" w:rsidRDefault="00506AE6">
            <w:pPr>
              <w:widowControl/>
              <w:adjustRightInd w:val="0"/>
              <w:snapToGrid w:val="0"/>
              <w:spacing w:line="240" w:lineRule="auto"/>
              <w:ind w:firstLineChars="0" w:firstLine="0"/>
              <w:jc w:val="left"/>
              <w:rPr>
                <w:szCs w:val="21"/>
              </w:rPr>
            </w:pPr>
          </w:p>
        </w:tc>
      </w:tr>
      <w:tr w:rsidR="00506AE6">
        <w:trPr>
          <w:trHeight w:val="283"/>
          <w:jc w:val="center"/>
        </w:trPr>
        <w:tc>
          <w:tcPr>
            <w:tcW w:w="846" w:type="dxa"/>
            <w:vMerge w:val="restart"/>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szCs w:val="21"/>
              </w:rPr>
            </w:pPr>
            <w:r>
              <w:rPr>
                <w:rFonts w:hint="eastAsia"/>
                <w:kern w:val="0"/>
                <w:szCs w:val="21"/>
              </w:rPr>
              <w:t>生产线</w:t>
            </w:r>
            <w:r>
              <w:rPr>
                <w:i/>
                <w:iCs/>
                <w:kern w:val="0"/>
                <w:szCs w:val="21"/>
              </w:rPr>
              <w:t>j</w:t>
            </w: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化石燃料燃烧排放量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left"/>
              <w:rPr>
                <w:szCs w:val="21"/>
              </w:rPr>
            </w:pPr>
            <w:r>
              <w:rPr>
                <w:szCs w:val="21"/>
              </w:rPr>
              <w:t>tCO</w:t>
            </w:r>
            <w:r>
              <w:rPr>
                <w:szCs w:val="21"/>
                <w:vertAlign w:val="sub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燃煤</w:t>
            </w:r>
            <w:r>
              <w:rPr>
                <w:rFonts w:hint="eastAsia"/>
                <w:kern w:val="0"/>
                <w:szCs w:val="21"/>
              </w:rPr>
              <w:t>消耗量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left"/>
              <w:rPr>
                <w:szCs w:val="21"/>
              </w:rPr>
            </w:pPr>
            <w:r>
              <w:rPr>
                <w:szCs w:val="21"/>
              </w:rPr>
              <w:t>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燃煤收到基低位</w:t>
            </w:r>
            <w:r>
              <w:rPr>
                <w:rFonts w:hint="eastAsia"/>
                <w:kern w:val="0"/>
                <w:szCs w:val="21"/>
              </w:rPr>
              <w:t>发热量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left"/>
              <w:rPr>
                <w:szCs w:val="21"/>
              </w:rPr>
            </w:pPr>
            <w:r>
              <w:rPr>
                <w:szCs w:val="21"/>
              </w:rPr>
              <w:t>GJ/t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燃煤单位热值含碳量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left"/>
              <w:rPr>
                <w:szCs w:val="21"/>
              </w:rPr>
            </w:pPr>
            <w:r>
              <w:rPr>
                <w:szCs w:val="21"/>
              </w:rPr>
              <w:t>tC/GJ</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缺省值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燃煤碳氧化率</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left"/>
              <w:rPr>
                <w:szCs w:val="21"/>
              </w:rPr>
            </w:pPr>
            <w:r>
              <w:rPr>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缺省值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过程排放量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textAlignment w:val="center"/>
              <w:rPr>
                <w:szCs w:val="21"/>
              </w:rPr>
            </w:pPr>
            <w:r>
              <w:rPr>
                <w:rFonts w:hint="eastAsia"/>
                <w:szCs w:val="21"/>
              </w:rPr>
              <w:t>熟料产量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textAlignment w:val="center"/>
              <w:rPr>
                <w:szCs w:val="21"/>
              </w:rPr>
            </w:pPr>
            <w:r>
              <w:rPr>
                <w:szCs w:val="21"/>
              </w:rPr>
              <w:t>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熟料对应的过程排放因子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r>
              <w:rPr>
                <w:szCs w:val="21"/>
              </w:rPr>
              <w:t>/t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熟料中氧化钙含量（实测时</w:t>
            </w:r>
            <w:r>
              <w:rPr>
                <w:rFonts w:hint="eastAsia"/>
                <w:szCs w:val="21"/>
              </w:rPr>
              <w:lastRenderedPageBreak/>
              <w:t>适用）</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lastRenderedPageBreak/>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熟料中氧化镁含量（实测时适用）</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kern w:val="0"/>
                <w:szCs w:val="21"/>
              </w:rPr>
              <w:t>非碳酸盐替代原料</w:t>
            </w:r>
            <w:r>
              <w:rPr>
                <w:i/>
                <w:iCs/>
                <w:kern w:val="0"/>
                <w:szCs w:val="21"/>
              </w:rPr>
              <w:t>i</w:t>
            </w:r>
            <w:r>
              <w:rPr>
                <w:rFonts w:hint="eastAsia"/>
                <w:szCs w:val="21"/>
              </w:rPr>
              <w:t>消耗量</w:t>
            </w:r>
            <w:r>
              <w:rPr>
                <w:szCs w:val="21"/>
                <w:vertAlign w:val="superscript"/>
              </w:rPr>
              <w:t>*</w:t>
            </w:r>
            <w:r>
              <w:rPr>
                <w:rStyle w:val="afff8"/>
                <w:kern w:val="0"/>
                <w:szCs w:val="21"/>
              </w:rPr>
              <w:footnoteReference w:id="9"/>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textAlignment w:val="center"/>
              <w:rPr>
                <w:szCs w:val="21"/>
              </w:rPr>
            </w:pPr>
            <w:r>
              <w:rPr>
                <w:szCs w:val="21"/>
              </w:rPr>
              <w:t>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kern w:val="0"/>
                <w:szCs w:val="21"/>
              </w:rPr>
              <w:t>非碳酸盐替代原料</w:t>
            </w:r>
            <w:r>
              <w:rPr>
                <w:i/>
                <w:iCs/>
                <w:kern w:val="0"/>
                <w:szCs w:val="21"/>
              </w:rPr>
              <w:t>i</w:t>
            </w:r>
            <w:r>
              <w:rPr>
                <w:rFonts w:hint="eastAsia"/>
                <w:szCs w:val="21"/>
              </w:rPr>
              <w:t>对应的扣减系数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r>
              <w:rPr>
                <w:szCs w:val="21"/>
              </w:rPr>
              <w:t>/t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缺省值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消耗电力产生的排放量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消耗电量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MW·h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总消耗电量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MW·h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余热电站发电量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MW·h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通过市场化交易购入使用的非化石电能源电力消费量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MW·h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自发自用非化石能源电量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MW·h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电力排放因子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r>
              <w:rPr>
                <w:szCs w:val="21"/>
              </w:rPr>
              <w:t>/(MW·h)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缺省值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textAlignment w:val="center"/>
              <w:rPr>
                <w:kern w:val="0"/>
                <w:szCs w:val="21"/>
              </w:rPr>
            </w:pPr>
            <w:r>
              <w:rPr>
                <w:rFonts w:hint="eastAsia"/>
                <w:kern w:val="0"/>
                <w:szCs w:val="21"/>
              </w:rPr>
              <w:t>替代燃料</w:t>
            </w:r>
            <w:r>
              <w:rPr>
                <w:i/>
                <w:iCs/>
                <w:kern w:val="0"/>
                <w:szCs w:val="21"/>
              </w:rPr>
              <w:t>i</w:t>
            </w:r>
            <w:r>
              <w:rPr>
                <w:rFonts w:hint="eastAsia"/>
                <w:szCs w:val="21"/>
              </w:rPr>
              <w:t>消耗量</w:t>
            </w:r>
            <w:r>
              <w:rPr>
                <w:szCs w:val="21"/>
                <w:vertAlign w:val="superscript"/>
              </w:rPr>
              <w:t>*</w:t>
            </w:r>
            <w:r>
              <w:rPr>
                <w:rStyle w:val="afff8"/>
                <w:kern w:val="0"/>
                <w:szCs w:val="21"/>
              </w:rPr>
              <w:footnoteReference w:id="10"/>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left"/>
              <w:rPr>
                <w:szCs w:val="21"/>
              </w:rPr>
            </w:pPr>
            <w:r>
              <w:rPr>
                <w:szCs w:val="21"/>
              </w:rPr>
              <w:t>t</w:t>
            </w:r>
            <w:r>
              <w:rPr>
                <w:rFonts w:hint="eastAsia"/>
                <w:szCs w:val="21"/>
              </w:rPr>
              <w:t>或</w:t>
            </w:r>
            <w:r>
              <w:rPr>
                <w:szCs w:val="21"/>
              </w:rPr>
              <w:t>10</w:t>
            </w:r>
            <w:r>
              <w:rPr>
                <w:szCs w:val="21"/>
                <w:vertAlign w:val="superscript"/>
              </w:rPr>
              <w:t>4</w:t>
            </w:r>
            <w:r>
              <w:rPr>
                <w:szCs w:val="21"/>
              </w:rPr>
              <w:t>Nm</w:t>
            </w:r>
            <w:r>
              <w:rPr>
                <w:szCs w:val="21"/>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碳排放量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szCs w:val="21"/>
              </w:rPr>
              <w:t>碳排放强度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r>
              <w:rPr>
                <w:szCs w:val="21"/>
              </w:rPr>
              <w:t>/t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846" w:type="dxa"/>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kern w:val="0"/>
                <w:szCs w:val="21"/>
              </w:rPr>
            </w:pPr>
            <w:r>
              <w:rPr>
                <w:rFonts w:ascii="宋体" w:hAnsi="宋体"/>
                <w:kern w:val="0"/>
                <w:szCs w:val="21"/>
              </w:rPr>
              <w:t>…</w:t>
            </w:r>
          </w:p>
        </w:tc>
        <w:tc>
          <w:tcPr>
            <w:tcW w:w="2845" w:type="dxa"/>
            <w:gridSpan w:val="3"/>
            <w:tcBorders>
              <w:left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rPr>
                <w:szCs w:val="21"/>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rPr>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846" w:type="dxa"/>
            <w:vMerge w:val="restart"/>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全部生产线</w:t>
            </w: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kern w:val="0"/>
                <w:szCs w:val="21"/>
              </w:rPr>
              <w:t>熟料总产量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kern w:val="0"/>
                <w:szCs w:val="21"/>
              </w:rPr>
              <w:t>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kern w:val="0"/>
                <w:szCs w:val="21"/>
              </w:rPr>
              <w:t>碳排放总量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846" w:type="dxa"/>
            <w:vMerge/>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506AE6">
            <w:pPr>
              <w:adjustRightInd w:val="0"/>
              <w:snapToGrid w:val="0"/>
              <w:spacing w:line="240" w:lineRule="auto"/>
              <w:ind w:firstLineChars="0" w:firstLine="0"/>
              <w:jc w:val="center"/>
              <w:rPr>
                <w:kern w:val="0"/>
                <w:szCs w:val="21"/>
              </w:rPr>
            </w:pPr>
          </w:p>
        </w:tc>
        <w:tc>
          <w:tcPr>
            <w:tcW w:w="2845" w:type="dxa"/>
            <w:gridSpan w:val="3"/>
            <w:tcBorders>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rFonts w:hint="eastAsia"/>
                <w:kern w:val="0"/>
                <w:szCs w:val="21"/>
              </w:rPr>
              <w:t>碳排放强度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r>
              <w:rPr>
                <w:szCs w:val="21"/>
              </w:rPr>
              <w:t>/t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15031" w:type="dxa"/>
            <w:gridSpan w:val="2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numPr>
                <w:ilvl w:val="255"/>
                <w:numId w:val="0"/>
              </w:numPr>
              <w:adjustRightInd w:val="0"/>
              <w:spacing w:line="240" w:lineRule="auto"/>
              <w:ind w:firstLine="420"/>
            </w:pPr>
            <w:r>
              <w:rPr>
                <w:b/>
                <w:bCs/>
              </w:rPr>
              <w:t xml:space="preserve">D.5  </w:t>
            </w:r>
            <w:r>
              <w:rPr>
                <w:rFonts w:hint="eastAsia"/>
                <w:b/>
                <w:bCs/>
              </w:rPr>
              <w:t>企业层级核算边界活动数据和排放因子的确定方式</w:t>
            </w:r>
            <w:r>
              <w:rPr>
                <w:b/>
                <w:bCs/>
                <w:vertAlign w:val="superscript"/>
              </w:rPr>
              <w:t>*</w:t>
            </w:r>
            <w:r>
              <w:rPr>
                <w:rStyle w:val="afff8"/>
                <w:b/>
                <w:bCs/>
              </w:rPr>
              <w:footnoteReference w:id="11"/>
            </w:r>
          </w:p>
        </w:tc>
      </w:tr>
      <w:tr w:rsidR="00506AE6">
        <w:trPr>
          <w:trHeight w:val="283"/>
          <w:jc w:val="center"/>
        </w:trPr>
        <w:tc>
          <w:tcPr>
            <w:tcW w:w="3691" w:type="dxa"/>
            <w:gridSpan w:val="4"/>
            <w:vMerge w:val="restart"/>
            <w:tcBorders>
              <w:top w:val="single" w:sz="4" w:space="0" w:color="auto"/>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jc w:val="center"/>
              <w:rPr>
                <w:szCs w:val="21"/>
              </w:rPr>
            </w:pPr>
            <w:r>
              <w:rPr>
                <w:rFonts w:hint="eastAsia"/>
                <w:szCs w:val="21"/>
              </w:rPr>
              <w:t>参数名称</w:t>
            </w:r>
          </w:p>
        </w:tc>
        <w:tc>
          <w:tcPr>
            <w:tcW w:w="1418" w:type="dxa"/>
            <w:gridSpan w:val="2"/>
            <w:vMerge w:val="restart"/>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kern w:val="0"/>
                <w:szCs w:val="21"/>
              </w:rPr>
              <w:t>单位</w:t>
            </w:r>
          </w:p>
        </w:tc>
        <w:tc>
          <w:tcPr>
            <w:tcW w:w="197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szCs w:val="21"/>
              </w:rPr>
              <w:t>数据的确定方法</w:t>
            </w:r>
            <w:r>
              <w:rPr>
                <w:rFonts w:hint="eastAsia"/>
                <w:kern w:val="0"/>
                <w:szCs w:val="21"/>
              </w:rPr>
              <w:t>及获取方式</w:t>
            </w:r>
          </w:p>
        </w:tc>
        <w:tc>
          <w:tcPr>
            <w:tcW w:w="497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rPr>
              <w:t>计量器具和检测设备</w:t>
            </w:r>
            <w:r>
              <w:rPr>
                <w:rFonts w:hint="eastAsia"/>
                <w:szCs w:val="21"/>
              </w:rPr>
              <w:t>（</w:t>
            </w:r>
            <w:r>
              <w:rPr>
                <w:rFonts w:hint="eastAsia"/>
                <w:kern w:val="0"/>
                <w:szCs w:val="21"/>
              </w:rPr>
              <w:t>适用</w:t>
            </w:r>
            <w:r>
              <w:rPr>
                <w:rFonts w:hint="eastAsia"/>
                <w:szCs w:val="21"/>
              </w:rPr>
              <w:t>于数据获取方式来源于实测值）</w:t>
            </w:r>
          </w:p>
        </w:tc>
        <w:tc>
          <w:tcPr>
            <w:tcW w:w="987" w:type="dxa"/>
            <w:vMerge w:val="restart"/>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kern w:val="0"/>
                <w:szCs w:val="21"/>
              </w:rPr>
              <w:t>数据记录频次</w:t>
            </w:r>
          </w:p>
        </w:tc>
        <w:tc>
          <w:tcPr>
            <w:tcW w:w="997" w:type="dxa"/>
            <w:gridSpan w:val="2"/>
            <w:vMerge w:val="restart"/>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kern w:val="0"/>
                <w:szCs w:val="21"/>
              </w:rPr>
              <w:t>数据缺失时的处理方式</w:t>
            </w:r>
          </w:p>
        </w:tc>
        <w:tc>
          <w:tcPr>
            <w:tcW w:w="987" w:type="dxa"/>
            <w:vMerge w:val="restart"/>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kern w:val="0"/>
                <w:szCs w:val="21"/>
              </w:rPr>
              <w:t>数据</w:t>
            </w:r>
            <w:r>
              <w:rPr>
                <w:rFonts w:hint="eastAsia"/>
                <w:szCs w:val="21"/>
              </w:rPr>
              <w:t>获取负责部门</w:t>
            </w:r>
          </w:p>
        </w:tc>
      </w:tr>
      <w:tr w:rsidR="00506AE6">
        <w:trPr>
          <w:trHeight w:val="283"/>
          <w:jc w:val="center"/>
        </w:trPr>
        <w:tc>
          <w:tcPr>
            <w:tcW w:w="3691" w:type="dxa"/>
            <w:gridSpan w:val="4"/>
            <w:vMerge/>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left"/>
              <w:rPr>
                <w:szCs w:val="21"/>
              </w:rPr>
            </w:pPr>
          </w:p>
        </w:tc>
        <w:tc>
          <w:tcPr>
            <w:tcW w:w="1418" w:type="dxa"/>
            <w:gridSpan w:val="2"/>
            <w:vMerge/>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left"/>
              <w:rPr>
                <w:szCs w:val="21"/>
              </w:rPr>
            </w:pPr>
          </w:p>
        </w:tc>
        <w:tc>
          <w:tcPr>
            <w:tcW w:w="992" w:type="dxa"/>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iCs/>
                <w:szCs w:val="21"/>
              </w:rPr>
            </w:pPr>
            <w:r>
              <w:rPr>
                <w:rFonts w:hint="eastAsia"/>
                <w:szCs w:val="21"/>
              </w:rPr>
              <w:t>获取</w:t>
            </w:r>
            <w:r>
              <w:rPr>
                <w:rFonts w:hint="eastAsia"/>
                <w:kern w:val="0"/>
                <w:szCs w:val="21"/>
              </w:rPr>
              <w:t>方式</w:t>
            </w:r>
          </w:p>
        </w:tc>
        <w:tc>
          <w:tcPr>
            <w:tcW w:w="982" w:type="dxa"/>
            <w:gridSpan w:val="3"/>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iCs/>
                <w:szCs w:val="21"/>
              </w:rPr>
            </w:pPr>
            <w:r>
              <w:rPr>
                <w:rFonts w:hint="eastAsia"/>
                <w:iCs/>
                <w:szCs w:val="21"/>
              </w:rPr>
              <w:t>具体描述</w:t>
            </w:r>
          </w:p>
        </w:tc>
        <w:tc>
          <w:tcPr>
            <w:tcW w:w="1003" w:type="dxa"/>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rPr>
              <w:t>设备名称</w:t>
            </w:r>
            <w:r>
              <w:rPr>
                <w:rFonts w:hint="eastAsia"/>
                <w:kern w:val="0"/>
                <w:szCs w:val="21"/>
              </w:rPr>
              <w:t>及型</w:t>
            </w:r>
            <w:r>
              <w:rPr>
                <w:rFonts w:hint="eastAsia"/>
                <w:kern w:val="0"/>
                <w:szCs w:val="21"/>
              </w:rPr>
              <w:lastRenderedPageBreak/>
              <w:t>号</w:t>
            </w:r>
          </w:p>
        </w:tc>
        <w:tc>
          <w:tcPr>
            <w:tcW w:w="992" w:type="dxa"/>
            <w:gridSpan w:val="2"/>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rPr>
              <w:lastRenderedPageBreak/>
              <w:t>设备</w:t>
            </w:r>
            <w:r>
              <w:rPr>
                <w:rFonts w:hint="eastAsia"/>
                <w:kern w:val="0"/>
                <w:szCs w:val="21"/>
              </w:rPr>
              <w:t>安装位置</w:t>
            </w:r>
          </w:p>
        </w:tc>
        <w:tc>
          <w:tcPr>
            <w:tcW w:w="982" w:type="dxa"/>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监测频次</w:t>
            </w:r>
          </w:p>
        </w:tc>
        <w:tc>
          <w:tcPr>
            <w:tcW w:w="1002" w:type="dxa"/>
            <w:gridSpan w:val="3"/>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rPr>
              <w:t>设备</w:t>
            </w:r>
            <w:r>
              <w:rPr>
                <w:rFonts w:hint="eastAsia"/>
                <w:kern w:val="0"/>
                <w:szCs w:val="21"/>
              </w:rPr>
              <w:t>精度</w:t>
            </w:r>
          </w:p>
        </w:tc>
        <w:tc>
          <w:tcPr>
            <w:tcW w:w="998" w:type="dxa"/>
            <w:tcBorders>
              <w:top w:val="single" w:sz="4" w:space="0" w:color="auto"/>
              <w:left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kern w:val="0"/>
                <w:szCs w:val="21"/>
              </w:rPr>
            </w:pPr>
            <w:r>
              <w:rPr>
                <w:rFonts w:hint="eastAsia"/>
                <w:kern w:val="0"/>
                <w:szCs w:val="21"/>
              </w:rPr>
              <w:t>规定的</w:t>
            </w:r>
            <w:r>
              <w:rPr>
                <w:rFonts w:hint="eastAsia"/>
              </w:rPr>
              <w:t>设备检</w:t>
            </w:r>
            <w:r>
              <w:rPr>
                <w:rFonts w:hint="eastAsia"/>
              </w:rPr>
              <w:lastRenderedPageBreak/>
              <w:t>定</w:t>
            </w:r>
            <w:r>
              <w:rPr>
                <w:rFonts w:hint="eastAsia"/>
              </w:rPr>
              <w:t>/</w:t>
            </w:r>
            <w:r>
              <w:rPr>
                <w:rFonts w:hint="eastAsia"/>
                <w:kern w:val="0"/>
                <w:szCs w:val="21"/>
              </w:rPr>
              <w:t>校准频次</w:t>
            </w:r>
          </w:p>
        </w:tc>
        <w:tc>
          <w:tcPr>
            <w:tcW w:w="987" w:type="dxa"/>
            <w:vMerge/>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left"/>
              <w:rPr>
                <w:szCs w:val="21"/>
              </w:rPr>
            </w:pPr>
          </w:p>
        </w:tc>
        <w:tc>
          <w:tcPr>
            <w:tcW w:w="997" w:type="dxa"/>
            <w:gridSpan w:val="2"/>
            <w:vMerge/>
            <w:tcBorders>
              <w:left w:val="single" w:sz="4" w:space="0" w:color="auto"/>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left"/>
              <w:rPr>
                <w:szCs w:val="21"/>
              </w:rPr>
            </w:pPr>
          </w:p>
        </w:tc>
        <w:tc>
          <w:tcPr>
            <w:tcW w:w="987" w:type="dxa"/>
            <w:vMerge/>
            <w:tcBorders>
              <w:left w:val="single" w:sz="4" w:space="0" w:color="auto"/>
              <w:right w:val="single" w:sz="4" w:space="0" w:color="auto"/>
            </w:tcBorders>
            <w:shd w:val="clear" w:color="auto" w:fill="auto"/>
          </w:tcPr>
          <w:p w:rsidR="00506AE6" w:rsidRDefault="00506AE6">
            <w:pPr>
              <w:widowControl/>
              <w:adjustRightInd w:val="0"/>
              <w:snapToGrid w:val="0"/>
              <w:spacing w:line="240" w:lineRule="auto"/>
              <w:ind w:firstLineChars="0" w:firstLine="0"/>
              <w:jc w:val="left"/>
              <w:rPr>
                <w:szCs w:val="21"/>
              </w:rPr>
            </w:pPr>
          </w:p>
        </w:tc>
      </w:tr>
      <w:tr w:rsidR="00506AE6">
        <w:trPr>
          <w:trHeight w:val="283"/>
          <w:jc w:val="center"/>
        </w:trPr>
        <w:tc>
          <w:tcPr>
            <w:tcW w:w="3691" w:type="dxa"/>
            <w:gridSpan w:val="4"/>
            <w:tcBorders>
              <w:top w:val="single" w:sz="4" w:space="0" w:color="auto"/>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lastRenderedPageBreak/>
              <w:t>化石燃料燃烧排放总量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left"/>
              <w:rPr>
                <w:szCs w:val="21"/>
              </w:rPr>
            </w:pPr>
            <w:r>
              <w:rPr>
                <w:szCs w:val="21"/>
              </w:rPr>
              <w:t>tCO</w:t>
            </w:r>
            <w:r>
              <w:rPr>
                <w:szCs w:val="21"/>
                <w:vertAlign w:val="sub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3691" w:type="dxa"/>
            <w:gridSpan w:val="4"/>
            <w:tcBorders>
              <w:top w:val="single" w:sz="4" w:space="0" w:color="auto"/>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kern w:val="0"/>
                <w:szCs w:val="21"/>
              </w:rPr>
              <w:t>化石燃料</w:t>
            </w:r>
            <w:r>
              <w:rPr>
                <w:i/>
                <w:iCs/>
                <w:kern w:val="0"/>
                <w:szCs w:val="21"/>
              </w:rPr>
              <w:t>i</w:t>
            </w:r>
            <w:r>
              <w:rPr>
                <w:rFonts w:hint="eastAsia"/>
                <w:szCs w:val="21"/>
              </w:rPr>
              <w:t>消耗量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left"/>
              <w:rPr>
                <w:szCs w:val="21"/>
              </w:rPr>
            </w:pPr>
            <w:r>
              <w:rPr>
                <w:szCs w:val="21"/>
              </w:rPr>
              <w:t>t</w:t>
            </w:r>
            <w:r>
              <w:rPr>
                <w:rFonts w:hint="eastAsia"/>
                <w:szCs w:val="21"/>
              </w:rPr>
              <w:t>或</w:t>
            </w:r>
            <w:r>
              <w:rPr>
                <w:szCs w:val="21"/>
              </w:rPr>
              <w:t>10</w:t>
            </w:r>
            <w:r>
              <w:rPr>
                <w:szCs w:val="21"/>
                <w:vertAlign w:val="superscript"/>
              </w:rPr>
              <w:t>4</w:t>
            </w:r>
            <w:r>
              <w:rPr>
                <w:szCs w:val="21"/>
              </w:rPr>
              <w:t>Nm</w:t>
            </w:r>
            <w:r>
              <w:rPr>
                <w:szCs w:val="21"/>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kern w:val="0"/>
                <w:szCs w:val="21"/>
              </w:rPr>
              <w:t>化石燃料</w:t>
            </w:r>
            <w:r>
              <w:rPr>
                <w:i/>
                <w:iCs/>
                <w:kern w:val="0"/>
                <w:szCs w:val="21"/>
              </w:rPr>
              <w:t>i</w:t>
            </w:r>
            <w:r>
              <w:rPr>
                <w:rFonts w:hint="eastAsia"/>
                <w:kern w:val="0"/>
                <w:szCs w:val="21"/>
              </w:rPr>
              <w:t>收到基</w:t>
            </w:r>
            <w:r>
              <w:rPr>
                <w:rFonts w:hint="eastAsia"/>
                <w:szCs w:val="21"/>
              </w:rPr>
              <w:t>低位发热量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left"/>
              <w:rPr>
                <w:szCs w:val="21"/>
              </w:rPr>
            </w:pPr>
            <w:r>
              <w:rPr>
                <w:szCs w:val="21"/>
              </w:rPr>
              <w:t>GJ/t</w:t>
            </w:r>
            <w:r>
              <w:rPr>
                <w:rFonts w:hint="eastAsia"/>
                <w:szCs w:val="21"/>
              </w:rPr>
              <w:t>或</w:t>
            </w:r>
            <w:r>
              <w:rPr>
                <w:szCs w:val="21"/>
              </w:rPr>
              <w:t>GJ/10</w:t>
            </w:r>
            <w:r>
              <w:rPr>
                <w:szCs w:val="21"/>
                <w:vertAlign w:val="superscript"/>
              </w:rPr>
              <w:t>4</w:t>
            </w:r>
            <w:r>
              <w:rPr>
                <w:szCs w:val="21"/>
              </w:rPr>
              <w:t>Nm</w:t>
            </w:r>
            <w:r>
              <w:rPr>
                <w:szCs w:val="21"/>
                <w:vertAlign w:val="superscript"/>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kern w:val="0"/>
                <w:szCs w:val="21"/>
              </w:rPr>
              <w:t>化石燃料</w:t>
            </w:r>
            <w:r>
              <w:rPr>
                <w:i/>
                <w:iCs/>
                <w:kern w:val="0"/>
                <w:szCs w:val="21"/>
              </w:rPr>
              <w:t>i</w:t>
            </w:r>
            <w:r>
              <w:rPr>
                <w:rFonts w:hint="eastAsia"/>
                <w:szCs w:val="21"/>
              </w:rPr>
              <w:t>单位热值含碳量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left"/>
              <w:rPr>
                <w:szCs w:val="21"/>
              </w:rPr>
            </w:pPr>
            <w:r>
              <w:rPr>
                <w:szCs w:val="21"/>
              </w:rPr>
              <w:t>tC/GJ</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缺省值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kern w:val="0"/>
                <w:szCs w:val="21"/>
              </w:rPr>
              <w:t>化石燃料</w:t>
            </w:r>
            <w:r>
              <w:rPr>
                <w:i/>
                <w:iCs/>
                <w:kern w:val="0"/>
                <w:szCs w:val="21"/>
              </w:rPr>
              <w:t>i</w:t>
            </w:r>
            <w:r>
              <w:rPr>
                <w:rFonts w:hint="eastAsia"/>
                <w:szCs w:val="21"/>
              </w:rPr>
              <w:t>碳氧化率</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left"/>
              <w:rPr>
                <w:szCs w:val="21"/>
              </w:rPr>
            </w:pPr>
            <w:r>
              <w:rPr>
                <w:szCs w:val="21"/>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缺省值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过程排放总量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熟料生产的过程排放量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净购入使用电力产生的排放量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净购入使用电量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MW·h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购入总电量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MW·h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通过市场化交易购入使用的非化石能源电力消费量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MW·h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转供输出总电量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MW·h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转供输出电量中包括的通过市场化交易购入使用的非化石能源电力消费量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MW·h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电力排放因子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r>
              <w:rPr>
                <w:szCs w:val="21"/>
              </w:rPr>
              <w:t>/(MW·h)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缺省值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净购入使用热力产生的排放量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净购入使用热量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GJ</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购入总热量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GJ</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输出总热量</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GJ</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热力排放因子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r>
              <w:rPr>
                <w:szCs w:val="21"/>
              </w:rPr>
              <w:t>/GJ</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缺省值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自备电厂排放量</w:t>
            </w:r>
            <w:r>
              <w:rPr>
                <w:szCs w:val="21"/>
                <w:vertAlign w:val="superscript"/>
              </w:rPr>
              <w:t>*</w:t>
            </w:r>
            <w:r>
              <w:rPr>
                <w:rStyle w:val="afff8"/>
                <w:kern w:val="0"/>
                <w:szCs w:val="21"/>
              </w:rPr>
              <w:footnoteReference w:id="12"/>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企业层级碳排放总量（不包括净购入使用电力和热力产生的排放）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3691" w:type="dxa"/>
            <w:gridSpan w:val="4"/>
            <w:tcBorders>
              <w:left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adjustRightInd w:val="0"/>
              <w:snapToGrid w:val="0"/>
              <w:spacing w:line="240" w:lineRule="auto"/>
              <w:ind w:firstLineChars="0" w:firstLine="0"/>
              <w:rPr>
                <w:szCs w:val="21"/>
              </w:rPr>
            </w:pPr>
            <w:r>
              <w:rPr>
                <w:rFonts w:hint="eastAsia"/>
                <w:szCs w:val="21"/>
              </w:rPr>
              <w:t>企业层级碳排放总量（包括净购入使用电力和热力产生的排放）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rPr>
                <w:szCs w:val="21"/>
              </w:rPr>
            </w:pPr>
            <w:r>
              <w:rPr>
                <w:szCs w:val="21"/>
              </w:rPr>
              <w:t>tCO</w:t>
            </w:r>
            <w:r>
              <w:rPr>
                <w:szCs w:val="21"/>
                <w:vertAlign w:val="subscript"/>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9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1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adjustRightInd w:val="0"/>
              <w:snapToGrid w:val="0"/>
              <w:spacing w:line="240" w:lineRule="auto"/>
              <w:ind w:firstLineChars="0" w:firstLine="0"/>
              <w:jc w:val="center"/>
              <w:rPr>
                <w:szCs w:val="21"/>
              </w:rPr>
            </w:pPr>
            <w:r>
              <w:rPr>
                <w:szCs w:val="21"/>
              </w:rPr>
              <w:t>/</w:t>
            </w:r>
          </w:p>
        </w:tc>
      </w:tr>
      <w:tr w:rsidR="00506AE6">
        <w:trPr>
          <w:trHeight w:val="283"/>
          <w:jc w:val="center"/>
        </w:trPr>
        <w:tc>
          <w:tcPr>
            <w:tcW w:w="15031" w:type="dxa"/>
            <w:gridSpan w:val="2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rPr>
                <w:b/>
                <w:bCs/>
                <w:kern w:val="0"/>
                <w:szCs w:val="21"/>
              </w:rPr>
            </w:pPr>
            <w:r>
              <w:rPr>
                <w:b/>
                <w:bCs/>
                <w:color w:val="000000"/>
                <w:kern w:val="0"/>
                <w:szCs w:val="21"/>
              </w:rPr>
              <w:lastRenderedPageBreak/>
              <w:t>D.</w:t>
            </w:r>
            <w:r>
              <w:rPr>
                <w:rFonts w:hint="eastAsia"/>
                <w:b/>
                <w:bCs/>
                <w:color w:val="000000"/>
                <w:kern w:val="0"/>
                <w:szCs w:val="21"/>
              </w:rPr>
              <w:t>6</w:t>
            </w:r>
            <w:r>
              <w:rPr>
                <w:b/>
                <w:bCs/>
                <w:color w:val="000000"/>
                <w:kern w:val="0"/>
                <w:szCs w:val="21"/>
              </w:rPr>
              <w:t xml:space="preserve">  </w:t>
            </w:r>
            <w:r>
              <w:rPr>
                <w:rFonts w:hint="eastAsia"/>
                <w:b/>
                <w:bCs/>
                <w:color w:val="000000"/>
                <w:kern w:val="0"/>
                <w:szCs w:val="21"/>
              </w:rPr>
              <w:t>燃煤收到基低位发热量、熟料中氧化钙和氧化镁含量检测的采样、制样方案（实测时适用）</w:t>
            </w:r>
          </w:p>
        </w:tc>
      </w:tr>
      <w:tr w:rsidR="00506AE6">
        <w:trPr>
          <w:trHeight w:val="283"/>
          <w:jc w:val="center"/>
        </w:trPr>
        <w:tc>
          <w:tcPr>
            <w:tcW w:w="15031" w:type="dxa"/>
            <w:gridSpan w:val="2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pStyle w:val="a5"/>
              <w:numPr>
                <w:ilvl w:val="0"/>
                <w:numId w:val="0"/>
              </w:numPr>
              <w:adjustRightInd w:val="0"/>
              <w:spacing w:line="240" w:lineRule="auto"/>
              <w:ind w:firstLineChars="50" w:firstLine="105"/>
            </w:pPr>
            <w:r>
              <w:rPr>
                <w:rFonts w:hint="eastAsia"/>
              </w:rPr>
              <w:t>1</w:t>
            </w:r>
            <w:r>
              <w:t xml:space="preserve">. </w:t>
            </w:r>
            <w:r>
              <w:rPr>
                <w:rFonts w:hint="eastAsia"/>
              </w:rPr>
              <w:t>采样方案</w:t>
            </w:r>
          </w:p>
          <w:p w:rsidR="00506AE6" w:rsidRDefault="0072598A">
            <w:pPr>
              <w:widowControl/>
              <w:adjustRightInd w:val="0"/>
              <w:snapToGrid w:val="0"/>
              <w:spacing w:line="240" w:lineRule="auto"/>
              <w:ind w:firstLineChars="0" w:firstLine="0"/>
              <w:rPr>
                <w:color w:val="000000"/>
                <w:kern w:val="0"/>
                <w:szCs w:val="21"/>
              </w:rPr>
            </w:pPr>
            <w:r>
              <w:rPr>
                <w:rFonts w:hint="eastAsia"/>
                <w:color w:val="000000"/>
                <w:kern w:val="0"/>
                <w:szCs w:val="21"/>
              </w:rPr>
              <w:t>（包括采样依据、采样点、采样频次、采样方式、采样质量和记录等）</w:t>
            </w:r>
          </w:p>
          <w:p w:rsidR="00506AE6" w:rsidRDefault="00506AE6">
            <w:pPr>
              <w:widowControl/>
              <w:adjustRightInd w:val="0"/>
              <w:snapToGrid w:val="0"/>
              <w:spacing w:line="240" w:lineRule="auto"/>
              <w:ind w:firstLineChars="0" w:firstLine="0"/>
              <w:rPr>
                <w:color w:val="000000"/>
                <w:kern w:val="0"/>
                <w:szCs w:val="21"/>
              </w:rPr>
            </w:pPr>
          </w:p>
          <w:p w:rsidR="00506AE6" w:rsidRDefault="00506AE6">
            <w:pPr>
              <w:widowControl/>
              <w:adjustRightInd w:val="0"/>
              <w:snapToGrid w:val="0"/>
              <w:spacing w:line="240" w:lineRule="auto"/>
              <w:ind w:firstLineChars="0" w:firstLine="0"/>
              <w:rPr>
                <w:color w:val="000000"/>
                <w:kern w:val="0"/>
                <w:szCs w:val="21"/>
              </w:rPr>
            </w:pPr>
          </w:p>
          <w:p w:rsidR="00506AE6" w:rsidRDefault="0072598A">
            <w:pPr>
              <w:pStyle w:val="a5"/>
              <w:numPr>
                <w:ilvl w:val="0"/>
                <w:numId w:val="0"/>
              </w:numPr>
              <w:adjustRightInd w:val="0"/>
              <w:spacing w:line="240" w:lineRule="auto"/>
              <w:ind w:firstLineChars="50" w:firstLine="105"/>
            </w:pPr>
            <w:r>
              <w:rPr>
                <w:rFonts w:hint="eastAsia"/>
              </w:rPr>
              <w:t>2</w:t>
            </w:r>
            <w:r>
              <w:t xml:space="preserve">. </w:t>
            </w:r>
            <w:r>
              <w:rPr>
                <w:rFonts w:hint="eastAsia"/>
              </w:rPr>
              <w:t>制样方案</w:t>
            </w:r>
          </w:p>
          <w:p w:rsidR="00506AE6" w:rsidRDefault="0072598A">
            <w:pPr>
              <w:widowControl/>
              <w:adjustRightInd w:val="0"/>
              <w:snapToGrid w:val="0"/>
              <w:spacing w:line="240" w:lineRule="auto"/>
              <w:ind w:firstLineChars="0" w:firstLine="0"/>
              <w:rPr>
                <w:color w:val="000000"/>
                <w:kern w:val="0"/>
                <w:szCs w:val="21"/>
              </w:rPr>
            </w:pPr>
            <w:r>
              <w:rPr>
                <w:rFonts w:hint="eastAsia"/>
                <w:color w:val="000000"/>
                <w:kern w:val="0"/>
                <w:szCs w:val="21"/>
              </w:rPr>
              <w:t>（包括制样方法、制样设施、样品保存和记录等）</w:t>
            </w:r>
          </w:p>
          <w:p w:rsidR="00506AE6" w:rsidRDefault="00506AE6">
            <w:pPr>
              <w:widowControl/>
              <w:adjustRightInd w:val="0"/>
              <w:snapToGrid w:val="0"/>
              <w:spacing w:line="240" w:lineRule="auto"/>
              <w:ind w:firstLineChars="0" w:firstLine="0"/>
              <w:rPr>
                <w:color w:val="000000"/>
                <w:kern w:val="0"/>
                <w:szCs w:val="21"/>
              </w:rPr>
            </w:pPr>
          </w:p>
          <w:p w:rsidR="00506AE6" w:rsidRDefault="00506AE6">
            <w:pPr>
              <w:widowControl/>
              <w:adjustRightInd w:val="0"/>
              <w:snapToGrid w:val="0"/>
              <w:spacing w:line="240" w:lineRule="auto"/>
              <w:ind w:firstLineChars="0" w:firstLine="0"/>
              <w:rPr>
                <w:b/>
                <w:bCs/>
                <w:kern w:val="0"/>
                <w:szCs w:val="21"/>
              </w:rPr>
            </w:pPr>
          </w:p>
        </w:tc>
      </w:tr>
      <w:tr w:rsidR="00506AE6">
        <w:trPr>
          <w:trHeight w:val="283"/>
          <w:jc w:val="center"/>
        </w:trPr>
        <w:tc>
          <w:tcPr>
            <w:tcW w:w="15031" w:type="dxa"/>
            <w:gridSpan w:val="2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rPr>
                <w:b/>
                <w:bCs/>
                <w:kern w:val="0"/>
                <w:szCs w:val="21"/>
              </w:rPr>
            </w:pPr>
            <w:r>
              <w:rPr>
                <w:b/>
                <w:bCs/>
                <w:color w:val="000000"/>
                <w:kern w:val="0"/>
                <w:szCs w:val="21"/>
              </w:rPr>
              <w:t>D.</w:t>
            </w:r>
            <w:r>
              <w:rPr>
                <w:rFonts w:hint="eastAsia"/>
                <w:b/>
                <w:bCs/>
                <w:color w:val="000000"/>
                <w:kern w:val="0"/>
                <w:szCs w:val="21"/>
              </w:rPr>
              <w:t>7</w:t>
            </w:r>
            <w:r>
              <w:rPr>
                <w:b/>
                <w:bCs/>
                <w:color w:val="000000"/>
                <w:kern w:val="0"/>
                <w:szCs w:val="21"/>
              </w:rPr>
              <w:t xml:space="preserve">  </w:t>
            </w:r>
            <w:r>
              <w:rPr>
                <w:rFonts w:hint="eastAsia"/>
                <w:b/>
                <w:bCs/>
                <w:color w:val="000000"/>
                <w:kern w:val="0"/>
                <w:szCs w:val="21"/>
              </w:rPr>
              <w:t>数据内部质量控制和质量保证相关规定</w:t>
            </w:r>
          </w:p>
        </w:tc>
      </w:tr>
      <w:tr w:rsidR="00506AE6">
        <w:trPr>
          <w:trHeight w:val="283"/>
          <w:jc w:val="center"/>
        </w:trPr>
        <w:tc>
          <w:tcPr>
            <w:tcW w:w="15031" w:type="dxa"/>
            <w:gridSpan w:val="2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pStyle w:val="a5"/>
              <w:numPr>
                <w:ilvl w:val="0"/>
                <w:numId w:val="0"/>
              </w:numPr>
              <w:adjustRightInd w:val="0"/>
              <w:spacing w:line="240" w:lineRule="auto"/>
              <w:ind w:firstLineChars="50" w:firstLine="105"/>
            </w:pPr>
            <w:r>
              <w:rPr>
                <w:rFonts w:hint="eastAsia"/>
              </w:rPr>
              <w:t>1</w:t>
            </w:r>
            <w:r>
              <w:t xml:space="preserve">. </w:t>
            </w:r>
            <w:r>
              <w:rPr>
                <w:rFonts w:hint="eastAsia"/>
              </w:rPr>
              <w:t>内部管理制度和质量保证体系</w:t>
            </w:r>
          </w:p>
          <w:p w:rsidR="00506AE6" w:rsidRDefault="0072598A">
            <w:pPr>
              <w:adjustRightInd w:val="0"/>
              <w:spacing w:line="240" w:lineRule="auto"/>
              <w:ind w:firstLineChars="0" w:firstLine="0"/>
              <w:rPr>
                <w:color w:val="000000"/>
              </w:rPr>
            </w:pPr>
            <w:r>
              <w:rPr>
                <w:rFonts w:hint="eastAsia"/>
                <w:color w:val="000000"/>
              </w:rPr>
              <w:t>（</w:t>
            </w:r>
            <w:r>
              <w:rPr>
                <w:color w:val="000000"/>
              </w:rPr>
              <w:t>1</w:t>
            </w:r>
            <w:r>
              <w:rPr>
                <w:rFonts w:hint="eastAsia"/>
                <w:color w:val="000000"/>
              </w:rPr>
              <w:t>）明确排放相关计量、检测、核算、报告和管理工作的负责部门及其职责，以及具体工作要求、工作流程等。指定专职人员负责温室气体排放核算和报告工作等；</w:t>
            </w:r>
          </w:p>
          <w:p w:rsidR="00506AE6" w:rsidRDefault="0072598A">
            <w:pPr>
              <w:pStyle w:val="a5"/>
              <w:numPr>
                <w:ilvl w:val="0"/>
                <w:numId w:val="0"/>
              </w:numPr>
              <w:adjustRightInd w:val="0"/>
              <w:spacing w:line="240" w:lineRule="auto"/>
              <w:rPr>
                <w:color w:val="000000"/>
              </w:rPr>
            </w:pPr>
            <w:r>
              <w:rPr>
                <w:rFonts w:hint="eastAsia"/>
                <w:color w:val="000000"/>
              </w:rPr>
              <w:t>（</w:t>
            </w:r>
            <w:r>
              <w:rPr>
                <w:rFonts w:hint="eastAsia"/>
                <w:color w:val="000000"/>
              </w:rPr>
              <w:t>2</w:t>
            </w:r>
            <w:r>
              <w:rPr>
                <w:rFonts w:hint="eastAsia"/>
                <w:color w:val="000000"/>
              </w:rPr>
              <w:t>）对于按照本文件要求使用依法经计量检定合格或者校准的计量器具开展温室气体排放相关检验检测的，应当明确建立计量器具使用和管理制度，确定计量器具管理和维护的部门及人员职责等；</w:t>
            </w:r>
          </w:p>
          <w:p w:rsidR="00506AE6" w:rsidRDefault="0072598A">
            <w:pPr>
              <w:adjustRightInd w:val="0"/>
              <w:spacing w:line="240" w:lineRule="auto"/>
              <w:ind w:firstLineChars="0" w:firstLine="0"/>
              <w:rPr>
                <w:color w:val="000000"/>
                <w:kern w:val="0"/>
                <w:szCs w:val="21"/>
              </w:rPr>
            </w:pPr>
            <w:r>
              <w:rPr>
                <w:rFonts w:hint="eastAsia"/>
                <w:color w:val="000000"/>
              </w:rPr>
              <w:t>（</w:t>
            </w:r>
            <w:r>
              <w:rPr>
                <w:color w:val="000000"/>
              </w:rPr>
              <w:t>3</w:t>
            </w:r>
            <w:r>
              <w:rPr>
                <w:rFonts w:hint="eastAsia"/>
                <w:color w:val="000000"/>
              </w:rPr>
              <w:t>）对燃煤消耗量、燃煤收到基低位发热量（实测时适用）、熟料产量、</w:t>
            </w:r>
            <w:r>
              <w:rPr>
                <w:color w:val="000000"/>
              </w:rPr>
              <w:tab/>
            </w:r>
            <w:r>
              <w:rPr>
                <w:rFonts w:hint="eastAsia"/>
                <w:color w:val="000000"/>
              </w:rPr>
              <w:t>熟料中氧化钙和氧化镁含量（实测时适用）、非碳酸盐替代原料消耗量、熟料生产线总消耗电量、</w:t>
            </w:r>
            <w:r>
              <w:rPr>
                <w:color w:val="000000"/>
              </w:rPr>
              <w:tab/>
            </w:r>
            <w:r>
              <w:rPr>
                <w:rFonts w:hint="eastAsia"/>
                <w:color w:val="000000"/>
              </w:rPr>
              <w:t>余热电站发电量、购入电网非化石能源电量、自发自用非化石能源电量等关键参数，应建立</w:t>
            </w:r>
            <w:r>
              <w:rPr>
                <w:rFonts w:hint="eastAsia"/>
              </w:rPr>
              <w:t>计量器具和检测设备</w:t>
            </w:r>
            <w:r>
              <w:rPr>
                <w:rFonts w:hint="eastAsia"/>
                <w:color w:val="000000"/>
              </w:rPr>
              <w:t>台账，明确规定</w:t>
            </w:r>
            <w:r>
              <w:rPr>
                <w:rFonts w:hint="eastAsia"/>
              </w:rPr>
              <w:t>计量器具和检测设备</w:t>
            </w:r>
            <w:r>
              <w:rPr>
                <w:rFonts w:hint="eastAsia"/>
                <w:color w:val="000000"/>
              </w:rPr>
              <w:t>类型（皮带秤、电子汽车衡、电表等）及型号、安装位置</w:t>
            </w:r>
            <w:r>
              <w:rPr>
                <w:rFonts w:hint="eastAsia"/>
                <w:color w:val="000000"/>
              </w:rPr>
              <w:t>、测量频次、</w:t>
            </w:r>
            <w:r>
              <w:rPr>
                <w:rFonts w:hint="eastAsia"/>
              </w:rPr>
              <w:t>计量器具和检测设备</w:t>
            </w:r>
            <w:r>
              <w:rPr>
                <w:rFonts w:hint="eastAsia"/>
                <w:color w:val="000000"/>
              </w:rPr>
              <w:t>精度，以及规定的</w:t>
            </w:r>
            <w:r>
              <w:rPr>
                <w:rFonts w:hint="eastAsia"/>
              </w:rPr>
              <w:t>计量器具和检测设备</w:t>
            </w:r>
            <w:r>
              <w:rPr>
                <w:rFonts w:hint="eastAsia"/>
                <w:color w:val="000000"/>
              </w:rPr>
              <w:t>检定</w:t>
            </w:r>
            <w:r>
              <w:rPr>
                <w:rFonts w:hint="eastAsia"/>
                <w:color w:val="000000"/>
              </w:rPr>
              <w:t>/</w:t>
            </w:r>
            <w:r>
              <w:rPr>
                <w:rFonts w:hint="eastAsia"/>
                <w:color w:val="000000"/>
              </w:rPr>
              <w:t>校准频次，并保留检定</w:t>
            </w:r>
            <w:r>
              <w:rPr>
                <w:rFonts w:hint="eastAsia"/>
                <w:color w:val="000000"/>
              </w:rPr>
              <w:t>/</w:t>
            </w:r>
            <w:r>
              <w:rPr>
                <w:rFonts w:hint="eastAsia"/>
                <w:color w:val="000000"/>
              </w:rPr>
              <w:t>校准相关原始凭证；</w:t>
            </w:r>
          </w:p>
          <w:p w:rsidR="00506AE6" w:rsidRDefault="0072598A">
            <w:pPr>
              <w:widowControl/>
              <w:adjustRightInd w:val="0"/>
              <w:snapToGrid w:val="0"/>
              <w:spacing w:line="240" w:lineRule="auto"/>
              <w:rPr>
                <w:color w:val="000000"/>
                <w:kern w:val="0"/>
                <w:szCs w:val="21"/>
              </w:rPr>
            </w:pPr>
            <w:r>
              <w:rPr>
                <w:rFonts w:hint="eastAsia"/>
              </w:rPr>
              <w:t>计量器具和检</w:t>
            </w:r>
            <w:r>
              <w:rPr>
                <w:rFonts w:hint="eastAsia"/>
                <w:color w:val="000000"/>
                <w:kern w:val="0"/>
                <w:szCs w:val="21"/>
              </w:rPr>
              <w:t>测设备台账应包括关键参数的所有计量方式实现分类管理，并注明采用哪个设备计量结果作为核算数据获取来源（即对应</w:t>
            </w:r>
            <w:r>
              <w:rPr>
                <w:color w:val="000000"/>
                <w:kern w:val="0"/>
                <w:szCs w:val="21"/>
              </w:rPr>
              <w:t>D.4</w:t>
            </w:r>
            <w:r>
              <w:rPr>
                <w:rFonts w:hint="eastAsia"/>
                <w:color w:val="000000"/>
                <w:kern w:val="0"/>
                <w:szCs w:val="21"/>
              </w:rPr>
              <w:t>部分），例如：</w:t>
            </w:r>
          </w:p>
          <w:tbl>
            <w:tblPr>
              <w:tblStyle w:val="afff"/>
              <w:tblW w:w="14742" w:type="dxa"/>
              <w:jc w:val="center"/>
              <w:tblLayout w:type="fixed"/>
              <w:tblLook w:val="04A0" w:firstRow="1" w:lastRow="0" w:firstColumn="1" w:lastColumn="0" w:noHBand="0" w:noVBand="1"/>
            </w:tblPr>
            <w:tblGrid>
              <w:gridCol w:w="2268"/>
              <w:gridCol w:w="1701"/>
              <w:gridCol w:w="1134"/>
              <w:gridCol w:w="1701"/>
              <w:gridCol w:w="1134"/>
              <w:gridCol w:w="1134"/>
              <w:gridCol w:w="1134"/>
              <w:gridCol w:w="1134"/>
              <w:gridCol w:w="3402"/>
            </w:tblGrid>
            <w:tr w:rsidR="00506AE6">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参数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hint="eastAsia"/>
                    </w:rPr>
                    <w:t>计量器具和检测设备</w:t>
                  </w:r>
                  <w:r>
                    <w:rPr>
                      <w:rFonts w:ascii="Times New Roman" w:hAnsi="Times New Roman" w:hint="eastAsia"/>
                      <w:kern w:val="0"/>
                      <w:szCs w:val="21"/>
                    </w:rPr>
                    <w:t>类型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型号</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安装位置</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测量频次</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精度</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是否检定</w:t>
                  </w:r>
                  <w:r>
                    <w:rPr>
                      <w:rFonts w:ascii="Times New Roman" w:hAnsi="Times New Roman"/>
                      <w:kern w:val="0"/>
                      <w:szCs w:val="21"/>
                    </w:rPr>
                    <w:t>/</w:t>
                  </w:r>
                  <w:r>
                    <w:rPr>
                      <w:rFonts w:ascii="Times New Roman" w:hAnsi="Times New Roman" w:hint="eastAsia"/>
                      <w:kern w:val="0"/>
                      <w:szCs w:val="21"/>
                    </w:rPr>
                    <w:t>校准</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检定</w:t>
                  </w:r>
                  <w:r>
                    <w:rPr>
                      <w:rFonts w:ascii="Times New Roman" w:hAnsi="Times New Roman"/>
                      <w:kern w:val="0"/>
                      <w:szCs w:val="21"/>
                    </w:rPr>
                    <w:t>/</w:t>
                  </w:r>
                  <w:r>
                    <w:rPr>
                      <w:rFonts w:ascii="Times New Roman" w:hAnsi="Times New Roman" w:hint="eastAsia"/>
                      <w:kern w:val="0"/>
                      <w:szCs w:val="21"/>
                    </w:rPr>
                    <w:t>校准频次</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说明</w:t>
                  </w:r>
                </w:p>
              </w:tc>
            </w:tr>
            <w:tr w:rsidR="00506AE6">
              <w:trPr>
                <w:jc w:val="center"/>
              </w:trPr>
              <w:tc>
                <w:tcPr>
                  <w:tcW w:w="2268" w:type="dxa"/>
                  <w:vMerge w:val="restart"/>
                  <w:tcBorders>
                    <w:top w:val="single" w:sz="4" w:space="0" w:color="000000"/>
                    <w:left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燃煤消耗量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皮带秤</w:t>
                  </w:r>
                  <w:r>
                    <w:rPr>
                      <w:rFonts w:ascii="Times New Roman" w:hAnsi="Times New Roman" w:hint="eastAsia"/>
                      <w:kern w:val="0"/>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煤粉制备车间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计量入磨煤</w:t>
                  </w:r>
                  <w:r>
                    <w:rPr>
                      <w:rFonts w:ascii="Times New Roman" w:hAnsi="Times New Roman" w:hint="eastAsia"/>
                      <w:i/>
                      <w:iCs/>
                      <w:kern w:val="0"/>
                      <w:szCs w:val="21"/>
                    </w:rPr>
                    <w:t>消耗</w:t>
                  </w:r>
                  <w:r>
                    <w:rPr>
                      <w:rFonts w:ascii="Times New Roman" w:hAnsi="Times New Roman" w:hint="eastAsia"/>
                      <w:i/>
                      <w:iCs/>
                      <w:kern w:val="0"/>
                      <w:szCs w:val="21"/>
                    </w:rPr>
                    <w:t>量</w:t>
                  </w:r>
                </w:p>
              </w:tc>
            </w:tr>
            <w:tr w:rsidR="00506AE6">
              <w:trPr>
                <w:jc w:val="center"/>
              </w:trPr>
              <w:tc>
                <w:tcPr>
                  <w:tcW w:w="2268" w:type="dxa"/>
                  <w:vMerge/>
                  <w:tcBorders>
                    <w:left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rFonts w:ascii="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r>
            <w:tr w:rsidR="00506AE6">
              <w:trPr>
                <w:jc w:val="center"/>
              </w:trPr>
              <w:tc>
                <w:tcPr>
                  <w:tcW w:w="2268" w:type="dxa"/>
                  <w:vMerge/>
                  <w:tcBorders>
                    <w:left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rFonts w:ascii="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电子汽车衡</w:t>
                  </w:r>
                  <w:r>
                    <w:rPr>
                      <w:rFonts w:ascii="Times New Roman" w:hAnsi="Times New Roman" w:hint="eastAsia"/>
                      <w:kern w:val="0"/>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进出厂</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计量进厂和外销原煤量，为进厂原煤消耗量核算数据来源</w:t>
                  </w:r>
                </w:p>
              </w:tc>
            </w:tr>
            <w:tr w:rsidR="00506AE6">
              <w:trPr>
                <w:jc w:val="center"/>
              </w:trPr>
              <w:tc>
                <w:tcPr>
                  <w:tcW w:w="2268" w:type="dxa"/>
                  <w:vMerge/>
                  <w:tcBorders>
                    <w:left w:val="single" w:sz="4" w:space="0" w:color="000000"/>
                    <w:bottom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rFonts w:ascii="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r>
            <w:tr w:rsidR="00506AE6">
              <w:trPr>
                <w:jc w:val="center"/>
              </w:trPr>
              <w:tc>
                <w:tcPr>
                  <w:tcW w:w="2268" w:type="dxa"/>
                  <w:vMerge w:val="restart"/>
                  <w:tcBorders>
                    <w:top w:val="single" w:sz="4" w:space="0" w:color="000000"/>
                    <w:left w:val="single" w:sz="4" w:space="0" w:color="000000"/>
                    <w:right w:val="single" w:sz="4" w:space="0" w:color="000000"/>
                  </w:tcBorders>
                  <w:shd w:val="clear" w:color="auto" w:fill="auto"/>
                  <w:vAlign w:val="center"/>
                </w:tcPr>
                <w:p w:rsidR="00506AE6" w:rsidRDefault="0072598A">
                  <w:pPr>
                    <w:adjustRightInd w:val="0"/>
                    <w:snapToGrid w:val="0"/>
                    <w:spacing w:line="240" w:lineRule="auto"/>
                    <w:ind w:firstLineChars="0" w:firstLine="0"/>
                    <w:jc w:val="center"/>
                    <w:rPr>
                      <w:rFonts w:ascii="宋体"/>
                      <w:szCs w:val="21"/>
                    </w:rPr>
                  </w:pPr>
                  <w:r>
                    <w:rPr>
                      <w:rFonts w:ascii="宋体" w:hint="eastAsia"/>
                      <w:color w:val="000000"/>
                    </w:rPr>
                    <w:t>燃煤收到基低位发热量（实测时适用）</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量热仪</w:t>
                  </w:r>
                  <w:r>
                    <w:rPr>
                      <w:rFonts w:ascii="Times New Roman" w:hAnsi="Times New Roman" w:hint="eastAsia"/>
                      <w:kern w:val="0"/>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化验室</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检测</w:t>
                  </w:r>
                  <w:r>
                    <w:rPr>
                      <w:rFonts w:hint="eastAsia"/>
                      <w:i/>
                      <w:iCs/>
                      <w:color w:val="000000"/>
                    </w:rPr>
                    <w:t>燃煤收到基低位发热量</w:t>
                  </w:r>
                </w:p>
              </w:tc>
            </w:tr>
            <w:tr w:rsidR="00506AE6">
              <w:trPr>
                <w:jc w:val="center"/>
              </w:trPr>
              <w:tc>
                <w:tcPr>
                  <w:tcW w:w="2268" w:type="dxa"/>
                  <w:vMerge/>
                  <w:tcBorders>
                    <w:left w:val="single" w:sz="4" w:space="0" w:color="000000"/>
                    <w:bottom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rFonts w:ascii="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r>
            <w:tr w:rsidR="00506AE6">
              <w:trPr>
                <w:jc w:val="center"/>
              </w:trPr>
              <w:tc>
                <w:tcPr>
                  <w:tcW w:w="2268" w:type="dxa"/>
                  <w:vMerge w:val="restart"/>
                  <w:tcBorders>
                    <w:top w:val="single" w:sz="4" w:space="0" w:color="000000"/>
                    <w:left w:val="single" w:sz="4" w:space="0" w:color="000000"/>
                    <w:right w:val="single" w:sz="4" w:space="0" w:color="000000"/>
                  </w:tcBorders>
                  <w:shd w:val="clear" w:color="auto" w:fill="auto"/>
                  <w:vAlign w:val="center"/>
                </w:tcPr>
                <w:p w:rsidR="00506AE6" w:rsidRDefault="0072598A">
                  <w:pPr>
                    <w:adjustRightInd w:val="0"/>
                    <w:snapToGrid w:val="0"/>
                    <w:spacing w:line="240" w:lineRule="auto"/>
                    <w:ind w:firstLineChars="0" w:firstLine="0"/>
                    <w:jc w:val="center"/>
                    <w:rPr>
                      <w:rFonts w:ascii="宋体"/>
                      <w:szCs w:val="21"/>
                    </w:rPr>
                  </w:pPr>
                  <w:r>
                    <w:rPr>
                      <w:rFonts w:ascii="宋体" w:hint="eastAsia"/>
                      <w:szCs w:val="21"/>
                    </w:rPr>
                    <w:t>熟料产量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电子汽车衡</w:t>
                  </w:r>
                  <w:r>
                    <w:rPr>
                      <w:rFonts w:ascii="Times New Roman" w:hAnsi="Times New Roman" w:hint="eastAsia"/>
                      <w:kern w:val="0"/>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进出厂</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计量外销和购入熟料重量，为熟料产量核算数据来源</w:t>
                  </w:r>
                </w:p>
              </w:tc>
            </w:tr>
            <w:tr w:rsidR="00506AE6">
              <w:trPr>
                <w:jc w:val="center"/>
              </w:trPr>
              <w:tc>
                <w:tcPr>
                  <w:tcW w:w="2268" w:type="dxa"/>
                  <w:vMerge/>
                  <w:tcBorders>
                    <w:left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rFonts w:ascii="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r>
            <w:tr w:rsidR="00506AE6">
              <w:trPr>
                <w:jc w:val="center"/>
              </w:trPr>
              <w:tc>
                <w:tcPr>
                  <w:tcW w:w="2268" w:type="dxa"/>
                  <w:vMerge/>
                  <w:tcBorders>
                    <w:left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rFonts w:ascii="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皮带秤</w:t>
                  </w:r>
                  <w:r>
                    <w:rPr>
                      <w:rFonts w:ascii="Times New Roman" w:hAnsi="Times New Roman" w:hint="eastAsia"/>
                      <w:kern w:val="0"/>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水泥粉磨车间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计量水泥粉磨系统熟料消耗量，为</w:t>
                  </w:r>
                  <w:r>
                    <w:rPr>
                      <w:rFonts w:ascii="Times New Roman" w:hAnsi="Times New Roman" w:hint="eastAsia"/>
                      <w:i/>
                      <w:iCs/>
                      <w:kern w:val="0"/>
                      <w:szCs w:val="21"/>
                    </w:rPr>
                    <w:lastRenderedPageBreak/>
                    <w:t>熟料产量核算数据来源</w:t>
                  </w:r>
                </w:p>
              </w:tc>
            </w:tr>
            <w:tr w:rsidR="00506AE6">
              <w:trPr>
                <w:jc w:val="center"/>
              </w:trPr>
              <w:tc>
                <w:tcPr>
                  <w:tcW w:w="2268" w:type="dxa"/>
                  <w:vMerge/>
                  <w:tcBorders>
                    <w:left w:val="single" w:sz="4" w:space="0" w:color="000000"/>
                    <w:bottom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rFonts w:ascii="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r>
            <w:tr w:rsidR="00506AE6">
              <w:trPr>
                <w:jc w:val="center"/>
              </w:trPr>
              <w:tc>
                <w:tcPr>
                  <w:tcW w:w="2268" w:type="dxa"/>
                  <w:vMerge w:val="restart"/>
                  <w:tcBorders>
                    <w:top w:val="single" w:sz="4" w:space="0" w:color="000000"/>
                    <w:left w:val="single" w:sz="4" w:space="0" w:color="000000"/>
                    <w:right w:val="single" w:sz="4" w:space="0" w:color="000000"/>
                  </w:tcBorders>
                  <w:shd w:val="clear" w:color="auto" w:fill="auto"/>
                  <w:vAlign w:val="center"/>
                </w:tcPr>
                <w:p w:rsidR="00506AE6" w:rsidRDefault="0072598A">
                  <w:pPr>
                    <w:adjustRightInd w:val="0"/>
                    <w:snapToGrid w:val="0"/>
                    <w:spacing w:line="240" w:lineRule="auto"/>
                    <w:ind w:firstLineChars="0" w:firstLine="0"/>
                    <w:jc w:val="center"/>
                    <w:rPr>
                      <w:rFonts w:ascii="宋体"/>
                      <w:szCs w:val="21"/>
                    </w:rPr>
                  </w:pPr>
                  <w:r>
                    <w:rPr>
                      <w:rFonts w:ascii="宋体" w:hint="eastAsia"/>
                      <w:szCs w:val="21"/>
                    </w:rPr>
                    <w:t>非碳酸盐替代原料消耗量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皮带秤</w:t>
                  </w:r>
                  <w:r>
                    <w:rPr>
                      <w:rFonts w:ascii="Times New Roman" w:hAnsi="Times New Roman" w:hint="eastAsia"/>
                      <w:kern w:val="0"/>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生料制备车间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szCs w:val="21"/>
                    </w:rPr>
                    <w:t>计量非碳酸盐替代原料消耗量</w:t>
                  </w:r>
                </w:p>
              </w:tc>
            </w:tr>
            <w:tr w:rsidR="00506AE6">
              <w:trPr>
                <w:jc w:val="center"/>
              </w:trPr>
              <w:tc>
                <w:tcPr>
                  <w:tcW w:w="2268" w:type="dxa"/>
                  <w:vMerge/>
                  <w:tcBorders>
                    <w:left w:val="single" w:sz="4" w:space="0" w:color="000000"/>
                    <w:bottom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rFonts w:ascii="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r>
            <w:tr w:rsidR="00506AE6">
              <w:trPr>
                <w:jc w:val="center"/>
              </w:trPr>
              <w:tc>
                <w:tcPr>
                  <w:tcW w:w="2268" w:type="dxa"/>
                  <w:vMerge w:val="restart"/>
                  <w:tcBorders>
                    <w:top w:val="single" w:sz="4" w:space="0" w:color="000000"/>
                    <w:left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熟料中氧化钙和氧化镁含量（实测时适用）</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荧光分析仪</w:t>
                  </w:r>
                  <w:r>
                    <w:rPr>
                      <w:rFonts w:ascii="Times New Roman" w:hAnsi="Times New Roman" w:hint="eastAsia"/>
                      <w:kern w:val="0"/>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化验室</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检测熟料中氧化钙和氧化镁含量</w:t>
                  </w:r>
                </w:p>
              </w:tc>
            </w:tr>
            <w:tr w:rsidR="00506AE6">
              <w:trPr>
                <w:jc w:val="center"/>
              </w:trPr>
              <w:tc>
                <w:tcPr>
                  <w:tcW w:w="2268" w:type="dxa"/>
                  <w:vMerge/>
                  <w:tcBorders>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r>
            <w:tr w:rsidR="00506AE6">
              <w:trPr>
                <w:jc w:val="center"/>
              </w:trPr>
              <w:tc>
                <w:tcPr>
                  <w:tcW w:w="2268" w:type="dxa"/>
                  <w:vMerge w:val="restart"/>
                  <w:tcBorders>
                    <w:top w:val="single" w:sz="4" w:space="0" w:color="000000"/>
                    <w:left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熟料生产线总消耗电量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电表</w:t>
                  </w:r>
                  <w:r>
                    <w:rPr>
                      <w:rFonts w:ascii="Times New Roman" w:hAnsi="Times New Roman"/>
                      <w:kern w:val="0"/>
                      <w:szCs w:val="21"/>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熟料生产车间</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hint="eastAsia"/>
                      <w:i/>
                      <w:iCs/>
                      <w:kern w:val="0"/>
                      <w:szCs w:val="21"/>
                    </w:rPr>
                    <w:t>计量熟料生产线各生产系统电量，为熟料生产线总消耗电量核算数据来源</w:t>
                  </w:r>
                </w:p>
              </w:tc>
            </w:tr>
            <w:tr w:rsidR="00506AE6">
              <w:trPr>
                <w:jc w:val="center"/>
              </w:trPr>
              <w:tc>
                <w:tcPr>
                  <w:tcW w:w="2268" w:type="dxa"/>
                  <w:vMerge/>
                  <w:tcBorders>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r>
            <w:tr w:rsidR="00506AE6">
              <w:trPr>
                <w:trHeight w:val="237"/>
                <w:jc w:val="center"/>
              </w:trPr>
              <w:tc>
                <w:tcPr>
                  <w:tcW w:w="2268" w:type="dxa"/>
                  <w:vMerge w:val="restart"/>
                  <w:tcBorders>
                    <w:top w:val="single" w:sz="4" w:space="0" w:color="000000"/>
                    <w:left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right="-210" w:firstLineChars="0" w:firstLine="0"/>
                    <w:jc w:val="center"/>
                    <w:rPr>
                      <w:rFonts w:ascii="Times New Roman" w:hAnsi="Times New Roman"/>
                      <w:kern w:val="0"/>
                      <w:szCs w:val="21"/>
                    </w:rPr>
                  </w:pPr>
                  <w:r>
                    <w:rPr>
                      <w:rFonts w:ascii="Times New Roman" w:hAnsi="Times New Roman" w:hint="eastAsia"/>
                      <w:szCs w:val="21"/>
                    </w:rPr>
                    <w:t>余热电站发电量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电表</w:t>
                  </w:r>
                  <w:r>
                    <w:rPr>
                      <w:rFonts w:ascii="Times New Roman" w:hAnsi="Times New Roman" w:hint="eastAsia"/>
                      <w:kern w:val="0"/>
                      <w:szCs w:val="21"/>
                    </w:rPr>
                    <w:t>1</w:t>
                  </w:r>
                  <w:r>
                    <w:rPr>
                      <w:rFonts w:ascii="Times New Roman" w:hAnsi="Times New Roman"/>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right="-210"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right="-210" w:firstLineChars="0" w:firstLine="0"/>
                    <w:jc w:val="center"/>
                    <w:rPr>
                      <w:rFonts w:ascii="Times New Roman" w:hAnsi="Times New Roman"/>
                      <w:i/>
                      <w:iCs/>
                      <w:kern w:val="0"/>
                      <w:szCs w:val="21"/>
                    </w:rPr>
                  </w:pPr>
                  <w:r>
                    <w:rPr>
                      <w:rFonts w:ascii="Times New Roman" w:hAnsi="Times New Roman" w:hint="eastAsia"/>
                      <w:i/>
                      <w:iCs/>
                      <w:kern w:val="0"/>
                      <w:szCs w:val="21"/>
                    </w:rPr>
                    <w:t>余热电站</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right="-210"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right="-210"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right="-210"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right="-210"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right="-210" w:firstLineChars="0" w:firstLine="0"/>
                    <w:jc w:val="center"/>
                    <w:rPr>
                      <w:rFonts w:ascii="Times New Roman" w:hAnsi="Times New Roman"/>
                      <w:i/>
                      <w:iCs/>
                      <w:kern w:val="0"/>
                      <w:szCs w:val="21"/>
                    </w:rPr>
                  </w:pPr>
                  <w:r>
                    <w:rPr>
                      <w:rFonts w:ascii="Times New Roman" w:hAnsi="Times New Roman" w:hint="eastAsia"/>
                      <w:i/>
                      <w:iCs/>
                      <w:szCs w:val="21"/>
                    </w:rPr>
                    <w:t>计量余热电站发电量</w:t>
                  </w:r>
                </w:p>
              </w:tc>
            </w:tr>
            <w:tr w:rsidR="00506AE6">
              <w:trPr>
                <w:jc w:val="center"/>
              </w:trPr>
              <w:tc>
                <w:tcPr>
                  <w:tcW w:w="2268" w:type="dxa"/>
                  <w:vMerge/>
                  <w:tcBorders>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right="-210"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right="-210"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right="-210" w:firstLineChars="0" w:firstLine="0"/>
                    <w:jc w:val="center"/>
                    <w:rPr>
                      <w:rFonts w:ascii="Times New Roman" w:hAnsi="Times New Roman"/>
                      <w:i/>
                      <w:iCs/>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right="-210"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right="-210"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right="-210"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right="-210"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right="-210" w:firstLineChars="0" w:firstLine="0"/>
                    <w:jc w:val="center"/>
                    <w:rPr>
                      <w:rFonts w:ascii="Times New Roman" w:hAnsi="Times New Roman"/>
                      <w:i/>
                      <w:iCs/>
                      <w:szCs w:val="21"/>
                    </w:rPr>
                  </w:pPr>
                </w:p>
              </w:tc>
            </w:tr>
            <w:tr w:rsidR="00506AE6">
              <w:trPr>
                <w:jc w:val="center"/>
              </w:trPr>
              <w:tc>
                <w:tcPr>
                  <w:tcW w:w="2268" w:type="dxa"/>
                  <w:vMerge w:val="restart"/>
                  <w:tcBorders>
                    <w:top w:val="single" w:sz="4" w:space="0" w:color="000000"/>
                    <w:left w:val="single" w:sz="4" w:space="0" w:color="000000"/>
                    <w:right w:val="single" w:sz="4" w:space="0" w:color="000000"/>
                  </w:tcBorders>
                  <w:shd w:val="clear" w:color="auto" w:fill="auto"/>
                  <w:vAlign w:val="center"/>
                </w:tcPr>
                <w:p w:rsidR="00506AE6" w:rsidRDefault="0072598A">
                  <w:pPr>
                    <w:adjustRightInd w:val="0"/>
                    <w:snapToGrid w:val="0"/>
                    <w:spacing w:line="240" w:lineRule="auto"/>
                    <w:ind w:firstLineChars="0" w:firstLine="0"/>
                    <w:jc w:val="center"/>
                    <w:rPr>
                      <w:rFonts w:ascii="宋体"/>
                      <w:szCs w:val="21"/>
                    </w:rPr>
                  </w:pPr>
                  <w:r>
                    <w:rPr>
                      <w:rFonts w:ascii="宋体" w:hint="eastAsia"/>
                      <w:color w:val="000000"/>
                    </w:rPr>
                    <w:t>购入电网非化石能源电量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kern w:val="0"/>
                      <w:szCs w:val="21"/>
                    </w:rPr>
                    <w:t>电表</w:t>
                  </w:r>
                  <w:r>
                    <w:rPr>
                      <w:rFonts w:ascii="Times New Roman" w:hAnsi="Times New Roman" w:hint="eastAsia"/>
                      <w:kern w:val="0"/>
                      <w:szCs w:val="21"/>
                    </w:rPr>
                    <w:t>1</w:t>
                  </w:r>
                  <w:r>
                    <w:rPr>
                      <w:rFonts w:ascii="Times New Roman" w:hAnsi="Times New Roman"/>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i/>
                      <w:iCs/>
                      <w:kern w:val="0"/>
                      <w:szCs w:val="21"/>
                    </w:rPr>
                    <w:t>220kV</w:t>
                  </w:r>
                  <w:r>
                    <w:rPr>
                      <w:rFonts w:ascii="Times New Roman" w:hAnsi="Times New Roman" w:hint="eastAsia"/>
                      <w:i/>
                      <w:iCs/>
                      <w:kern w:val="0"/>
                      <w:szCs w:val="21"/>
                    </w:rPr>
                    <w:t>变电站总降开关柜</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szCs w:val="21"/>
                    </w:rPr>
                  </w:pPr>
                  <w:r>
                    <w:rPr>
                      <w:rFonts w:ascii="Times New Roman" w:hAnsi="Times New Roman" w:hint="eastAsia"/>
                      <w:i/>
                      <w:iCs/>
                      <w:szCs w:val="21"/>
                    </w:rPr>
                    <w:t>计量</w:t>
                  </w:r>
                  <w:r>
                    <w:rPr>
                      <w:rFonts w:hint="eastAsia"/>
                      <w:i/>
                      <w:iCs/>
                      <w:color w:val="000000"/>
                    </w:rPr>
                    <w:t>购入电网非化石能源电量</w:t>
                  </w:r>
                </w:p>
              </w:tc>
            </w:tr>
            <w:tr w:rsidR="00506AE6">
              <w:trPr>
                <w:jc w:val="center"/>
              </w:trPr>
              <w:tc>
                <w:tcPr>
                  <w:tcW w:w="2268" w:type="dxa"/>
                  <w:vMerge/>
                  <w:tcBorders>
                    <w:left w:val="single" w:sz="4" w:space="0" w:color="000000"/>
                    <w:bottom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rFonts w:ascii="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szCs w:val="21"/>
                    </w:rPr>
                  </w:pPr>
                </w:p>
              </w:tc>
            </w:tr>
            <w:tr w:rsidR="00506AE6">
              <w:trPr>
                <w:jc w:val="center"/>
              </w:trPr>
              <w:tc>
                <w:tcPr>
                  <w:tcW w:w="2268" w:type="dxa"/>
                  <w:vMerge w:val="restart"/>
                  <w:tcBorders>
                    <w:top w:val="single" w:sz="4" w:space="0" w:color="000000"/>
                    <w:left w:val="single" w:sz="4" w:space="0" w:color="000000"/>
                    <w:right w:val="single" w:sz="4" w:space="0" w:color="000000"/>
                  </w:tcBorders>
                  <w:shd w:val="clear" w:color="auto" w:fill="auto"/>
                  <w:vAlign w:val="center"/>
                </w:tcPr>
                <w:p w:rsidR="00506AE6" w:rsidRDefault="0072598A">
                  <w:pPr>
                    <w:adjustRightInd w:val="0"/>
                    <w:snapToGrid w:val="0"/>
                    <w:spacing w:line="240" w:lineRule="auto"/>
                    <w:ind w:firstLineChars="0" w:firstLine="0"/>
                    <w:jc w:val="center"/>
                    <w:rPr>
                      <w:rFonts w:ascii="宋体"/>
                      <w:szCs w:val="21"/>
                    </w:rPr>
                  </w:pPr>
                  <w:r>
                    <w:rPr>
                      <w:rFonts w:ascii="宋体" w:hint="eastAsia"/>
                      <w:color w:val="000000"/>
                    </w:rPr>
                    <w:t>自发自用非化石能源电量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kern w:val="0"/>
                      <w:szCs w:val="21"/>
                    </w:rPr>
                    <w:t>电表</w:t>
                  </w:r>
                  <w:r>
                    <w:rPr>
                      <w:rFonts w:ascii="Times New Roman" w:hAnsi="Times New Roman" w:hint="eastAsia"/>
                      <w:kern w:val="0"/>
                      <w:szCs w:val="21"/>
                    </w:rPr>
                    <w:t>1</w:t>
                  </w:r>
                  <w:r>
                    <w:rPr>
                      <w:rFonts w:ascii="Times New Roman" w:hAnsi="Times New Roman"/>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kern w:val="0"/>
                      <w:szCs w:val="21"/>
                    </w:rPr>
                  </w:pPr>
                  <w:r>
                    <w:rPr>
                      <w:rFonts w:ascii="Times New Roman" w:hAnsi="Times New Roman"/>
                      <w:i/>
                      <w:iCs/>
                      <w:kern w:val="0"/>
                      <w:szCs w:val="21"/>
                    </w:rPr>
                    <w:t>10kV</w:t>
                  </w:r>
                  <w:r>
                    <w:rPr>
                      <w:rFonts w:ascii="Times New Roman" w:hAnsi="Times New Roman" w:hint="eastAsia"/>
                      <w:i/>
                      <w:iCs/>
                      <w:kern w:val="0"/>
                      <w:szCs w:val="21"/>
                    </w:rPr>
                    <w:t>逆变器开关柜</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i/>
                      <w:iCs/>
                      <w:szCs w:val="21"/>
                    </w:rPr>
                  </w:pPr>
                  <w:r>
                    <w:rPr>
                      <w:rFonts w:ascii="Times New Roman" w:hAnsi="Times New Roman" w:hint="eastAsia"/>
                      <w:i/>
                      <w:iCs/>
                      <w:szCs w:val="21"/>
                    </w:rPr>
                    <w:t>计量</w:t>
                  </w:r>
                  <w:r>
                    <w:rPr>
                      <w:rFonts w:hint="eastAsia"/>
                      <w:i/>
                      <w:iCs/>
                      <w:color w:val="000000"/>
                    </w:rPr>
                    <w:t>自发自用非化石能源电量</w:t>
                  </w:r>
                </w:p>
              </w:tc>
            </w:tr>
            <w:tr w:rsidR="00506AE6">
              <w:trPr>
                <w:jc w:val="center"/>
              </w:trPr>
              <w:tc>
                <w:tcPr>
                  <w:tcW w:w="2268" w:type="dxa"/>
                  <w:vMerge/>
                  <w:tcBorders>
                    <w:left w:val="single" w:sz="4" w:space="0" w:color="000000"/>
                    <w:bottom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rFonts w:ascii="宋体"/>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pStyle w:val="msolistparagraph0"/>
                    <w:widowControl/>
                    <w:adjustRightInd w:val="0"/>
                    <w:snapToGrid w:val="0"/>
                    <w:spacing w:line="240" w:lineRule="auto"/>
                    <w:ind w:firstLineChars="0" w:firstLine="0"/>
                    <w:jc w:val="center"/>
                    <w:rPr>
                      <w:rFonts w:ascii="Times New Roman" w:hAnsi="Times New Roman"/>
                      <w:kern w:val="0"/>
                      <w:szCs w:val="21"/>
                    </w:rPr>
                  </w:pPr>
                  <w:r>
                    <w:rPr>
                      <w:rFonts w:ascii="Times New Roman" w:hAnsi="Times New Roman" w:hint="eastAsia"/>
                      <w:kern w:val="0"/>
                      <w:szCs w:val="21"/>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kern w:val="0"/>
                      <w:szCs w:val="21"/>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pStyle w:val="msolistparagraph0"/>
                    <w:widowControl/>
                    <w:adjustRightInd w:val="0"/>
                    <w:snapToGrid w:val="0"/>
                    <w:spacing w:line="240" w:lineRule="auto"/>
                    <w:ind w:firstLineChars="0" w:firstLine="0"/>
                    <w:jc w:val="center"/>
                    <w:rPr>
                      <w:rFonts w:ascii="Times New Roman" w:hAnsi="Times New Roman"/>
                      <w:i/>
                      <w:iCs/>
                      <w:szCs w:val="21"/>
                    </w:rPr>
                  </w:pPr>
                </w:p>
              </w:tc>
            </w:tr>
          </w:tbl>
          <w:p w:rsidR="00506AE6" w:rsidRDefault="00506AE6">
            <w:pPr>
              <w:widowControl/>
              <w:adjustRightInd w:val="0"/>
              <w:snapToGrid w:val="0"/>
              <w:spacing w:line="240" w:lineRule="auto"/>
              <w:ind w:firstLineChars="0" w:firstLine="0"/>
              <w:rPr>
                <w:color w:val="000000"/>
                <w:kern w:val="0"/>
                <w:szCs w:val="21"/>
              </w:rPr>
            </w:pPr>
          </w:p>
          <w:p w:rsidR="00506AE6" w:rsidRDefault="0072598A">
            <w:pPr>
              <w:pStyle w:val="a5"/>
              <w:numPr>
                <w:ilvl w:val="0"/>
                <w:numId w:val="0"/>
              </w:numPr>
              <w:adjustRightInd w:val="0"/>
              <w:spacing w:line="240" w:lineRule="auto"/>
              <w:ind w:firstLineChars="50" w:firstLine="105"/>
            </w:pPr>
            <w:r>
              <w:rPr>
                <w:rFonts w:hint="eastAsia"/>
              </w:rPr>
              <w:t>2</w:t>
            </w:r>
            <w:r>
              <w:t xml:space="preserve">. </w:t>
            </w:r>
            <w:r>
              <w:rPr>
                <w:rFonts w:hint="eastAsia"/>
              </w:rPr>
              <w:t>内审制度</w:t>
            </w:r>
          </w:p>
          <w:p w:rsidR="00506AE6" w:rsidRDefault="0072598A">
            <w:pPr>
              <w:widowControl/>
              <w:adjustRightInd w:val="0"/>
              <w:snapToGrid w:val="0"/>
              <w:spacing w:line="240" w:lineRule="auto"/>
              <w:ind w:firstLineChars="0" w:firstLine="0"/>
              <w:rPr>
                <w:color w:val="000000"/>
                <w:kern w:val="0"/>
                <w:szCs w:val="21"/>
              </w:rPr>
            </w:pPr>
            <w:r>
              <w:rPr>
                <w:rFonts w:hint="eastAsia"/>
                <w:color w:val="000000"/>
                <w:kern w:val="0"/>
                <w:szCs w:val="21"/>
              </w:rPr>
              <w:t>（确保提交的排放报告和支撑材料符合技术规范、内部管理制度和质量保证要求等）</w:t>
            </w:r>
          </w:p>
          <w:p w:rsidR="00506AE6" w:rsidRDefault="00506AE6">
            <w:pPr>
              <w:widowControl/>
              <w:adjustRightInd w:val="0"/>
              <w:snapToGrid w:val="0"/>
              <w:spacing w:line="240" w:lineRule="auto"/>
              <w:ind w:firstLineChars="0" w:firstLine="0"/>
              <w:rPr>
                <w:color w:val="000000"/>
                <w:kern w:val="0"/>
                <w:szCs w:val="21"/>
              </w:rPr>
            </w:pPr>
          </w:p>
          <w:p w:rsidR="00506AE6" w:rsidRDefault="0072598A">
            <w:pPr>
              <w:pStyle w:val="a5"/>
              <w:numPr>
                <w:ilvl w:val="0"/>
                <w:numId w:val="0"/>
              </w:numPr>
              <w:adjustRightInd w:val="0"/>
              <w:spacing w:line="240" w:lineRule="auto"/>
              <w:ind w:firstLineChars="50" w:firstLine="105"/>
            </w:pPr>
            <w:r>
              <w:rPr>
                <w:rFonts w:hint="eastAsia"/>
              </w:rPr>
              <w:t>3</w:t>
            </w:r>
            <w:r>
              <w:t xml:space="preserve">. </w:t>
            </w:r>
            <w:r>
              <w:rPr>
                <w:rFonts w:hint="eastAsia"/>
              </w:rPr>
              <w:t>原始凭证和台账记录管理制度</w:t>
            </w:r>
          </w:p>
          <w:p w:rsidR="00506AE6" w:rsidRDefault="0072598A">
            <w:pPr>
              <w:widowControl/>
              <w:adjustRightInd w:val="0"/>
              <w:snapToGrid w:val="0"/>
              <w:spacing w:line="240" w:lineRule="auto"/>
              <w:ind w:firstLineChars="0" w:firstLine="0"/>
              <w:rPr>
                <w:color w:val="000000"/>
                <w:kern w:val="0"/>
                <w:szCs w:val="21"/>
              </w:rPr>
            </w:pPr>
            <w:r>
              <w:rPr>
                <w:rFonts w:hint="eastAsia"/>
                <w:color w:val="000000"/>
                <w:kern w:val="0"/>
                <w:szCs w:val="21"/>
              </w:rPr>
              <w:t>（规范排放报告和支撑材料的登记、保存和使用）</w:t>
            </w:r>
          </w:p>
          <w:p w:rsidR="00506AE6" w:rsidRDefault="00506AE6">
            <w:pPr>
              <w:widowControl/>
              <w:adjustRightInd w:val="0"/>
              <w:snapToGrid w:val="0"/>
              <w:spacing w:line="240" w:lineRule="auto"/>
              <w:ind w:firstLineChars="0" w:firstLine="0"/>
              <w:rPr>
                <w:kern w:val="0"/>
                <w:szCs w:val="21"/>
              </w:rPr>
            </w:pPr>
          </w:p>
        </w:tc>
      </w:tr>
      <w:tr w:rsidR="00506AE6">
        <w:trPr>
          <w:trHeight w:val="283"/>
          <w:jc w:val="center"/>
        </w:trPr>
        <w:tc>
          <w:tcPr>
            <w:tcW w:w="6101" w:type="dxa"/>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rPr>
                <w:kern w:val="0"/>
                <w:szCs w:val="21"/>
              </w:rPr>
            </w:pPr>
            <w:r>
              <w:rPr>
                <w:rFonts w:hint="eastAsia"/>
                <w:kern w:val="0"/>
                <w:szCs w:val="21"/>
              </w:rPr>
              <w:lastRenderedPageBreak/>
              <w:t>填报人（签字）：</w:t>
            </w:r>
          </w:p>
        </w:tc>
        <w:tc>
          <w:tcPr>
            <w:tcW w:w="893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rPr>
                <w:kern w:val="0"/>
                <w:szCs w:val="21"/>
              </w:rPr>
            </w:pPr>
            <w:r>
              <w:rPr>
                <w:rFonts w:hint="eastAsia"/>
                <w:kern w:val="0"/>
                <w:szCs w:val="21"/>
              </w:rPr>
              <w:t>填报时间：</w:t>
            </w:r>
          </w:p>
        </w:tc>
      </w:tr>
      <w:tr w:rsidR="00506AE6">
        <w:trPr>
          <w:trHeight w:val="283"/>
          <w:jc w:val="center"/>
        </w:trPr>
        <w:tc>
          <w:tcPr>
            <w:tcW w:w="6101" w:type="dxa"/>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rPr>
                <w:kern w:val="0"/>
                <w:szCs w:val="21"/>
              </w:rPr>
            </w:pPr>
            <w:r>
              <w:rPr>
                <w:rFonts w:hint="eastAsia"/>
                <w:kern w:val="0"/>
                <w:szCs w:val="21"/>
              </w:rPr>
              <w:t>内部审核人（签字）：</w:t>
            </w:r>
          </w:p>
        </w:tc>
        <w:tc>
          <w:tcPr>
            <w:tcW w:w="893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rPr>
                <w:kern w:val="0"/>
                <w:szCs w:val="21"/>
              </w:rPr>
            </w:pPr>
            <w:r>
              <w:rPr>
                <w:rFonts w:hint="eastAsia"/>
                <w:kern w:val="0"/>
                <w:szCs w:val="21"/>
              </w:rPr>
              <w:t>审核时间：</w:t>
            </w:r>
          </w:p>
        </w:tc>
      </w:tr>
      <w:tr w:rsidR="00506AE6">
        <w:trPr>
          <w:trHeight w:val="283"/>
          <w:jc w:val="center"/>
        </w:trPr>
        <w:tc>
          <w:tcPr>
            <w:tcW w:w="15031" w:type="dxa"/>
            <w:gridSpan w:val="2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506AE6" w:rsidRDefault="0072598A">
            <w:pPr>
              <w:widowControl/>
              <w:adjustRightInd w:val="0"/>
              <w:snapToGrid w:val="0"/>
              <w:spacing w:line="240" w:lineRule="auto"/>
              <w:ind w:firstLineChars="0" w:firstLine="0"/>
              <w:rPr>
                <w:kern w:val="0"/>
                <w:szCs w:val="21"/>
              </w:rPr>
            </w:pPr>
            <w:r>
              <w:rPr>
                <w:rFonts w:hint="eastAsia"/>
                <w:kern w:val="0"/>
                <w:szCs w:val="21"/>
              </w:rPr>
              <w:t>填报单位（盖章）：</w:t>
            </w:r>
          </w:p>
          <w:p w:rsidR="00506AE6" w:rsidRDefault="00506AE6">
            <w:pPr>
              <w:widowControl/>
              <w:adjustRightInd w:val="0"/>
              <w:snapToGrid w:val="0"/>
              <w:spacing w:line="240" w:lineRule="auto"/>
              <w:ind w:firstLineChars="0" w:firstLine="0"/>
              <w:rPr>
                <w:kern w:val="0"/>
                <w:szCs w:val="21"/>
              </w:rPr>
            </w:pPr>
          </w:p>
          <w:p w:rsidR="00506AE6" w:rsidRDefault="00506AE6">
            <w:pPr>
              <w:widowControl/>
              <w:adjustRightInd w:val="0"/>
              <w:snapToGrid w:val="0"/>
              <w:spacing w:line="240" w:lineRule="auto"/>
              <w:ind w:firstLineChars="0" w:firstLine="0"/>
              <w:rPr>
                <w:kern w:val="0"/>
                <w:szCs w:val="21"/>
              </w:rPr>
            </w:pPr>
          </w:p>
        </w:tc>
      </w:tr>
    </w:tbl>
    <w:p w:rsidR="00506AE6" w:rsidRDefault="00506AE6">
      <w:pPr>
        <w:ind w:left="210"/>
        <w:rPr>
          <w:rFonts w:ascii="宋体" w:hAnsi="宋体"/>
          <w:szCs w:val="22"/>
        </w:rPr>
      </w:pPr>
    </w:p>
    <w:p w:rsidR="00506AE6" w:rsidRDefault="00506AE6">
      <w:pPr>
        <w:widowControl/>
        <w:ind w:left="210"/>
        <w:jc w:val="left"/>
        <w:rPr>
          <w:rFonts w:ascii="宋体" w:hAnsi="宋体"/>
          <w:kern w:val="0"/>
        </w:rPr>
        <w:sectPr w:rsidR="00506AE6">
          <w:pgSz w:w="16838" w:h="11906" w:orient="landscape"/>
          <w:pgMar w:top="1134" w:right="1616" w:bottom="1134" w:left="1616" w:header="851" w:footer="680" w:gutter="0"/>
          <w:cols w:space="720"/>
          <w:docGrid w:type="lines" w:linePitch="312"/>
        </w:sectPr>
      </w:pPr>
    </w:p>
    <w:p w:rsidR="00506AE6" w:rsidRDefault="0072598A">
      <w:pPr>
        <w:pStyle w:val="af3"/>
      </w:pPr>
      <w:bookmarkStart w:id="420" w:name="_Toc712847147"/>
      <w:bookmarkEnd w:id="401"/>
      <w:bookmarkEnd w:id="402"/>
      <w:bookmarkEnd w:id="412"/>
      <w:r>
        <w:lastRenderedPageBreak/>
        <w:br/>
      </w:r>
      <w:bookmarkStart w:id="421" w:name="_Ref143815263"/>
      <w:bookmarkStart w:id="422" w:name="_Toc146201700"/>
      <w:bookmarkStart w:id="423" w:name="_Toc159419095"/>
      <w:r>
        <w:rPr>
          <w:rFonts w:hint="eastAsia"/>
        </w:rPr>
        <w:t>报告内容及格式要求</w:t>
      </w:r>
      <w:bookmarkEnd w:id="420"/>
      <w:bookmarkEnd w:id="421"/>
      <w:bookmarkEnd w:id="422"/>
      <w:bookmarkEnd w:id="423"/>
    </w:p>
    <w:p w:rsidR="00506AE6" w:rsidRDefault="00506AE6">
      <w:pPr>
        <w:pStyle w:val="affa"/>
        <w:tabs>
          <w:tab w:val="clear" w:pos="-420"/>
          <w:tab w:val="clear" w:pos="0"/>
        </w:tabs>
        <w:ind w:firstLineChars="0" w:firstLine="0"/>
        <w:jc w:val="center"/>
        <w:rPr>
          <w:rFonts w:ascii="宋体"/>
          <w:b/>
          <w:color w:val="000000"/>
          <w:sz w:val="44"/>
          <w:szCs w:val="44"/>
        </w:rPr>
      </w:pPr>
    </w:p>
    <w:p w:rsidR="00506AE6" w:rsidRDefault="00506AE6">
      <w:pPr>
        <w:pStyle w:val="affa"/>
        <w:tabs>
          <w:tab w:val="clear" w:pos="-420"/>
          <w:tab w:val="clear" w:pos="0"/>
        </w:tabs>
        <w:ind w:firstLineChars="0" w:firstLine="0"/>
        <w:jc w:val="center"/>
        <w:rPr>
          <w:rFonts w:ascii="宋体"/>
          <w:b/>
          <w:color w:val="000000"/>
          <w:sz w:val="44"/>
          <w:szCs w:val="44"/>
        </w:rPr>
      </w:pPr>
    </w:p>
    <w:p w:rsidR="00506AE6" w:rsidRDefault="00506AE6">
      <w:pPr>
        <w:pStyle w:val="affa"/>
        <w:tabs>
          <w:tab w:val="clear" w:pos="-420"/>
          <w:tab w:val="clear" w:pos="0"/>
        </w:tabs>
        <w:ind w:firstLineChars="0" w:firstLine="0"/>
        <w:jc w:val="center"/>
        <w:rPr>
          <w:rFonts w:ascii="宋体"/>
          <w:b/>
          <w:color w:val="000000"/>
          <w:sz w:val="44"/>
          <w:szCs w:val="44"/>
        </w:rPr>
      </w:pPr>
    </w:p>
    <w:p w:rsidR="00506AE6" w:rsidRDefault="0072598A">
      <w:pPr>
        <w:pStyle w:val="affa"/>
        <w:tabs>
          <w:tab w:val="clear" w:pos="-420"/>
          <w:tab w:val="clear" w:pos="0"/>
        </w:tabs>
        <w:ind w:firstLineChars="0" w:firstLine="0"/>
        <w:jc w:val="center"/>
        <w:rPr>
          <w:rFonts w:ascii="宋体"/>
          <w:b/>
          <w:color w:val="000000"/>
          <w:sz w:val="44"/>
          <w:szCs w:val="44"/>
        </w:rPr>
      </w:pPr>
      <w:r>
        <w:rPr>
          <w:rFonts w:ascii="宋体" w:hint="eastAsia"/>
          <w:b/>
          <w:color w:val="000000"/>
          <w:sz w:val="44"/>
          <w:szCs w:val="44"/>
        </w:rPr>
        <w:t>企业温室气体排放报告</w:t>
      </w:r>
    </w:p>
    <w:p w:rsidR="00506AE6" w:rsidRDefault="0072598A">
      <w:pPr>
        <w:pStyle w:val="affa"/>
        <w:tabs>
          <w:tab w:val="clear" w:pos="-420"/>
          <w:tab w:val="clear" w:pos="0"/>
        </w:tabs>
        <w:ind w:firstLineChars="0" w:firstLine="0"/>
        <w:jc w:val="center"/>
        <w:rPr>
          <w:rFonts w:ascii="宋体"/>
          <w:b/>
          <w:color w:val="000000"/>
          <w:sz w:val="44"/>
          <w:szCs w:val="44"/>
        </w:rPr>
      </w:pPr>
      <w:r>
        <w:rPr>
          <w:rFonts w:ascii="宋体" w:hint="eastAsia"/>
          <w:b/>
          <w:color w:val="000000"/>
          <w:sz w:val="44"/>
          <w:szCs w:val="44"/>
        </w:rPr>
        <w:t>水泥熟料生产企业</w:t>
      </w:r>
    </w:p>
    <w:p w:rsidR="00506AE6" w:rsidRDefault="00506AE6">
      <w:pPr>
        <w:pStyle w:val="affa"/>
        <w:tabs>
          <w:tab w:val="clear" w:pos="-420"/>
          <w:tab w:val="clear" w:pos="0"/>
        </w:tabs>
        <w:ind w:firstLine="562"/>
        <w:rPr>
          <w:rFonts w:ascii="宋体"/>
          <w:b/>
          <w:bCs/>
          <w:color w:val="000000"/>
          <w:sz w:val="28"/>
          <w:szCs w:val="28"/>
        </w:rPr>
      </w:pPr>
    </w:p>
    <w:p w:rsidR="00506AE6" w:rsidRDefault="00506AE6">
      <w:pPr>
        <w:pStyle w:val="affa"/>
        <w:tabs>
          <w:tab w:val="clear" w:pos="-420"/>
          <w:tab w:val="clear" w:pos="0"/>
        </w:tabs>
        <w:ind w:firstLine="562"/>
        <w:rPr>
          <w:rFonts w:ascii="宋体"/>
          <w:b/>
          <w:bCs/>
          <w:color w:val="000000"/>
          <w:sz w:val="28"/>
          <w:szCs w:val="28"/>
        </w:rPr>
      </w:pPr>
    </w:p>
    <w:p w:rsidR="00506AE6" w:rsidRDefault="00506AE6">
      <w:pPr>
        <w:pStyle w:val="affa"/>
        <w:tabs>
          <w:tab w:val="clear" w:pos="-420"/>
          <w:tab w:val="clear" w:pos="0"/>
        </w:tabs>
        <w:ind w:firstLine="562"/>
        <w:rPr>
          <w:rFonts w:ascii="宋体"/>
          <w:b/>
          <w:bCs/>
          <w:color w:val="000000"/>
          <w:sz w:val="28"/>
          <w:szCs w:val="28"/>
        </w:rPr>
      </w:pPr>
    </w:p>
    <w:p w:rsidR="00506AE6" w:rsidRDefault="00506AE6">
      <w:pPr>
        <w:pStyle w:val="affa"/>
        <w:tabs>
          <w:tab w:val="clear" w:pos="-420"/>
          <w:tab w:val="clear" w:pos="0"/>
        </w:tabs>
        <w:ind w:firstLine="562"/>
        <w:rPr>
          <w:rFonts w:ascii="宋体"/>
          <w:b/>
          <w:bCs/>
          <w:color w:val="000000"/>
          <w:sz w:val="28"/>
          <w:szCs w:val="28"/>
        </w:rPr>
      </w:pPr>
    </w:p>
    <w:p w:rsidR="00506AE6" w:rsidRDefault="00506AE6">
      <w:pPr>
        <w:pStyle w:val="affa"/>
        <w:tabs>
          <w:tab w:val="clear" w:pos="-420"/>
          <w:tab w:val="clear" w:pos="0"/>
        </w:tabs>
        <w:ind w:firstLine="562"/>
        <w:rPr>
          <w:rFonts w:ascii="宋体"/>
          <w:b/>
          <w:bCs/>
          <w:color w:val="000000"/>
          <w:sz w:val="28"/>
          <w:szCs w:val="28"/>
        </w:rPr>
      </w:pPr>
    </w:p>
    <w:p w:rsidR="00506AE6" w:rsidRDefault="00506AE6">
      <w:pPr>
        <w:pStyle w:val="affa"/>
        <w:tabs>
          <w:tab w:val="clear" w:pos="-420"/>
          <w:tab w:val="clear" w:pos="0"/>
        </w:tabs>
        <w:ind w:firstLine="562"/>
        <w:rPr>
          <w:rFonts w:ascii="宋体"/>
          <w:b/>
          <w:bCs/>
          <w:color w:val="000000"/>
          <w:sz w:val="28"/>
          <w:szCs w:val="28"/>
        </w:rPr>
      </w:pPr>
    </w:p>
    <w:p w:rsidR="00506AE6" w:rsidRDefault="00506AE6">
      <w:pPr>
        <w:pStyle w:val="affa"/>
        <w:tabs>
          <w:tab w:val="clear" w:pos="-420"/>
          <w:tab w:val="clear" w:pos="0"/>
        </w:tabs>
        <w:ind w:firstLine="562"/>
        <w:rPr>
          <w:rFonts w:ascii="宋体"/>
          <w:b/>
          <w:bCs/>
          <w:color w:val="000000"/>
          <w:sz w:val="28"/>
          <w:szCs w:val="28"/>
        </w:rPr>
      </w:pPr>
    </w:p>
    <w:p w:rsidR="00506AE6" w:rsidRDefault="00506AE6">
      <w:pPr>
        <w:pStyle w:val="affa"/>
        <w:tabs>
          <w:tab w:val="clear" w:pos="-420"/>
          <w:tab w:val="clear" w:pos="0"/>
        </w:tabs>
        <w:ind w:firstLine="562"/>
        <w:rPr>
          <w:rFonts w:ascii="宋体"/>
          <w:b/>
          <w:bCs/>
          <w:color w:val="000000"/>
          <w:sz w:val="28"/>
          <w:szCs w:val="28"/>
        </w:rPr>
      </w:pPr>
    </w:p>
    <w:p w:rsidR="00506AE6" w:rsidRDefault="0072598A">
      <w:pPr>
        <w:pStyle w:val="affa"/>
        <w:tabs>
          <w:tab w:val="clear" w:pos="-420"/>
          <w:tab w:val="clear" w:pos="0"/>
        </w:tabs>
        <w:ind w:firstLine="562"/>
        <w:rPr>
          <w:rFonts w:ascii="宋体"/>
          <w:b/>
          <w:bCs/>
          <w:color w:val="000000"/>
          <w:sz w:val="28"/>
          <w:szCs w:val="28"/>
        </w:rPr>
      </w:pPr>
      <w:r>
        <w:rPr>
          <w:rFonts w:ascii="宋体" w:hint="eastAsia"/>
          <w:b/>
          <w:bCs/>
          <w:color w:val="000000"/>
          <w:sz w:val="28"/>
          <w:szCs w:val="28"/>
        </w:rPr>
        <w:t>企业名称（盖章）：</w:t>
      </w:r>
    </w:p>
    <w:p w:rsidR="00506AE6" w:rsidRDefault="0072598A">
      <w:pPr>
        <w:pStyle w:val="affa"/>
        <w:tabs>
          <w:tab w:val="clear" w:pos="-420"/>
          <w:tab w:val="clear" w:pos="0"/>
        </w:tabs>
        <w:ind w:firstLine="562"/>
        <w:rPr>
          <w:rFonts w:ascii="宋体"/>
          <w:b/>
          <w:bCs/>
          <w:color w:val="000000"/>
          <w:sz w:val="28"/>
          <w:szCs w:val="28"/>
        </w:rPr>
      </w:pPr>
      <w:r>
        <w:rPr>
          <w:rFonts w:ascii="宋体" w:hint="eastAsia"/>
          <w:b/>
          <w:bCs/>
          <w:color w:val="000000"/>
          <w:sz w:val="28"/>
          <w:szCs w:val="28"/>
        </w:rPr>
        <w:t>报告年度：</w:t>
      </w:r>
    </w:p>
    <w:p w:rsidR="00506AE6" w:rsidRDefault="0072598A">
      <w:pPr>
        <w:pStyle w:val="affa"/>
        <w:tabs>
          <w:tab w:val="clear" w:pos="-420"/>
          <w:tab w:val="clear" w:pos="0"/>
        </w:tabs>
        <w:ind w:firstLine="562"/>
        <w:rPr>
          <w:rFonts w:ascii="宋体"/>
          <w:b/>
          <w:bCs/>
          <w:color w:val="000000"/>
          <w:sz w:val="28"/>
          <w:szCs w:val="28"/>
        </w:rPr>
      </w:pPr>
      <w:r>
        <w:rPr>
          <w:rFonts w:ascii="宋体" w:hint="eastAsia"/>
          <w:b/>
          <w:bCs/>
          <w:color w:val="000000"/>
          <w:sz w:val="28"/>
          <w:szCs w:val="28"/>
        </w:rPr>
        <w:t>编制日期：</w:t>
      </w:r>
    </w:p>
    <w:p w:rsidR="00506AE6" w:rsidRDefault="0072598A">
      <w:pPr>
        <w:widowControl/>
        <w:tabs>
          <w:tab w:val="clear" w:pos="4338"/>
          <w:tab w:val="clear" w:pos="8675"/>
        </w:tabs>
        <w:ind w:left="210"/>
        <w:jc w:val="left"/>
        <w:rPr>
          <w:rFonts w:ascii="宋体"/>
          <w:kern w:val="0"/>
          <w:szCs w:val="20"/>
        </w:rPr>
      </w:pPr>
      <w:r>
        <w:br w:type="page"/>
      </w:r>
    </w:p>
    <w:p w:rsidR="00506AE6" w:rsidRDefault="0072598A">
      <w:pPr>
        <w:pStyle w:val="affa"/>
        <w:tabs>
          <w:tab w:val="clear" w:pos="-420"/>
          <w:tab w:val="clear" w:pos="0"/>
        </w:tabs>
        <w:spacing w:line="360" w:lineRule="auto"/>
      </w:pPr>
      <w:r>
        <w:rPr>
          <w:rFonts w:hint="eastAsia"/>
        </w:rPr>
        <w:lastRenderedPageBreak/>
        <w:t>根据生态环境部发布的《企业温室气体排放核算与报告指南</w:t>
      </w:r>
      <w:r>
        <w:rPr>
          <w:rFonts w:hint="eastAsia"/>
        </w:rPr>
        <w:t xml:space="preserve"> </w:t>
      </w:r>
      <w:r>
        <w:rPr>
          <w:rFonts w:hint="eastAsia"/>
        </w:rPr>
        <w:t>水泥熟料生产》相关要求，本单位核算了年度温室气体排放量并填写如下表格</w:t>
      </w:r>
      <w:r>
        <w:t>：</w:t>
      </w:r>
    </w:p>
    <w:p w:rsidR="00506AE6" w:rsidRDefault="0072598A">
      <w:pPr>
        <w:pStyle w:val="affa"/>
        <w:tabs>
          <w:tab w:val="clear" w:pos="-420"/>
          <w:tab w:val="clear" w:pos="0"/>
        </w:tabs>
        <w:spacing w:line="360" w:lineRule="auto"/>
      </w:pPr>
      <w:r>
        <w:rPr>
          <w:rFonts w:hint="eastAsia"/>
        </w:rPr>
        <w:t>附表</w:t>
      </w:r>
      <w:r>
        <w:rPr>
          <w:rFonts w:hint="eastAsia"/>
        </w:rPr>
        <w:t xml:space="preserve">E.1  </w:t>
      </w:r>
      <w:r>
        <w:rPr>
          <w:rFonts w:hint="eastAsia"/>
        </w:rPr>
        <w:t>企业基本信息</w:t>
      </w:r>
    </w:p>
    <w:p w:rsidR="00506AE6" w:rsidRDefault="0072598A">
      <w:pPr>
        <w:pStyle w:val="affa"/>
        <w:tabs>
          <w:tab w:val="clear" w:pos="-420"/>
          <w:tab w:val="clear" w:pos="0"/>
        </w:tabs>
        <w:spacing w:line="360" w:lineRule="auto"/>
      </w:pPr>
      <w:r>
        <w:rPr>
          <w:rFonts w:hint="eastAsia"/>
        </w:rPr>
        <w:t>附表</w:t>
      </w:r>
      <w:r>
        <w:rPr>
          <w:rFonts w:hint="eastAsia"/>
        </w:rPr>
        <w:t xml:space="preserve">E.2  </w:t>
      </w:r>
      <w:r>
        <w:rPr>
          <w:rFonts w:hint="eastAsia"/>
        </w:rPr>
        <w:t>生产线及排放设施信息</w:t>
      </w:r>
    </w:p>
    <w:p w:rsidR="00506AE6" w:rsidRDefault="0072598A">
      <w:pPr>
        <w:pStyle w:val="affa"/>
        <w:tabs>
          <w:tab w:val="clear" w:pos="-420"/>
          <w:tab w:val="clear" w:pos="0"/>
        </w:tabs>
        <w:spacing w:line="360" w:lineRule="auto"/>
      </w:pPr>
      <w:r>
        <w:rPr>
          <w:rFonts w:hint="eastAsia"/>
        </w:rPr>
        <w:t>附表</w:t>
      </w:r>
      <w:r>
        <w:rPr>
          <w:rFonts w:hint="eastAsia"/>
        </w:rPr>
        <w:t xml:space="preserve">E.3  </w:t>
      </w:r>
      <w:r>
        <w:rPr>
          <w:rFonts w:hint="eastAsia"/>
        </w:rPr>
        <w:t>熟料生产化石燃料燃烧排放表</w:t>
      </w:r>
    </w:p>
    <w:p w:rsidR="00506AE6" w:rsidRDefault="0072598A">
      <w:pPr>
        <w:pStyle w:val="affa"/>
        <w:tabs>
          <w:tab w:val="clear" w:pos="-420"/>
          <w:tab w:val="clear" w:pos="0"/>
        </w:tabs>
        <w:spacing w:line="360" w:lineRule="auto"/>
      </w:pPr>
      <w:r>
        <w:rPr>
          <w:rFonts w:hint="eastAsia"/>
        </w:rPr>
        <w:t>附表</w:t>
      </w:r>
      <w:r>
        <w:rPr>
          <w:rFonts w:hint="eastAsia"/>
        </w:rPr>
        <w:t xml:space="preserve">E.4  </w:t>
      </w:r>
      <w:r>
        <w:rPr>
          <w:rFonts w:hint="eastAsia"/>
        </w:rPr>
        <w:t>熟料生产过程排放表</w:t>
      </w:r>
    </w:p>
    <w:p w:rsidR="00506AE6" w:rsidRDefault="0072598A">
      <w:pPr>
        <w:pStyle w:val="affa"/>
        <w:tabs>
          <w:tab w:val="clear" w:pos="-420"/>
          <w:tab w:val="clear" w:pos="0"/>
        </w:tabs>
        <w:spacing w:line="360" w:lineRule="auto"/>
      </w:pPr>
      <w:r>
        <w:rPr>
          <w:rFonts w:hint="eastAsia"/>
        </w:rPr>
        <w:t>附表</w:t>
      </w:r>
      <w:r>
        <w:rPr>
          <w:rFonts w:hint="eastAsia"/>
        </w:rPr>
        <w:t xml:space="preserve">E.5  </w:t>
      </w:r>
      <w:r>
        <w:rPr>
          <w:rFonts w:hint="eastAsia"/>
        </w:rPr>
        <w:t>熟料生产消耗电力排放表</w:t>
      </w:r>
    </w:p>
    <w:p w:rsidR="00506AE6" w:rsidRDefault="0072598A">
      <w:pPr>
        <w:pStyle w:val="affa"/>
        <w:tabs>
          <w:tab w:val="clear" w:pos="-420"/>
          <w:tab w:val="clear" w:pos="0"/>
        </w:tabs>
        <w:spacing w:line="360" w:lineRule="auto"/>
      </w:pPr>
      <w:r>
        <w:rPr>
          <w:rFonts w:hint="eastAsia"/>
        </w:rPr>
        <w:t>附表</w:t>
      </w:r>
      <w:r>
        <w:rPr>
          <w:rFonts w:hint="eastAsia"/>
        </w:rPr>
        <w:t xml:space="preserve">E.6  </w:t>
      </w:r>
      <w:r>
        <w:rPr>
          <w:rFonts w:hint="eastAsia"/>
        </w:rPr>
        <w:t>熟料生产替代燃料相关参数报告表</w:t>
      </w:r>
    </w:p>
    <w:p w:rsidR="00506AE6" w:rsidRDefault="0072598A">
      <w:pPr>
        <w:pStyle w:val="affa"/>
        <w:tabs>
          <w:tab w:val="clear" w:pos="-420"/>
          <w:tab w:val="clear" w:pos="0"/>
        </w:tabs>
        <w:spacing w:line="360" w:lineRule="auto"/>
      </w:pPr>
      <w:r>
        <w:rPr>
          <w:rFonts w:hint="eastAsia"/>
        </w:rPr>
        <w:t>附表</w:t>
      </w:r>
      <w:r>
        <w:rPr>
          <w:rFonts w:hint="eastAsia"/>
        </w:rPr>
        <w:t xml:space="preserve">E.7  </w:t>
      </w:r>
      <w:r>
        <w:rPr>
          <w:rFonts w:hint="eastAsia"/>
        </w:rPr>
        <w:t>熟料生产数据及排放量汇总表</w:t>
      </w:r>
    </w:p>
    <w:p w:rsidR="00506AE6" w:rsidRDefault="0072598A">
      <w:pPr>
        <w:pStyle w:val="affa"/>
        <w:tabs>
          <w:tab w:val="clear" w:pos="-420"/>
          <w:tab w:val="clear" w:pos="0"/>
        </w:tabs>
        <w:spacing w:line="360" w:lineRule="auto"/>
      </w:pPr>
      <w:r>
        <w:rPr>
          <w:rFonts w:hint="eastAsia"/>
        </w:rPr>
        <w:t>附表</w:t>
      </w:r>
      <w:r>
        <w:rPr>
          <w:rFonts w:hint="eastAsia"/>
        </w:rPr>
        <w:t xml:space="preserve">E.8  </w:t>
      </w:r>
      <w:r>
        <w:rPr>
          <w:rFonts w:hint="eastAsia"/>
        </w:rPr>
        <w:t>企业层级排放量汇总表</w:t>
      </w:r>
    </w:p>
    <w:p w:rsidR="00506AE6" w:rsidRDefault="0072598A">
      <w:pPr>
        <w:pStyle w:val="affa"/>
        <w:tabs>
          <w:tab w:val="clear" w:pos="-420"/>
          <w:tab w:val="clear" w:pos="0"/>
        </w:tabs>
        <w:spacing w:line="360" w:lineRule="auto"/>
      </w:pPr>
      <w:r>
        <w:rPr>
          <w:rFonts w:hint="eastAsia"/>
        </w:rPr>
        <w:t>附表</w:t>
      </w:r>
      <w:r>
        <w:rPr>
          <w:rFonts w:hint="eastAsia"/>
        </w:rPr>
        <w:t xml:space="preserve">E.9  </w:t>
      </w:r>
      <w:r>
        <w:rPr>
          <w:rFonts w:hint="eastAsia"/>
        </w:rPr>
        <w:t>其他信息</w:t>
      </w:r>
    </w:p>
    <w:p w:rsidR="00506AE6" w:rsidRDefault="0072598A">
      <w:pPr>
        <w:pStyle w:val="affa"/>
        <w:tabs>
          <w:tab w:val="clear" w:pos="-420"/>
          <w:tab w:val="clear" w:pos="0"/>
        </w:tabs>
        <w:spacing w:line="360" w:lineRule="auto"/>
      </w:pPr>
      <w:r>
        <w:rPr>
          <w:rFonts w:hint="eastAsia"/>
        </w:rPr>
        <w:t>附表</w:t>
      </w:r>
      <w:r>
        <w:rPr>
          <w:rFonts w:hint="eastAsia"/>
        </w:rPr>
        <w:t xml:space="preserve">E.10 </w:t>
      </w:r>
      <w:r>
        <w:rPr>
          <w:rFonts w:hint="eastAsia"/>
        </w:rPr>
        <w:t>烟气二氧化碳排放在线监测日平均值月报表</w:t>
      </w:r>
    </w:p>
    <w:p w:rsidR="00506AE6" w:rsidRDefault="00506AE6">
      <w:pPr>
        <w:pStyle w:val="affa"/>
        <w:tabs>
          <w:tab w:val="clear" w:pos="-420"/>
          <w:tab w:val="clear" w:pos="0"/>
        </w:tabs>
        <w:spacing w:line="360" w:lineRule="auto"/>
      </w:pPr>
    </w:p>
    <w:p w:rsidR="00506AE6" w:rsidRDefault="00506AE6">
      <w:pPr>
        <w:pStyle w:val="affa"/>
        <w:tabs>
          <w:tab w:val="clear" w:pos="-420"/>
          <w:tab w:val="clear" w:pos="0"/>
        </w:tabs>
        <w:spacing w:line="360" w:lineRule="auto"/>
      </w:pPr>
    </w:p>
    <w:p w:rsidR="00506AE6" w:rsidRDefault="0072598A">
      <w:pPr>
        <w:pStyle w:val="affa"/>
        <w:tabs>
          <w:tab w:val="clear" w:pos="-420"/>
          <w:tab w:val="clear" w:pos="0"/>
        </w:tabs>
        <w:spacing w:after="240" w:line="360" w:lineRule="auto"/>
        <w:ind w:firstLineChars="0" w:firstLine="0"/>
        <w:jc w:val="center"/>
        <w:rPr>
          <w:rFonts w:ascii="黑体" w:eastAsia="黑体" w:hAnsi="黑体"/>
          <w:b/>
          <w:bCs/>
          <w:color w:val="000000"/>
          <w:szCs w:val="21"/>
        </w:rPr>
      </w:pPr>
      <w:r>
        <w:rPr>
          <w:rFonts w:ascii="黑体" w:eastAsia="黑体" w:hAnsi="黑体" w:hint="eastAsia"/>
          <w:b/>
          <w:bCs/>
          <w:color w:val="000000"/>
          <w:szCs w:val="21"/>
        </w:rPr>
        <w:t>声明</w:t>
      </w:r>
    </w:p>
    <w:p w:rsidR="00506AE6" w:rsidRDefault="0072598A">
      <w:pPr>
        <w:pStyle w:val="affa"/>
        <w:tabs>
          <w:tab w:val="clear" w:pos="-420"/>
          <w:tab w:val="clear" w:pos="0"/>
        </w:tabs>
        <w:spacing w:line="360" w:lineRule="auto"/>
      </w:pPr>
      <w:r>
        <w:rPr>
          <w:rFonts w:hint="eastAsia"/>
        </w:rPr>
        <w:t>本单位对本报告的真实性、完整性、准确性负责。如本报告中的信息及支撑材料与实际情况不符，本单位愿承担相应的法律责任，并承担由此产生的一切后果。</w:t>
      </w:r>
    </w:p>
    <w:p w:rsidR="00506AE6" w:rsidRDefault="00506AE6">
      <w:pPr>
        <w:pStyle w:val="affa"/>
        <w:tabs>
          <w:tab w:val="clear" w:pos="-420"/>
          <w:tab w:val="clear" w:pos="0"/>
        </w:tabs>
        <w:spacing w:line="360" w:lineRule="auto"/>
      </w:pPr>
    </w:p>
    <w:p w:rsidR="00506AE6" w:rsidRDefault="0072598A">
      <w:pPr>
        <w:pStyle w:val="affa"/>
        <w:tabs>
          <w:tab w:val="clear" w:pos="-420"/>
          <w:tab w:val="clear" w:pos="0"/>
        </w:tabs>
        <w:spacing w:line="360" w:lineRule="auto"/>
      </w:pPr>
      <w:r>
        <w:rPr>
          <w:rFonts w:hint="eastAsia"/>
        </w:rPr>
        <w:t>特此声明。</w:t>
      </w:r>
    </w:p>
    <w:p w:rsidR="00506AE6" w:rsidRDefault="00506AE6">
      <w:pPr>
        <w:pStyle w:val="affa"/>
        <w:tabs>
          <w:tab w:val="clear" w:pos="-420"/>
          <w:tab w:val="clear" w:pos="0"/>
        </w:tabs>
        <w:spacing w:line="360" w:lineRule="auto"/>
      </w:pPr>
    </w:p>
    <w:p w:rsidR="00506AE6" w:rsidRDefault="00506AE6">
      <w:pPr>
        <w:pStyle w:val="affa"/>
        <w:tabs>
          <w:tab w:val="clear" w:pos="-420"/>
          <w:tab w:val="clear" w:pos="0"/>
        </w:tabs>
        <w:spacing w:line="360" w:lineRule="auto"/>
      </w:pPr>
    </w:p>
    <w:p w:rsidR="00506AE6" w:rsidRDefault="0072598A">
      <w:pPr>
        <w:wordWrap w:val="0"/>
        <w:autoSpaceDE w:val="0"/>
        <w:autoSpaceDN w:val="0"/>
        <w:adjustRightInd w:val="0"/>
        <w:spacing w:line="360" w:lineRule="auto"/>
        <w:ind w:left="210"/>
        <w:jc w:val="right"/>
        <w:rPr>
          <w:szCs w:val="21"/>
        </w:rPr>
      </w:pPr>
      <w:r>
        <w:rPr>
          <w:szCs w:val="21"/>
        </w:rPr>
        <w:t>法</w:t>
      </w:r>
      <w:r>
        <w:rPr>
          <w:rFonts w:hint="eastAsia"/>
          <w:szCs w:val="21"/>
        </w:rPr>
        <w:t>定代表人（或授权代表）：</w:t>
      </w:r>
      <w:r>
        <w:rPr>
          <w:rFonts w:hint="eastAsia"/>
          <w:szCs w:val="21"/>
        </w:rPr>
        <w:t xml:space="preserve"> </w:t>
      </w:r>
      <w:r>
        <w:rPr>
          <w:szCs w:val="21"/>
        </w:rPr>
        <w:t xml:space="preserve">    </w:t>
      </w:r>
      <w:r>
        <w:rPr>
          <w:rFonts w:hint="eastAsia"/>
          <w:szCs w:val="21"/>
        </w:rPr>
        <w:t xml:space="preserve">          </w:t>
      </w:r>
    </w:p>
    <w:p w:rsidR="00506AE6" w:rsidRDefault="0072598A">
      <w:pPr>
        <w:wordWrap w:val="0"/>
        <w:autoSpaceDE w:val="0"/>
        <w:autoSpaceDN w:val="0"/>
        <w:adjustRightInd w:val="0"/>
        <w:spacing w:line="360" w:lineRule="auto"/>
        <w:ind w:left="210"/>
        <w:jc w:val="right"/>
        <w:rPr>
          <w:szCs w:val="21"/>
        </w:rPr>
      </w:pPr>
      <w:r>
        <w:rPr>
          <w:rFonts w:hint="eastAsia"/>
          <w:szCs w:val="21"/>
        </w:rPr>
        <w:t>企业名称（盖章）：</w:t>
      </w:r>
      <w:r>
        <w:rPr>
          <w:rFonts w:hint="eastAsia"/>
          <w:szCs w:val="21"/>
        </w:rPr>
        <w:t xml:space="preserve"> </w:t>
      </w:r>
      <w:r>
        <w:rPr>
          <w:szCs w:val="21"/>
        </w:rPr>
        <w:t xml:space="preserve">              </w:t>
      </w:r>
    </w:p>
    <w:p w:rsidR="00506AE6" w:rsidRDefault="0072598A">
      <w:pPr>
        <w:wordWrap w:val="0"/>
        <w:autoSpaceDE w:val="0"/>
        <w:autoSpaceDN w:val="0"/>
        <w:adjustRightInd w:val="0"/>
        <w:spacing w:line="360" w:lineRule="auto"/>
        <w:ind w:left="210"/>
        <w:jc w:val="right"/>
        <w:rPr>
          <w:szCs w:val="21"/>
        </w:rPr>
      </w:pPr>
      <w:r>
        <w:rPr>
          <w:szCs w:val="21"/>
        </w:rPr>
        <w:t>年</w:t>
      </w:r>
      <w:r>
        <w:rPr>
          <w:szCs w:val="21"/>
        </w:rPr>
        <w:t xml:space="preserve">       </w:t>
      </w:r>
      <w:r>
        <w:rPr>
          <w:szCs w:val="21"/>
        </w:rPr>
        <w:t>月</w:t>
      </w:r>
      <w:r>
        <w:rPr>
          <w:szCs w:val="21"/>
        </w:rPr>
        <w:t xml:space="preserve">      </w:t>
      </w:r>
      <w:r>
        <w:rPr>
          <w:szCs w:val="21"/>
        </w:rPr>
        <w:t>日</w:t>
      </w:r>
      <w:r>
        <w:rPr>
          <w:rFonts w:hint="eastAsia"/>
          <w:szCs w:val="21"/>
        </w:rPr>
        <w:t xml:space="preserve"> </w:t>
      </w:r>
      <w:r>
        <w:rPr>
          <w:szCs w:val="21"/>
        </w:rPr>
        <w:t xml:space="preserve">        </w:t>
      </w:r>
    </w:p>
    <w:p w:rsidR="00506AE6" w:rsidRDefault="0072598A">
      <w:pPr>
        <w:widowControl/>
        <w:tabs>
          <w:tab w:val="clear" w:pos="4338"/>
          <w:tab w:val="clear" w:pos="8675"/>
        </w:tabs>
        <w:ind w:left="280" w:firstLine="560"/>
        <w:jc w:val="left"/>
        <w:rPr>
          <w:rFonts w:ascii="宋体"/>
          <w:kern w:val="0"/>
          <w:sz w:val="28"/>
          <w:szCs w:val="28"/>
        </w:rPr>
      </w:pPr>
      <w:r>
        <w:rPr>
          <w:sz w:val="28"/>
          <w:szCs w:val="28"/>
        </w:rPr>
        <w:br w:type="page"/>
      </w:r>
    </w:p>
    <w:p w:rsidR="00506AE6" w:rsidRDefault="0072598A">
      <w:pPr>
        <w:pStyle w:val="afffffe"/>
        <w:spacing w:before="156" w:after="156"/>
        <w:jc w:val="center"/>
        <w:outlineLvl w:val="1"/>
        <w:rPr>
          <w:rFonts w:ascii="Times New Roman"/>
        </w:rPr>
      </w:pPr>
      <w:bookmarkStart w:id="424" w:name="_Hlk146201719"/>
      <w:r>
        <w:rPr>
          <w:rFonts w:ascii="Times New Roman" w:hint="eastAsia"/>
        </w:rPr>
        <w:lastRenderedPageBreak/>
        <w:t>附表</w:t>
      </w:r>
      <w:r>
        <w:rPr>
          <w:rFonts w:ascii="Times New Roman" w:hint="eastAsia"/>
        </w:rPr>
        <w:t>E</w:t>
      </w:r>
      <w:r>
        <w:rPr>
          <w:rFonts w:ascii="Times New Roman"/>
        </w:rPr>
        <w:t xml:space="preserve">.1  </w:t>
      </w:r>
      <w:r>
        <w:rPr>
          <w:rFonts w:ascii="Times New Roman" w:hint="eastAsia"/>
        </w:rPr>
        <w:t>企业基本信息</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9"/>
        <w:gridCol w:w="1928"/>
        <w:gridCol w:w="1928"/>
      </w:tblGrid>
      <w:tr w:rsidR="00506AE6">
        <w:trPr>
          <w:trHeight w:val="283"/>
          <w:jc w:val="center"/>
        </w:trPr>
        <w:tc>
          <w:tcPr>
            <w:tcW w:w="4989"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信息项</w:t>
            </w:r>
          </w:p>
        </w:tc>
        <w:tc>
          <w:tcPr>
            <w:tcW w:w="1928" w:type="dxa"/>
            <w:shd w:val="clear" w:color="auto" w:fill="F2F2F2"/>
            <w:noWrap/>
            <w:vAlign w:val="center"/>
          </w:tcPr>
          <w:p w:rsidR="00506AE6" w:rsidRDefault="0072598A">
            <w:pPr>
              <w:adjustRightInd w:val="0"/>
              <w:snapToGrid w:val="0"/>
              <w:spacing w:line="240" w:lineRule="auto"/>
              <w:ind w:firstLineChars="0" w:firstLine="0"/>
              <w:jc w:val="center"/>
              <w:rPr>
                <w:szCs w:val="21"/>
              </w:rPr>
            </w:pPr>
            <w:r>
              <w:rPr>
                <w:rFonts w:hint="eastAsia"/>
                <w:szCs w:val="21"/>
              </w:rPr>
              <w:t>填报内容</w:t>
            </w:r>
          </w:p>
        </w:tc>
        <w:tc>
          <w:tcPr>
            <w:tcW w:w="1928" w:type="dxa"/>
            <w:shd w:val="clear" w:color="auto" w:fill="F2F2F2"/>
            <w:noWrap/>
            <w:vAlign w:val="center"/>
          </w:tcPr>
          <w:p w:rsidR="00506AE6" w:rsidRDefault="0072598A">
            <w:pPr>
              <w:adjustRightInd w:val="0"/>
              <w:snapToGrid w:val="0"/>
              <w:spacing w:line="240" w:lineRule="auto"/>
              <w:ind w:firstLineChars="0" w:firstLine="0"/>
              <w:jc w:val="center"/>
              <w:rPr>
                <w:szCs w:val="21"/>
              </w:rPr>
            </w:pPr>
            <w:r>
              <w:rPr>
                <w:rFonts w:hint="eastAsia"/>
                <w:szCs w:val="21"/>
              </w:rPr>
              <w:t>支撑材料</w:t>
            </w:r>
          </w:p>
        </w:tc>
      </w:tr>
      <w:bookmarkEnd w:id="424"/>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企业名称</w:t>
            </w:r>
            <w:r>
              <w:rPr>
                <w:szCs w:val="21"/>
                <w:vertAlign w:val="superscript"/>
              </w:rPr>
              <w:t>*1</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统一社会信用代码</w:t>
            </w:r>
            <w:r>
              <w:rPr>
                <w:szCs w:val="21"/>
                <w:vertAlign w:val="superscript"/>
              </w:rPr>
              <w:t>*1</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企业类型</w:t>
            </w:r>
            <w:r>
              <w:rPr>
                <w:szCs w:val="21"/>
                <w:vertAlign w:val="superscript"/>
              </w:rPr>
              <w:t>*1</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企业住所</w:t>
            </w:r>
            <w:r>
              <w:rPr>
                <w:szCs w:val="21"/>
                <w:vertAlign w:val="superscript"/>
              </w:rPr>
              <w:t>*1</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法定代表人</w:t>
            </w:r>
            <w:r>
              <w:rPr>
                <w:szCs w:val="21"/>
                <w:vertAlign w:val="superscript"/>
              </w:rPr>
              <w:t>*1,2</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注册资本（万元人民币）</w:t>
            </w:r>
            <w:r>
              <w:rPr>
                <w:szCs w:val="21"/>
                <w:vertAlign w:val="superscript"/>
              </w:rPr>
              <w:t>*1,3</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成立日期</w:t>
            </w:r>
            <w:r>
              <w:rPr>
                <w:szCs w:val="21"/>
                <w:vertAlign w:val="superscript"/>
              </w:rPr>
              <w:t>*1</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生产经营场所</w:t>
            </w:r>
            <w:r>
              <w:rPr>
                <w:szCs w:val="21"/>
                <w:vertAlign w:val="superscript"/>
              </w:rPr>
              <w:t>*4</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排污许可证编号</w:t>
            </w:r>
            <w:r>
              <w:rPr>
                <w:szCs w:val="21"/>
                <w:vertAlign w:val="superscript"/>
              </w:rPr>
              <w:t>*4</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生产许可证编号</w:t>
            </w:r>
            <w:r>
              <w:rPr>
                <w:szCs w:val="21"/>
                <w:vertAlign w:val="superscript"/>
              </w:rPr>
              <w:t>*4</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生产许可证产品名称</w:t>
            </w:r>
            <w:r>
              <w:rPr>
                <w:szCs w:val="21"/>
                <w:vertAlign w:val="superscript"/>
              </w:rPr>
              <w:t>*4</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adjustRightInd w:val="0"/>
              <w:snapToGrid w:val="0"/>
              <w:spacing w:line="240" w:lineRule="auto"/>
              <w:ind w:firstLineChars="0" w:firstLine="0"/>
              <w:jc w:val="center"/>
              <w:rPr>
                <w:kern w:val="0"/>
                <w:szCs w:val="21"/>
              </w:rPr>
            </w:pPr>
            <w:r>
              <w:rPr>
                <w:rFonts w:hint="eastAsia"/>
                <w:szCs w:val="21"/>
              </w:rPr>
              <w:t>企业主营业务所属行业</w:t>
            </w:r>
          </w:p>
        </w:tc>
        <w:tc>
          <w:tcPr>
            <w:tcW w:w="1928"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建材</w:t>
            </w:r>
          </w:p>
        </w:tc>
        <w:tc>
          <w:tcPr>
            <w:tcW w:w="1928"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4989" w:type="dxa"/>
            <w:shd w:val="clear" w:color="auto" w:fill="auto"/>
            <w:noWrap/>
            <w:vAlign w:val="center"/>
          </w:tcPr>
          <w:p w:rsidR="00506AE6" w:rsidRDefault="0072598A">
            <w:pPr>
              <w:adjustRightInd w:val="0"/>
              <w:snapToGrid w:val="0"/>
              <w:spacing w:line="240" w:lineRule="auto"/>
              <w:ind w:firstLineChars="0" w:firstLine="0"/>
              <w:jc w:val="center"/>
              <w:rPr>
                <w:kern w:val="0"/>
                <w:szCs w:val="21"/>
              </w:rPr>
            </w:pPr>
            <w:r>
              <w:rPr>
                <w:rFonts w:hint="eastAsia"/>
                <w:szCs w:val="21"/>
              </w:rPr>
              <w:t>企业层级行业分类及代码</w:t>
            </w:r>
            <w:r>
              <w:rPr>
                <w:szCs w:val="21"/>
                <w:vertAlign w:val="superscript"/>
              </w:rPr>
              <w:t>*5</w:t>
            </w:r>
          </w:p>
        </w:tc>
        <w:tc>
          <w:tcPr>
            <w:tcW w:w="1928"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928"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4989" w:type="dxa"/>
            <w:shd w:val="clear" w:color="auto" w:fill="auto"/>
            <w:noWrap/>
            <w:vAlign w:val="center"/>
          </w:tcPr>
          <w:p w:rsidR="00506AE6" w:rsidRDefault="0072598A">
            <w:pPr>
              <w:adjustRightInd w:val="0"/>
              <w:snapToGrid w:val="0"/>
              <w:spacing w:line="240" w:lineRule="auto"/>
              <w:ind w:firstLineChars="0" w:firstLine="0"/>
              <w:jc w:val="center"/>
              <w:rPr>
                <w:kern w:val="0"/>
                <w:szCs w:val="21"/>
              </w:rPr>
            </w:pPr>
            <w:r>
              <w:rPr>
                <w:rFonts w:hint="eastAsia"/>
                <w:szCs w:val="21"/>
              </w:rPr>
              <w:t>企业层级行业子类</w:t>
            </w:r>
            <w:r>
              <w:rPr>
                <w:szCs w:val="21"/>
                <w:vertAlign w:val="superscript"/>
              </w:rPr>
              <w:t>*5</w:t>
            </w:r>
          </w:p>
        </w:tc>
        <w:tc>
          <w:tcPr>
            <w:tcW w:w="1928"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928"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4989"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rFonts w:hint="eastAsia"/>
                <w:szCs w:val="21"/>
              </w:rPr>
              <w:t>企业层级主营产品统计代码</w:t>
            </w:r>
            <w:r>
              <w:rPr>
                <w:szCs w:val="21"/>
                <w:vertAlign w:val="superscript"/>
              </w:rPr>
              <w:t>*6</w:t>
            </w:r>
          </w:p>
        </w:tc>
        <w:tc>
          <w:tcPr>
            <w:tcW w:w="1928"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szCs w:val="21"/>
              </w:rPr>
            </w:pPr>
          </w:p>
        </w:tc>
        <w:tc>
          <w:tcPr>
            <w:tcW w:w="1928"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szCs w:val="21"/>
              </w:rPr>
            </w:pPr>
          </w:p>
        </w:tc>
      </w:tr>
      <w:tr w:rsidR="00506AE6">
        <w:trPr>
          <w:trHeight w:val="283"/>
          <w:jc w:val="center"/>
        </w:trPr>
        <w:tc>
          <w:tcPr>
            <w:tcW w:w="4989"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rFonts w:hint="eastAsia"/>
                <w:szCs w:val="21"/>
              </w:rPr>
              <w:t>纳入全国碳排放权交易市场的行业分类及代码</w:t>
            </w:r>
          </w:p>
        </w:tc>
        <w:tc>
          <w:tcPr>
            <w:tcW w:w="1928"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szCs w:val="21"/>
              </w:rPr>
              <w:t>水泥制造（</w:t>
            </w:r>
            <w:r>
              <w:rPr>
                <w:szCs w:val="21"/>
              </w:rPr>
              <w:t>3011</w:t>
            </w:r>
            <w:r>
              <w:rPr>
                <w:rFonts w:hint="eastAsia"/>
                <w:szCs w:val="21"/>
              </w:rPr>
              <w:t>）</w:t>
            </w:r>
          </w:p>
        </w:tc>
        <w:tc>
          <w:tcPr>
            <w:tcW w:w="1928"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szCs w:val="21"/>
              </w:rPr>
            </w:pPr>
          </w:p>
        </w:tc>
      </w:tr>
      <w:tr w:rsidR="00506AE6">
        <w:trPr>
          <w:trHeight w:val="283"/>
          <w:jc w:val="center"/>
        </w:trPr>
        <w:tc>
          <w:tcPr>
            <w:tcW w:w="4989"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rFonts w:hint="eastAsia"/>
                <w:szCs w:val="21"/>
              </w:rPr>
              <w:t>纳入全国碳排放权交易市场的行业子类</w:t>
            </w:r>
          </w:p>
        </w:tc>
        <w:tc>
          <w:tcPr>
            <w:tcW w:w="1928" w:type="dxa"/>
            <w:shd w:val="clear" w:color="auto" w:fill="auto"/>
            <w:noWrap/>
            <w:vAlign w:val="center"/>
          </w:tcPr>
          <w:p w:rsidR="00506AE6" w:rsidRDefault="0072598A">
            <w:pPr>
              <w:pStyle w:val="affc"/>
              <w:adjustRightInd w:val="0"/>
              <w:snapToGrid w:val="0"/>
              <w:spacing w:line="240" w:lineRule="auto"/>
              <w:ind w:firstLineChars="0" w:firstLine="0"/>
              <w:jc w:val="center"/>
              <w:rPr>
                <w:sz w:val="21"/>
                <w:szCs w:val="21"/>
              </w:rPr>
            </w:pPr>
            <w:r>
              <w:rPr>
                <w:rFonts w:hint="eastAsia"/>
                <w:bCs/>
                <w:sz w:val="21"/>
                <w:szCs w:val="21"/>
              </w:rPr>
              <w:t>水泥熟料</w:t>
            </w:r>
          </w:p>
        </w:tc>
        <w:tc>
          <w:tcPr>
            <w:tcW w:w="1928" w:type="dxa"/>
            <w:shd w:val="clear" w:color="auto" w:fill="auto"/>
            <w:noWrap/>
            <w:vAlign w:val="center"/>
          </w:tcPr>
          <w:p w:rsidR="00506AE6" w:rsidRDefault="00506AE6">
            <w:pPr>
              <w:pStyle w:val="affc"/>
              <w:adjustRightInd w:val="0"/>
              <w:snapToGrid w:val="0"/>
              <w:spacing w:line="240" w:lineRule="auto"/>
              <w:ind w:firstLineChars="0" w:firstLine="0"/>
              <w:jc w:val="center"/>
              <w:rPr>
                <w:bCs/>
                <w:sz w:val="21"/>
                <w:szCs w:val="21"/>
              </w:rPr>
            </w:pPr>
          </w:p>
        </w:tc>
      </w:tr>
      <w:tr w:rsidR="00506AE6">
        <w:trPr>
          <w:trHeight w:val="283"/>
          <w:jc w:val="center"/>
        </w:trPr>
        <w:tc>
          <w:tcPr>
            <w:tcW w:w="4989" w:type="dxa"/>
            <w:shd w:val="clear" w:color="auto" w:fill="auto"/>
            <w:noWrap/>
            <w:vAlign w:val="center"/>
          </w:tcPr>
          <w:p w:rsidR="00506AE6" w:rsidRDefault="0072598A">
            <w:pPr>
              <w:adjustRightInd w:val="0"/>
              <w:snapToGrid w:val="0"/>
              <w:spacing w:line="240" w:lineRule="auto"/>
              <w:ind w:firstLineChars="0" w:firstLine="0"/>
              <w:jc w:val="center"/>
              <w:rPr>
                <w:kern w:val="0"/>
                <w:szCs w:val="21"/>
              </w:rPr>
            </w:pPr>
            <w:r>
              <w:rPr>
                <w:rFonts w:hint="eastAsia"/>
                <w:szCs w:val="21"/>
              </w:rPr>
              <w:t>纳入全国碳排放权交易市场的主营产品统计代码</w:t>
            </w:r>
          </w:p>
        </w:tc>
        <w:tc>
          <w:tcPr>
            <w:tcW w:w="1928" w:type="dxa"/>
            <w:shd w:val="clear" w:color="auto" w:fill="auto"/>
            <w:noWrap/>
            <w:vAlign w:val="center"/>
          </w:tcPr>
          <w:p w:rsidR="00506AE6" w:rsidRDefault="0072598A">
            <w:pPr>
              <w:pStyle w:val="affc"/>
              <w:adjustRightInd w:val="0"/>
              <w:snapToGrid w:val="0"/>
              <w:spacing w:line="240" w:lineRule="auto"/>
              <w:ind w:firstLineChars="0" w:firstLine="0"/>
              <w:jc w:val="center"/>
              <w:rPr>
                <w:kern w:val="0"/>
                <w:sz w:val="21"/>
                <w:szCs w:val="21"/>
              </w:rPr>
            </w:pPr>
            <w:r>
              <w:rPr>
                <w:bCs/>
                <w:sz w:val="21"/>
                <w:szCs w:val="21"/>
              </w:rPr>
              <w:t>310101</w:t>
            </w:r>
          </w:p>
        </w:tc>
        <w:tc>
          <w:tcPr>
            <w:tcW w:w="1928" w:type="dxa"/>
            <w:shd w:val="clear" w:color="auto" w:fill="auto"/>
            <w:noWrap/>
            <w:vAlign w:val="center"/>
          </w:tcPr>
          <w:p w:rsidR="00506AE6" w:rsidRDefault="00506AE6">
            <w:pPr>
              <w:pStyle w:val="affc"/>
              <w:adjustRightInd w:val="0"/>
              <w:snapToGrid w:val="0"/>
              <w:spacing w:line="240" w:lineRule="auto"/>
              <w:ind w:firstLineChars="0" w:firstLine="0"/>
              <w:jc w:val="center"/>
              <w:rPr>
                <w:bCs/>
                <w:sz w:val="21"/>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报送主管部门</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报告联系人</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联系电话</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电子邮箱</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本年度编制温室气体排放报告的技术服务机构名称</w:t>
            </w:r>
            <w:r>
              <w:rPr>
                <w:szCs w:val="21"/>
                <w:vertAlign w:val="superscript"/>
              </w:rPr>
              <w:t>*</w:t>
            </w:r>
            <w:r>
              <w:rPr>
                <w:rFonts w:hint="eastAsia"/>
                <w:szCs w:val="21"/>
                <w:vertAlign w:val="superscript"/>
              </w:rPr>
              <w:t>7</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编制温室气体排放报告的技术服务机构统一社会信用代码</w:t>
            </w:r>
            <w:r>
              <w:rPr>
                <w:szCs w:val="21"/>
                <w:vertAlign w:val="superscript"/>
              </w:rPr>
              <w:t>*</w:t>
            </w:r>
            <w:r>
              <w:rPr>
                <w:rFonts w:hint="eastAsia"/>
                <w:szCs w:val="21"/>
                <w:vertAlign w:val="superscript"/>
              </w:rPr>
              <w:t>7</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企业委托提供检验检测和计量设备维护校准服务的技术服务机构名称</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企业委托提供检验检测和计量设备维护校准服务的技术服务机构统一社会信用代码</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生产经营变化情况</w:t>
            </w:r>
            <w:r>
              <w:rPr>
                <w:szCs w:val="21"/>
                <w:vertAlign w:val="superscript"/>
              </w:rPr>
              <w:t>*</w:t>
            </w:r>
            <w:r>
              <w:rPr>
                <w:rFonts w:hint="eastAsia"/>
                <w:szCs w:val="21"/>
                <w:vertAlign w:val="superscript"/>
              </w:rPr>
              <w:t>8</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工业总产值（万元）</w:t>
            </w:r>
            <w:r>
              <w:rPr>
                <w:szCs w:val="21"/>
                <w:vertAlign w:val="superscript"/>
              </w:rPr>
              <w:t>*</w:t>
            </w:r>
            <w:r>
              <w:rPr>
                <w:rFonts w:hint="eastAsia"/>
                <w:szCs w:val="21"/>
                <w:vertAlign w:val="superscript"/>
              </w:rPr>
              <w:t>9</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纳入全国碳排放权交易市场的发电设施经核查的二氧化碳排放量（</w:t>
            </w:r>
            <w:r>
              <w:rPr>
                <w:kern w:val="0"/>
                <w:szCs w:val="21"/>
              </w:rPr>
              <w:t>tCO</w:t>
            </w:r>
            <w:r>
              <w:rPr>
                <w:kern w:val="0"/>
                <w:szCs w:val="21"/>
                <w:vertAlign w:val="subscript"/>
              </w:rPr>
              <w:t>2</w:t>
            </w:r>
            <w:r>
              <w:rPr>
                <w:rFonts w:hint="eastAsia"/>
                <w:kern w:val="0"/>
                <w:szCs w:val="21"/>
              </w:rPr>
              <w:t>）</w:t>
            </w:r>
            <w:r>
              <w:rPr>
                <w:szCs w:val="21"/>
                <w:vertAlign w:val="superscript"/>
              </w:rPr>
              <w:t>*</w:t>
            </w:r>
            <w:r>
              <w:rPr>
                <w:rFonts w:hint="eastAsia"/>
                <w:szCs w:val="21"/>
                <w:vertAlign w:val="superscript"/>
              </w:rPr>
              <w:t>9</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498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bookmarkStart w:id="425" w:name="_Hlk152450543"/>
            <w:r>
              <w:rPr>
                <w:rFonts w:hint="eastAsia"/>
                <w:kern w:val="0"/>
                <w:szCs w:val="21"/>
              </w:rPr>
              <w:t>其他非水泥</w:t>
            </w:r>
            <w:bookmarkEnd w:id="425"/>
            <w:r>
              <w:rPr>
                <w:rFonts w:hint="eastAsia"/>
                <w:kern w:val="0"/>
                <w:szCs w:val="21"/>
              </w:rPr>
              <w:t>产品</w:t>
            </w:r>
            <w:r>
              <w:rPr>
                <w:rFonts w:hint="eastAsia"/>
                <w:kern w:val="0"/>
                <w:szCs w:val="21"/>
              </w:rPr>
              <w:t>温室气体排放量（</w:t>
            </w:r>
            <w:r>
              <w:rPr>
                <w:kern w:val="0"/>
                <w:szCs w:val="21"/>
              </w:rPr>
              <w:t>tCO</w:t>
            </w:r>
            <w:r>
              <w:rPr>
                <w:kern w:val="0"/>
                <w:szCs w:val="21"/>
                <w:vertAlign w:val="subscript"/>
              </w:rPr>
              <w:t>2</w:t>
            </w:r>
            <w:r>
              <w:rPr>
                <w:rFonts w:hint="eastAsia"/>
                <w:kern w:val="0"/>
                <w:szCs w:val="21"/>
              </w:rPr>
              <w:t>e</w:t>
            </w:r>
            <w:r>
              <w:rPr>
                <w:rFonts w:hint="eastAsia"/>
                <w:kern w:val="0"/>
                <w:szCs w:val="21"/>
              </w:rPr>
              <w:t>）</w:t>
            </w:r>
            <w:r>
              <w:rPr>
                <w:szCs w:val="21"/>
                <w:vertAlign w:val="superscript"/>
              </w:rPr>
              <w:t>*</w:t>
            </w:r>
            <w:r>
              <w:rPr>
                <w:rFonts w:hint="eastAsia"/>
                <w:szCs w:val="21"/>
                <w:vertAlign w:val="superscript"/>
              </w:rPr>
              <w:t>9</w:t>
            </w: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928"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bl>
    <w:p w:rsidR="00506AE6" w:rsidRDefault="0072598A">
      <w:pPr>
        <w:widowControl/>
        <w:ind w:left="180" w:hangingChars="100" w:hanging="180"/>
        <w:rPr>
          <w:sz w:val="18"/>
          <w:szCs w:val="18"/>
        </w:rPr>
      </w:pPr>
      <w:r>
        <w:rPr>
          <w:sz w:val="18"/>
          <w:szCs w:val="18"/>
        </w:rPr>
        <w:t>填报说明：</w:t>
      </w:r>
    </w:p>
    <w:p w:rsidR="00506AE6" w:rsidRDefault="0072598A">
      <w:pPr>
        <w:widowControl/>
        <w:ind w:left="180" w:hangingChars="100" w:hanging="180"/>
        <w:rPr>
          <w:kern w:val="0"/>
          <w:sz w:val="18"/>
          <w:szCs w:val="18"/>
        </w:rPr>
      </w:pPr>
      <w:r>
        <w:rPr>
          <w:kern w:val="0"/>
          <w:sz w:val="18"/>
          <w:szCs w:val="18"/>
          <w:vertAlign w:val="superscript"/>
        </w:rPr>
        <w:t>*1</w:t>
      </w:r>
      <w:r>
        <w:rPr>
          <w:rFonts w:hint="eastAsia"/>
          <w:kern w:val="0"/>
          <w:sz w:val="18"/>
          <w:szCs w:val="18"/>
        </w:rPr>
        <w:t>按照</w:t>
      </w:r>
      <w:r>
        <w:rPr>
          <w:rFonts w:hint="eastAsia"/>
          <w:sz w:val="18"/>
          <w:szCs w:val="18"/>
        </w:rPr>
        <w:t>营业执照</w:t>
      </w:r>
      <w:r>
        <w:rPr>
          <w:rFonts w:hint="eastAsia"/>
          <w:kern w:val="0"/>
          <w:sz w:val="18"/>
          <w:szCs w:val="18"/>
        </w:rPr>
        <w:t>填报。</w:t>
      </w:r>
    </w:p>
    <w:p w:rsidR="00506AE6" w:rsidRDefault="0072598A">
      <w:pPr>
        <w:widowControl/>
        <w:ind w:left="180" w:hangingChars="100" w:hanging="180"/>
        <w:rPr>
          <w:kern w:val="0"/>
          <w:sz w:val="18"/>
          <w:szCs w:val="18"/>
        </w:rPr>
      </w:pPr>
      <w:r>
        <w:rPr>
          <w:kern w:val="0"/>
          <w:sz w:val="18"/>
          <w:szCs w:val="18"/>
          <w:vertAlign w:val="superscript"/>
        </w:rPr>
        <w:t>*</w:t>
      </w:r>
      <w:r>
        <w:rPr>
          <w:rFonts w:hint="eastAsia"/>
          <w:kern w:val="0"/>
          <w:sz w:val="18"/>
          <w:szCs w:val="18"/>
          <w:vertAlign w:val="superscript"/>
        </w:rPr>
        <w:t>2</w:t>
      </w:r>
      <w:r>
        <w:rPr>
          <w:rFonts w:hint="eastAsia"/>
          <w:kern w:val="0"/>
          <w:sz w:val="18"/>
          <w:szCs w:val="18"/>
        </w:rPr>
        <w:t>对于</w:t>
      </w:r>
      <w:r>
        <w:rPr>
          <w:rFonts w:hint="eastAsia"/>
          <w:sz w:val="18"/>
          <w:szCs w:val="18"/>
        </w:rPr>
        <w:t>非独</w:t>
      </w:r>
      <w:r>
        <w:rPr>
          <w:rFonts w:hint="eastAsia"/>
          <w:kern w:val="0"/>
          <w:sz w:val="18"/>
          <w:szCs w:val="18"/>
        </w:rPr>
        <w:t>立法人企业，填写负责人。</w:t>
      </w:r>
    </w:p>
    <w:p w:rsidR="00506AE6" w:rsidRDefault="0072598A">
      <w:pPr>
        <w:widowControl/>
        <w:ind w:left="180" w:hangingChars="100" w:hanging="180"/>
        <w:rPr>
          <w:kern w:val="0"/>
          <w:sz w:val="18"/>
          <w:szCs w:val="18"/>
        </w:rPr>
      </w:pPr>
      <w:r>
        <w:rPr>
          <w:kern w:val="0"/>
          <w:sz w:val="18"/>
          <w:szCs w:val="18"/>
          <w:vertAlign w:val="superscript"/>
        </w:rPr>
        <w:t>*</w:t>
      </w:r>
      <w:r>
        <w:rPr>
          <w:rFonts w:hint="eastAsia"/>
          <w:kern w:val="0"/>
          <w:sz w:val="18"/>
          <w:szCs w:val="18"/>
          <w:vertAlign w:val="superscript"/>
        </w:rPr>
        <w:t>3</w:t>
      </w:r>
      <w:r>
        <w:rPr>
          <w:rFonts w:hint="eastAsia"/>
          <w:kern w:val="0"/>
          <w:sz w:val="18"/>
          <w:szCs w:val="18"/>
        </w:rPr>
        <w:t>对于非独立法人企业，可以不用填写。</w:t>
      </w:r>
    </w:p>
    <w:p w:rsidR="00506AE6" w:rsidRDefault="0072598A">
      <w:pPr>
        <w:widowControl/>
        <w:ind w:left="180" w:hangingChars="100" w:hanging="180"/>
        <w:rPr>
          <w:sz w:val="18"/>
          <w:szCs w:val="18"/>
        </w:rPr>
      </w:pPr>
      <w:r>
        <w:rPr>
          <w:sz w:val="18"/>
          <w:szCs w:val="18"/>
          <w:vertAlign w:val="superscript"/>
        </w:rPr>
        <w:t>*4</w:t>
      </w:r>
      <w:r>
        <w:rPr>
          <w:rFonts w:hint="eastAsia"/>
          <w:sz w:val="18"/>
          <w:szCs w:val="18"/>
        </w:rPr>
        <w:t>涉及多个生产经营场所、排污许可证及生产许可证，应分别填报。</w:t>
      </w:r>
    </w:p>
    <w:p w:rsidR="00506AE6" w:rsidRDefault="0072598A">
      <w:pPr>
        <w:widowControl/>
        <w:ind w:left="180" w:hangingChars="100" w:hanging="180"/>
        <w:rPr>
          <w:sz w:val="18"/>
          <w:szCs w:val="18"/>
        </w:rPr>
      </w:pPr>
      <w:r>
        <w:rPr>
          <w:sz w:val="18"/>
          <w:szCs w:val="18"/>
          <w:vertAlign w:val="superscript"/>
        </w:rPr>
        <w:t>*5</w:t>
      </w:r>
      <w:r>
        <w:rPr>
          <w:rFonts w:hint="eastAsia"/>
          <w:sz w:val="18"/>
          <w:szCs w:val="18"/>
        </w:rPr>
        <w:t>行业代码应按照国家统计局发布的国民经济行业分类</w:t>
      </w:r>
      <w:r>
        <w:rPr>
          <w:rFonts w:hint="eastAsia"/>
          <w:sz w:val="18"/>
          <w:szCs w:val="18"/>
        </w:rPr>
        <w:t>GB/T 4754</w:t>
      </w:r>
      <w:r>
        <w:rPr>
          <w:rFonts w:hint="eastAsia"/>
          <w:sz w:val="18"/>
          <w:szCs w:val="18"/>
        </w:rPr>
        <w:t>要求填报。</w:t>
      </w:r>
    </w:p>
    <w:p w:rsidR="00506AE6" w:rsidRDefault="0072598A">
      <w:pPr>
        <w:widowControl/>
        <w:ind w:left="180" w:hangingChars="100" w:hanging="180"/>
        <w:rPr>
          <w:sz w:val="18"/>
          <w:szCs w:val="18"/>
        </w:rPr>
      </w:pPr>
      <w:r>
        <w:rPr>
          <w:sz w:val="18"/>
          <w:szCs w:val="18"/>
          <w:vertAlign w:val="superscript"/>
        </w:rPr>
        <w:t>*6</w:t>
      </w:r>
      <w:r>
        <w:rPr>
          <w:rFonts w:hint="eastAsia"/>
          <w:sz w:val="18"/>
          <w:szCs w:val="18"/>
        </w:rPr>
        <w:t>产品代码应按照国家统计局相关要求填报。</w:t>
      </w:r>
    </w:p>
    <w:p w:rsidR="00506AE6" w:rsidRDefault="0072598A">
      <w:pPr>
        <w:widowControl/>
        <w:ind w:left="180" w:hangingChars="100" w:hanging="180"/>
        <w:rPr>
          <w:sz w:val="18"/>
          <w:szCs w:val="18"/>
        </w:rPr>
      </w:pPr>
      <w:r>
        <w:rPr>
          <w:sz w:val="18"/>
          <w:szCs w:val="18"/>
          <w:vertAlign w:val="superscript"/>
        </w:rPr>
        <w:lastRenderedPageBreak/>
        <w:t>*</w:t>
      </w:r>
      <w:r>
        <w:rPr>
          <w:rFonts w:hint="eastAsia"/>
          <w:sz w:val="18"/>
          <w:szCs w:val="18"/>
          <w:vertAlign w:val="superscript"/>
        </w:rPr>
        <w:t>7</w:t>
      </w:r>
      <w:r>
        <w:rPr>
          <w:sz w:val="18"/>
          <w:szCs w:val="18"/>
        </w:rPr>
        <w:t>编制温室气体排放报告的技术服务机构是指为</w:t>
      </w:r>
      <w:r>
        <w:rPr>
          <w:rFonts w:hint="eastAsia"/>
          <w:sz w:val="18"/>
          <w:szCs w:val="18"/>
        </w:rPr>
        <w:t>企业</w:t>
      </w:r>
      <w:r>
        <w:rPr>
          <w:sz w:val="18"/>
          <w:szCs w:val="18"/>
        </w:rPr>
        <w:t>提供本年度碳排放核算、报告编制或碳资产管理等咨询服务机构，不包括开展碳排放核查</w:t>
      </w:r>
      <w:r>
        <w:rPr>
          <w:sz w:val="18"/>
          <w:szCs w:val="18"/>
        </w:rPr>
        <w:t>/</w:t>
      </w:r>
      <w:r>
        <w:rPr>
          <w:rFonts w:hint="eastAsia"/>
          <w:sz w:val="18"/>
          <w:szCs w:val="18"/>
        </w:rPr>
        <w:t>复核</w:t>
      </w:r>
      <w:r>
        <w:rPr>
          <w:sz w:val="18"/>
          <w:szCs w:val="18"/>
        </w:rPr>
        <w:t>的机构。</w:t>
      </w:r>
      <w:r>
        <w:rPr>
          <w:rFonts w:hint="eastAsia"/>
          <w:sz w:val="18"/>
          <w:szCs w:val="18"/>
        </w:rPr>
        <w:t>若</w:t>
      </w:r>
      <w:r>
        <w:rPr>
          <w:sz w:val="18"/>
          <w:szCs w:val="18"/>
        </w:rPr>
        <w:t>企业自行</w:t>
      </w:r>
      <w:r>
        <w:rPr>
          <w:rFonts w:hint="eastAsia"/>
          <w:sz w:val="18"/>
          <w:szCs w:val="18"/>
        </w:rPr>
        <w:t>编制</w:t>
      </w:r>
      <w:r>
        <w:rPr>
          <w:sz w:val="18"/>
          <w:szCs w:val="18"/>
        </w:rPr>
        <w:t>温室气体排放报告，</w:t>
      </w:r>
      <w:r>
        <w:rPr>
          <w:rFonts w:hint="eastAsia"/>
          <w:sz w:val="18"/>
          <w:szCs w:val="18"/>
        </w:rPr>
        <w:t>无需</w:t>
      </w:r>
      <w:r>
        <w:rPr>
          <w:sz w:val="18"/>
          <w:szCs w:val="18"/>
        </w:rPr>
        <w:t>填</w:t>
      </w:r>
      <w:r>
        <w:rPr>
          <w:rFonts w:hint="eastAsia"/>
          <w:sz w:val="18"/>
          <w:szCs w:val="18"/>
        </w:rPr>
        <w:t>报。</w:t>
      </w:r>
    </w:p>
    <w:p w:rsidR="00506AE6" w:rsidRDefault="0072598A">
      <w:pPr>
        <w:widowControl/>
        <w:ind w:left="180" w:hangingChars="100" w:hanging="180"/>
        <w:rPr>
          <w:sz w:val="18"/>
          <w:szCs w:val="18"/>
        </w:rPr>
      </w:pPr>
      <w:r>
        <w:rPr>
          <w:sz w:val="18"/>
          <w:szCs w:val="18"/>
          <w:vertAlign w:val="superscript"/>
        </w:rPr>
        <w:t>*</w:t>
      </w:r>
      <w:r>
        <w:rPr>
          <w:rFonts w:hint="eastAsia"/>
          <w:sz w:val="18"/>
          <w:szCs w:val="18"/>
          <w:vertAlign w:val="superscript"/>
        </w:rPr>
        <w:t>8</w:t>
      </w:r>
      <w:r>
        <w:rPr>
          <w:rFonts w:hint="eastAsia"/>
          <w:sz w:val="18"/>
          <w:szCs w:val="18"/>
        </w:rPr>
        <w:t>填报并描述合并、分立、关停或搬迁等情况；主要生产运营系统关停或新增项目生产等情况；其他较上一年度变化情况。</w:t>
      </w:r>
    </w:p>
    <w:p w:rsidR="00506AE6" w:rsidRDefault="0072598A">
      <w:pPr>
        <w:widowControl/>
        <w:snapToGrid w:val="0"/>
        <w:ind w:left="180" w:hangingChars="100" w:hanging="180"/>
        <w:rPr>
          <w:bCs/>
          <w:kern w:val="0"/>
          <w:sz w:val="18"/>
          <w:szCs w:val="18"/>
        </w:rPr>
      </w:pPr>
      <w:r>
        <w:rPr>
          <w:sz w:val="18"/>
          <w:szCs w:val="18"/>
          <w:vertAlign w:val="superscript"/>
        </w:rPr>
        <w:t>*</w:t>
      </w:r>
      <w:r>
        <w:rPr>
          <w:rFonts w:hint="eastAsia"/>
          <w:sz w:val="18"/>
          <w:szCs w:val="18"/>
          <w:vertAlign w:val="superscript"/>
        </w:rPr>
        <w:t>9</w:t>
      </w:r>
      <w:r>
        <w:rPr>
          <w:rFonts w:hint="eastAsia"/>
          <w:bCs/>
          <w:kern w:val="0"/>
          <w:sz w:val="18"/>
          <w:szCs w:val="18"/>
        </w:rPr>
        <w:t>各参数按四舍五入保留小数位如下：</w:t>
      </w:r>
    </w:p>
    <w:p w:rsidR="00506AE6" w:rsidRDefault="0072598A">
      <w:pPr>
        <w:pStyle w:val="a5"/>
        <w:numPr>
          <w:ilvl w:val="0"/>
          <w:numId w:val="31"/>
        </w:numPr>
        <w:adjustRightInd w:val="0"/>
        <w:rPr>
          <w:sz w:val="18"/>
          <w:szCs w:val="18"/>
        </w:rPr>
      </w:pPr>
      <w:r>
        <w:rPr>
          <w:rFonts w:hint="eastAsia"/>
          <w:sz w:val="18"/>
          <w:szCs w:val="18"/>
        </w:rPr>
        <w:t>工业总产值保留到小数点后一位；</w:t>
      </w:r>
    </w:p>
    <w:p w:rsidR="00506AE6" w:rsidRDefault="0072598A">
      <w:pPr>
        <w:pStyle w:val="a5"/>
        <w:numPr>
          <w:ilvl w:val="0"/>
          <w:numId w:val="31"/>
        </w:numPr>
        <w:adjustRightInd w:val="0"/>
        <w:rPr>
          <w:sz w:val="18"/>
          <w:szCs w:val="18"/>
        </w:rPr>
      </w:pPr>
      <w:r>
        <w:rPr>
          <w:rFonts w:hint="eastAsia"/>
          <w:sz w:val="18"/>
          <w:szCs w:val="18"/>
        </w:rPr>
        <w:t>纳入全国碳排放权交易市场的发电设施经核查的二氧化碳排放量保留到整数位；</w:t>
      </w:r>
    </w:p>
    <w:p w:rsidR="00506AE6" w:rsidRDefault="0072598A">
      <w:pPr>
        <w:pStyle w:val="a5"/>
        <w:numPr>
          <w:ilvl w:val="0"/>
          <w:numId w:val="31"/>
        </w:numPr>
        <w:adjustRightInd w:val="0"/>
        <w:rPr>
          <w:sz w:val="18"/>
          <w:szCs w:val="18"/>
        </w:rPr>
      </w:pPr>
      <w:r>
        <w:rPr>
          <w:rFonts w:hint="eastAsia"/>
          <w:sz w:val="18"/>
          <w:szCs w:val="18"/>
        </w:rPr>
        <w:t>其他非水泥</w:t>
      </w:r>
      <w:r>
        <w:rPr>
          <w:rFonts w:hint="eastAsia"/>
          <w:sz w:val="18"/>
          <w:szCs w:val="18"/>
        </w:rPr>
        <w:t>产品</w:t>
      </w:r>
      <w:r>
        <w:rPr>
          <w:rFonts w:hint="eastAsia"/>
          <w:sz w:val="18"/>
          <w:szCs w:val="18"/>
        </w:rPr>
        <w:t>温室气体排放量保留到整数位。</w:t>
      </w:r>
    </w:p>
    <w:p w:rsidR="00506AE6" w:rsidRDefault="0072598A">
      <w:pPr>
        <w:spacing w:line="280" w:lineRule="exact"/>
        <w:ind w:left="210" w:firstLine="360"/>
        <w:rPr>
          <w:sz w:val="18"/>
          <w:szCs w:val="18"/>
        </w:rPr>
      </w:pPr>
      <w:r>
        <w:rPr>
          <w:sz w:val="18"/>
          <w:szCs w:val="18"/>
        </w:rPr>
        <w:br w:type="page"/>
      </w:r>
    </w:p>
    <w:p w:rsidR="00506AE6" w:rsidRDefault="0072598A">
      <w:pPr>
        <w:pStyle w:val="afffffe"/>
        <w:spacing w:before="156" w:after="156"/>
        <w:jc w:val="center"/>
        <w:outlineLvl w:val="1"/>
        <w:rPr>
          <w:rFonts w:ascii="Times New Roman"/>
        </w:rPr>
      </w:pPr>
      <w:r>
        <w:rPr>
          <w:rFonts w:ascii="Times New Roman" w:hint="eastAsia"/>
        </w:rPr>
        <w:lastRenderedPageBreak/>
        <w:t>附表</w:t>
      </w:r>
      <w:r>
        <w:rPr>
          <w:rFonts w:ascii="Times New Roman" w:hint="eastAsia"/>
        </w:rPr>
        <w:t>E</w:t>
      </w:r>
      <w:r>
        <w:rPr>
          <w:rFonts w:ascii="Times New Roman"/>
        </w:rPr>
        <w:t>.</w:t>
      </w:r>
      <w:r>
        <w:rPr>
          <w:rFonts w:ascii="Times New Roman" w:hint="eastAsia"/>
        </w:rPr>
        <w:t>2</w:t>
      </w:r>
      <w:r>
        <w:rPr>
          <w:rFonts w:ascii="Times New Roman"/>
        </w:rPr>
        <w:t xml:space="preserve">  </w:t>
      </w:r>
      <w:r>
        <w:rPr>
          <w:rFonts w:ascii="Times New Roman"/>
        </w:rPr>
        <w:t>生产线及排放设施信息</w:t>
      </w:r>
    </w:p>
    <w:tbl>
      <w:tblPr>
        <w:tblW w:w="8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3807"/>
        <w:gridCol w:w="1531"/>
        <w:gridCol w:w="1531"/>
      </w:tblGrid>
      <w:tr w:rsidR="00506AE6">
        <w:trPr>
          <w:trHeight w:val="283"/>
          <w:jc w:val="center"/>
        </w:trPr>
        <w:tc>
          <w:tcPr>
            <w:tcW w:w="1817"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生产线</w:t>
            </w:r>
            <w:r>
              <w:rPr>
                <w:vertAlign w:val="superscript"/>
              </w:rPr>
              <w:t>*1</w:t>
            </w:r>
          </w:p>
        </w:tc>
        <w:tc>
          <w:tcPr>
            <w:tcW w:w="3807"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信息项</w:t>
            </w:r>
          </w:p>
        </w:tc>
        <w:tc>
          <w:tcPr>
            <w:tcW w:w="1531" w:type="dxa"/>
            <w:shd w:val="clear" w:color="auto" w:fill="F2F2F2"/>
            <w:noWrap/>
            <w:vAlign w:val="center"/>
          </w:tcPr>
          <w:p w:rsidR="00506AE6" w:rsidRDefault="0072598A">
            <w:pPr>
              <w:adjustRightInd w:val="0"/>
              <w:snapToGrid w:val="0"/>
              <w:spacing w:line="240" w:lineRule="auto"/>
              <w:ind w:firstLineChars="0" w:firstLine="0"/>
              <w:jc w:val="center"/>
              <w:rPr>
                <w:szCs w:val="21"/>
              </w:rPr>
            </w:pPr>
            <w:r>
              <w:rPr>
                <w:szCs w:val="21"/>
              </w:rPr>
              <w:t>填报内容</w:t>
            </w:r>
          </w:p>
        </w:tc>
        <w:tc>
          <w:tcPr>
            <w:tcW w:w="1531" w:type="dxa"/>
            <w:shd w:val="clear" w:color="auto" w:fill="F2F2F2"/>
            <w:noWrap/>
            <w:vAlign w:val="center"/>
          </w:tcPr>
          <w:p w:rsidR="00506AE6" w:rsidRDefault="0072598A">
            <w:pPr>
              <w:adjustRightInd w:val="0"/>
              <w:snapToGrid w:val="0"/>
              <w:spacing w:line="240" w:lineRule="auto"/>
              <w:ind w:firstLineChars="0" w:firstLine="0"/>
              <w:jc w:val="center"/>
              <w:rPr>
                <w:szCs w:val="21"/>
              </w:rPr>
            </w:pPr>
            <w:r>
              <w:rPr>
                <w:rFonts w:hint="eastAsia"/>
                <w:szCs w:val="21"/>
              </w:rPr>
              <w:t>支撑材料</w:t>
            </w:r>
          </w:p>
        </w:tc>
      </w:tr>
      <w:tr w:rsidR="00506AE6">
        <w:trPr>
          <w:trHeight w:val="283"/>
          <w:jc w:val="center"/>
        </w:trPr>
        <w:tc>
          <w:tcPr>
            <w:tcW w:w="1817" w:type="dxa"/>
            <w:vMerge w:val="restart"/>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生产线</w:t>
            </w:r>
            <w:r>
              <w:rPr>
                <w:rFonts w:hint="eastAsia"/>
                <w:i/>
                <w:iCs/>
                <w:kern w:val="0"/>
                <w:szCs w:val="21"/>
              </w:rPr>
              <w:t>j</w:t>
            </w:r>
          </w:p>
        </w:tc>
        <w:tc>
          <w:tcPr>
            <w:tcW w:w="3807"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批复的设计能力（</w:t>
            </w:r>
            <w:r>
              <w:rPr>
                <w:kern w:val="0"/>
                <w:szCs w:val="21"/>
              </w:rPr>
              <w:t>t/d</w:t>
            </w:r>
            <w:r>
              <w:rPr>
                <w:kern w:val="0"/>
                <w:szCs w:val="21"/>
              </w:rPr>
              <w:t>）</w:t>
            </w:r>
            <w:r>
              <w:rPr>
                <w:vertAlign w:val="superscript"/>
              </w:rPr>
              <w:t>*2</w:t>
            </w: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1817" w:type="dxa"/>
            <w:vMerge/>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3807"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窑规格（</w:t>
            </w:r>
            <w:r>
              <w:rPr>
                <w:kern w:val="0"/>
                <w:szCs w:val="21"/>
              </w:rPr>
              <w:t>Ø×L</w:t>
            </w:r>
            <w:r>
              <w:rPr>
                <w:kern w:val="0"/>
                <w:szCs w:val="21"/>
              </w:rPr>
              <w:t>）（</w:t>
            </w:r>
            <w:r>
              <w:rPr>
                <w:kern w:val="0"/>
                <w:szCs w:val="21"/>
              </w:rPr>
              <w:t>m</w:t>
            </w:r>
            <w:r>
              <w:rPr>
                <w:kern w:val="0"/>
                <w:szCs w:val="21"/>
              </w:rPr>
              <w:t>）</w:t>
            </w:r>
            <w:r>
              <w:rPr>
                <w:vertAlign w:val="superscript"/>
              </w:rPr>
              <w:t>*3</w:t>
            </w: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1817" w:type="dxa"/>
            <w:vMerge/>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3807"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海拔高度（</w:t>
            </w:r>
            <w:r>
              <w:rPr>
                <w:kern w:val="0"/>
                <w:szCs w:val="21"/>
              </w:rPr>
              <w:t>m</w:t>
            </w:r>
            <w:r>
              <w:rPr>
                <w:kern w:val="0"/>
                <w:szCs w:val="21"/>
              </w:rPr>
              <w:t>）</w:t>
            </w:r>
            <w:r>
              <w:rPr>
                <w:vertAlign w:val="superscript"/>
              </w:rPr>
              <w:t>*</w:t>
            </w:r>
            <w:r>
              <w:rPr>
                <w:rFonts w:hint="eastAsia"/>
                <w:vertAlign w:val="superscript"/>
              </w:rPr>
              <w:t>4</w:t>
            </w: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1817" w:type="dxa"/>
            <w:vMerge/>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3807"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熟料类别</w:t>
            </w:r>
            <w:r>
              <w:rPr>
                <w:vertAlign w:val="superscript"/>
              </w:rPr>
              <w:t>*</w:t>
            </w:r>
            <w:r>
              <w:rPr>
                <w:rFonts w:hint="eastAsia"/>
                <w:vertAlign w:val="superscript"/>
              </w:rPr>
              <w:t>5</w:t>
            </w: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1817" w:type="dxa"/>
            <w:vMerge/>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3807"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熟料品种</w:t>
            </w:r>
            <w:r>
              <w:rPr>
                <w:vertAlign w:val="superscript"/>
              </w:rPr>
              <w:t>*</w:t>
            </w:r>
            <w:r>
              <w:rPr>
                <w:rFonts w:hint="eastAsia"/>
                <w:vertAlign w:val="superscript"/>
              </w:rPr>
              <w:t>6</w:t>
            </w: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1817" w:type="dxa"/>
            <w:vMerge/>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3807"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批复的以电石渣为主要原料的生产线</w:t>
            </w:r>
            <w:r>
              <w:rPr>
                <w:vertAlign w:val="superscript"/>
              </w:rPr>
              <w:t>*</w:t>
            </w:r>
            <w:r>
              <w:rPr>
                <w:rFonts w:hint="eastAsia"/>
                <w:vertAlign w:val="superscript"/>
              </w:rPr>
              <w:t>7</w:t>
            </w:r>
          </w:p>
        </w:tc>
        <w:tc>
          <w:tcPr>
            <w:tcW w:w="1531"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szCs w:val="21"/>
              </w:rPr>
              <w:sym w:font="Wingdings" w:char="F0A8"/>
            </w:r>
            <w:r>
              <w:rPr>
                <w:szCs w:val="21"/>
              </w:rPr>
              <w:t>是</w:t>
            </w:r>
            <w:r>
              <w:rPr>
                <w:szCs w:val="21"/>
              </w:rPr>
              <w:t xml:space="preserve">  </w:t>
            </w:r>
            <w:r>
              <w:rPr>
                <w:szCs w:val="21"/>
              </w:rPr>
              <w:sym w:font="Wingdings" w:char="F0A8"/>
            </w:r>
            <w:r>
              <w:rPr>
                <w:szCs w:val="21"/>
              </w:rPr>
              <w:t>否</w:t>
            </w: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1817" w:type="dxa"/>
            <w:vMerge/>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3807"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批复的替代燃料处理能力</w:t>
            </w:r>
            <w:r>
              <w:rPr>
                <w:vertAlign w:val="superscript"/>
              </w:rPr>
              <w:t>*</w:t>
            </w:r>
            <w:r>
              <w:rPr>
                <w:rFonts w:hint="eastAsia"/>
                <w:vertAlign w:val="superscript"/>
              </w:rPr>
              <w:t>8</w:t>
            </w: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1817" w:type="dxa"/>
            <w:vMerge/>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3807"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批复的替代燃料种类</w:t>
            </w:r>
            <w:r>
              <w:rPr>
                <w:vertAlign w:val="superscript"/>
              </w:rPr>
              <w:t>*</w:t>
            </w:r>
            <w:r>
              <w:rPr>
                <w:rFonts w:hint="eastAsia"/>
                <w:vertAlign w:val="superscript"/>
              </w:rPr>
              <w:t>9</w:t>
            </w: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1817" w:type="dxa"/>
            <w:vMerge/>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3807"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批复的协同处置能力</w:t>
            </w:r>
            <w:r>
              <w:rPr>
                <w:vertAlign w:val="superscript"/>
              </w:rPr>
              <w:t>*</w:t>
            </w:r>
            <w:r>
              <w:rPr>
                <w:rFonts w:hint="eastAsia"/>
                <w:vertAlign w:val="superscript"/>
              </w:rPr>
              <w:t>10</w:t>
            </w: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1817" w:type="dxa"/>
            <w:vMerge/>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3807"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批复的协同处置废物种类</w:t>
            </w:r>
            <w:r>
              <w:rPr>
                <w:vertAlign w:val="superscript"/>
              </w:rPr>
              <w:t>*1</w:t>
            </w:r>
            <w:r>
              <w:rPr>
                <w:rFonts w:hint="eastAsia"/>
                <w:vertAlign w:val="superscript"/>
              </w:rPr>
              <w:t>1</w:t>
            </w: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1817"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rFonts w:ascii="宋体" w:hAnsi="宋体"/>
                <w:kern w:val="0"/>
                <w:szCs w:val="21"/>
              </w:rPr>
            </w:pPr>
            <w:r>
              <w:rPr>
                <w:rFonts w:ascii="宋体" w:hAnsi="宋体"/>
                <w:kern w:val="0"/>
                <w:szCs w:val="21"/>
              </w:rPr>
              <w:t>…</w:t>
            </w:r>
          </w:p>
        </w:tc>
        <w:tc>
          <w:tcPr>
            <w:tcW w:w="3807" w:type="dxa"/>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531"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r>
    </w:tbl>
    <w:p w:rsidR="00506AE6" w:rsidRDefault="0072598A">
      <w:pPr>
        <w:widowControl/>
        <w:ind w:left="180" w:hangingChars="100" w:hanging="180"/>
        <w:rPr>
          <w:sz w:val="18"/>
          <w:szCs w:val="18"/>
        </w:rPr>
      </w:pPr>
      <w:r>
        <w:rPr>
          <w:sz w:val="18"/>
          <w:szCs w:val="18"/>
        </w:rPr>
        <w:t>填报说明：</w:t>
      </w:r>
    </w:p>
    <w:p w:rsidR="00506AE6" w:rsidRDefault="0072598A">
      <w:pPr>
        <w:widowControl/>
        <w:ind w:left="180" w:hangingChars="100" w:hanging="180"/>
        <w:rPr>
          <w:sz w:val="18"/>
          <w:szCs w:val="18"/>
        </w:rPr>
      </w:pPr>
      <w:r>
        <w:rPr>
          <w:sz w:val="18"/>
          <w:szCs w:val="18"/>
          <w:vertAlign w:val="superscript"/>
        </w:rPr>
        <w:t>*</w:t>
      </w:r>
      <w:r>
        <w:rPr>
          <w:rFonts w:hint="eastAsia"/>
          <w:sz w:val="18"/>
          <w:szCs w:val="18"/>
          <w:vertAlign w:val="superscript"/>
        </w:rPr>
        <w:t>1</w:t>
      </w:r>
      <w:r>
        <w:rPr>
          <w:rFonts w:hint="eastAsia"/>
          <w:sz w:val="18"/>
          <w:szCs w:val="18"/>
        </w:rPr>
        <w:t>若生产线多于</w:t>
      </w:r>
      <w:r>
        <w:rPr>
          <w:sz w:val="18"/>
          <w:szCs w:val="18"/>
        </w:rPr>
        <w:t>1</w:t>
      </w:r>
      <w:r>
        <w:rPr>
          <w:rFonts w:hint="eastAsia"/>
          <w:sz w:val="18"/>
          <w:szCs w:val="18"/>
        </w:rPr>
        <w:t>条，应分别填报。</w:t>
      </w:r>
    </w:p>
    <w:p w:rsidR="00506AE6" w:rsidRDefault="0072598A">
      <w:pPr>
        <w:widowControl/>
        <w:ind w:left="180" w:hangingChars="100" w:hanging="180"/>
        <w:rPr>
          <w:sz w:val="18"/>
          <w:szCs w:val="18"/>
        </w:rPr>
      </w:pPr>
      <w:r>
        <w:rPr>
          <w:sz w:val="18"/>
          <w:szCs w:val="18"/>
          <w:vertAlign w:val="superscript"/>
        </w:rPr>
        <w:t>*</w:t>
      </w:r>
      <w:r>
        <w:rPr>
          <w:rFonts w:hint="eastAsia"/>
          <w:sz w:val="18"/>
          <w:szCs w:val="18"/>
          <w:vertAlign w:val="superscript"/>
        </w:rPr>
        <w:t>2</w:t>
      </w:r>
      <w:r>
        <w:rPr>
          <w:rFonts w:hint="eastAsia"/>
          <w:sz w:val="18"/>
          <w:szCs w:val="18"/>
        </w:rPr>
        <w:t>填报主管部门的批复产能。</w:t>
      </w:r>
      <w:r>
        <w:rPr>
          <w:sz w:val="18"/>
          <w:szCs w:val="18"/>
        </w:rPr>
        <w:t>若批复的是年产能，则按</w:t>
      </w:r>
      <w:r>
        <w:rPr>
          <w:sz w:val="18"/>
          <w:szCs w:val="18"/>
        </w:rPr>
        <w:t>310</w:t>
      </w:r>
      <w:r>
        <w:rPr>
          <w:sz w:val="18"/>
          <w:szCs w:val="18"/>
        </w:rPr>
        <w:t>天折算</w:t>
      </w:r>
      <w:r>
        <w:rPr>
          <w:rFonts w:hint="eastAsia"/>
          <w:sz w:val="18"/>
          <w:szCs w:val="18"/>
        </w:rPr>
        <w:t>每日设计能力。</w:t>
      </w:r>
    </w:p>
    <w:p w:rsidR="00506AE6" w:rsidRDefault="0072598A">
      <w:pPr>
        <w:widowControl/>
        <w:ind w:left="180" w:hangingChars="100" w:hanging="180"/>
        <w:rPr>
          <w:sz w:val="18"/>
          <w:szCs w:val="18"/>
        </w:rPr>
      </w:pPr>
      <w:r>
        <w:rPr>
          <w:sz w:val="18"/>
          <w:szCs w:val="18"/>
          <w:vertAlign w:val="superscript"/>
        </w:rPr>
        <w:t>*</w:t>
      </w:r>
      <w:r>
        <w:rPr>
          <w:rFonts w:hint="eastAsia"/>
          <w:sz w:val="18"/>
          <w:szCs w:val="18"/>
          <w:vertAlign w:val="superscript"/>
        </w:rPr>
        <w:t>3</w:t>
      </w:r>
      <w:r>
        <w:rPr>
          <w:rFonts w:hint="eastAsia"/>
          <w:sz w:val="18"/>
          <w:szCs w:val="18"/>
        </w:rPr>
        <w:t>根据生产许可证上的窑规格信息填报，例如通径窑填报格式为</w:t>
      </w:r>
      <w:r>
        <w:rPr>
          <w:sz w:val="18"/>
          <w:szCs w:val="18"/>
        </w:rPr>
        <w:t>4.8</w:t>
      </w:r>
      <w:r>
        <w:rPr>
          <w:rFonts w:hint="eastAsia"/>
          <w:sz w:val="18"/>
          <w:szCs w:val="18"/>
        </w:rPr>
        <w:t>×</w:t>
      </w:r>
      <w:r>
        <w:rPr>
          <w:sz w:val="18"/>
          <w:szCs w:val="18"/>
        </w:rPr>
        <w:t>70</w:t>
      </w:r>
      <w:r>
        <w:rPr>
          <w:rFonts w:hint="eastAsia"/>
          <w:sz w:val="18"/>
          <w:szCs w:val="18"/>
        </w:rPr>
        <w:t>，变径窑填报格式为</w:t>
      </w:r>
      <w:r>
        <w:rPr>
          <w:sz w:val="18"/>
          <w:szCs w:val="18"/>
        </w:rPr>
        <w:t>7.2/6.2/6</w:t>
      </w:r>
      <w:r>
        <w:rPr>
          <w:rFonts w:hint="eastAsia"/>
          <w:sz w:val="18"/>
          <w:szCs w:val="18"/>
        </w:rPr>
        <w:t>×</w:t>
      </w:r>
      <w:r>
        <w:rPr>
          <w:sz w:val="18"/>
          <w:szCs w:val="18"/>
        </w:rPr>
        <w:t>96</w:t>
      </w:r>
      <w:r>
        <w:rPr>
          <w:rFonts w:hint="eastAsia"/>
          <w:sz w:val="18"/>
          <w:szCs w:val="18"/>
        </w:rPr>
        <w:t>。</w:t>
      </w:r>
    </w:p>
    <w:p w:rsidR="00506AE6" w:rsidRDefault="0072598A">
      <w:pPr>
        <w:widowControl/>
        <w:ind w:left="180" w:hangingChars="100" w:hanging="180"/>
        <w:rPr>
          <w:sz w:val="18"/>
          <w:szCs w:val="18"/>
        </w:rPr>
      </w:pPr>
      <w:r>
        <w:rPr>
          <w:sz w:val="18"/>
          <w:szCs w:val="18"/>
          <w:vertAlign w:val="superscript"/>
        </w:rPr>
        <w:t>*</w:t>
      </w:r>
      <w:r>
        <w:rPr>
          <w:rFonts w:hint="eastAsia"/>
          <w:sz w:val="18"/>
          <w:szCs w:val="18"/>
          <w:vertAlign w:val="superscript"/>
        </w:rPr>
        <w:t>4</w:t>
      </w:r>
      <w:r>
        <w:rPr>
          <w:rFonts w:hint="eastAsia"/>
          <w:sz w:val="18"/>
          <w:szCs w:val="18"/>
        </w:rPr>
        <w:t>海报高度按四舍五入保留到整数位。</w:t>
      </w:r>
    </w:p>
    <w:p w:rsidR="00506AE6" w:rsidRDefault="0072598A">
      <w:pPr>
        <w:widowControl/>
        <w:ind w:left="180" w:hangingChars="100" w:hanging="180"/>
        <w:rPr>
          <w:sz w:val="18"/>
          <w:szCs w:val="18"/>
        </w:rPr>
      </w:pPr>
      <w:r>
        <w:rPr>
          <w:sz w:val="18"/>
          <w:szCs w:val="18"/>
          <w:vertAlign w:val="superscript"/>
        </w:rPr>
        <w:t>*</w:t>
      </w:r>
      <w:r>
        <w:rPr>
          <w:rFonts w:hint="eastAsia"/>
          <w:sz w:val="18"/>
          <w:szCs w:val="18"/>
          <w:vertAlign w:val="superscript"/>
        </w:rPr>
        <w:t>5</w:t>
      </w:r>
      <w:r>
        <w:rPr>
          <w:rFonts w:hint="eastAsia"/>
          <w:sz w:val="18"/>
          <w:szCs w:val="18"/>
        </w:rPr>
        <w:t>熟料</w:t>
      </w:r>
      <w:r>
        <w:rPr>
          <w:rFonts w:hint="eastAsia"/>
          <w:sz w:val="18"/>
          <w:szCs w:val="18"/>
        </w:rPr>
        <w:t>类别按硅酸盐水泥熟料、</w:t>
      </w:r>
      <w:r>
        <w:rPr>
          <w:rFonts w:hint="eastAsia"/>
          <w:sz w:val="18"/>
          <w:szCs w:val="18"/>
        </w:rPr>
        <w:t>白色硅酸盐水泥熟料、铝酸盐水泥熟料、硫</w:t>
      </w:r>
      <w:r>
        <w:rPr>
          <w:rFonts w:hint="eastAsia"/>
          <w:sz w:val="18"/>
          <w:szCs w:val="18"/>
        </w:rPr>
        <w:t>（</w:t>
      </w:r>
      <w:r>
        <w:rPr>
          <w:rFonts w:hint="eastAsia"/>
          <w:sz w:val="18"/>
          <w:szCs w:val="18"/>
        </w:rPr>
        <w:t>铁</w:t>
      </w:r>
      <w:r>
        <w:rPr>
          <w:rFonts w:hint="eastAsia"/>
          <w:sz w:val="18"/>
          <w:szCs w:val="18"/>
        </w:rPr>
        <w:t>）</w:t>
      </w:r>
      <w:r>
        <w:rPr>
          <w:rFonts w:hint="eastAsia"/>
          <w:sz w:val="18"/>
          <w:szCs w:val="18"/>
        </w:rPr>
        <w:t>铝酸盐水泥熟料</w:t>
      </w:r>
      <w:r>
        <w:rPr>
          <w:rFonts w:hint="eastAsia"/>
          <w:sz w:val="18"/>
          <w:szCs w:val="18"/>
        </w:rPr>
        <w:t>类别填报</w:t>
      </w:r>
      <w:r>
        <w:rPr>
          <w:rFonts w:hint="eastAsia"/>
          <w:sz w:val="18"/>
          <w:szCs w:val="18"/>
        </w:rPr>
        <w:t>。</w:t>
      </w:r>
    </w:p>
    <w:p w:rsidR="00506AE6" w:rsidRDefault="0072598A">
      <w:pPr>
        <w:widowControl/>
        <w:ind w:left="180" w:hangingChars="100" w:hanging="180"/>
        <w:rPr>
          <w:sz w:val="18"/>
          <w:szCs w:val="18"/>
          <w:highlight w:val="yellow"/>
        </w:rPr>
      </w:pPr>
      <w:r>
        <w:rPr>
          <w:sz w:val="18"/>
          <w:szCs w:val="18"/>
          <w:vertAlign w:val="superscript"/>
        </w:rPr>
        <w:t>*6</w:t>
      </w:r>
      <w:r>
        <w:rPr>
          <w:rFonts w:hint="eastAsia"/>
          <w:sz w:val="18"/>
          <w:szCs w:val="18"/>
        </w:rPr>
        <w:t>熟料品种</w:t>
      </w:r>
      <w:r>
        <w:rPr>
          <w:rFonts w:hint="eastAsia"/>
          <w:sz w:val="18"/>
          <w:szCs w:val="18"/>
        </w:rPr>
        <w:t>包括通用水泥熟料、低碱通用水泥熟料、中抗硫酸盐水泥熟料、高抗硫酸盐水泥熟料、中热水泥熟</w:t>
      </w:r>
      <w:r>
        <w:rPr>
          <w:rFonts w:hint="eastAsia"/>
          <w:sz w:val="18"/>
          <w:szCs w:val="18"/>
        </w:rPr>
        <w:t>料、低热水泥熟料、道路硅酸盐水泥熟料、油井水泥熟料和核电工程用硅酸盐水泥熟料等硅酸盐水泥熟料，以及白色硅酸盐水泥熟料、铝酸盐水泥熟料、硫铝酸盐水泥熟料、铁铝酸盐水泥熟料。</w:t>
      </w:r>
    </w:p>
    <w:p w:rsidR="00506AE6" w:rsidRDefault="0072598A">
      <w:pPr>
        <w:widowControl/>
        <w:ind w:left="180" w:hangingChars="100" w:hanging="180"/>
        <w:rPr>
          <w:sz w:val="18"/>
          <w:szCs w:val="18"/>
        </w:rPr>
      </w:pPr>
      <w:r>
        <w:rPr>
          <w:sz w:val="18"/>
          <w:szCs w:val="18"/>
          <w:vertAlign w:val="superscript"/>
        </w:rPr>
        <w:t>*</w:t>
      </w:r>
      <w:r>
        <w:rPr>
          <w:rFonts w:hint="eastAsia"/>
          <w:sz w:val="18"/>
          <w:szCs w:val="18"/>
          <w:vertAlign w:val="superscript"/>
        </w:rPr>
        <w:t>7</w:t>
      </w:r>
      <w:r>
        <w:rPr>
          <w:rFonts w:hint="eastAsia"/>
          <w:sz w:val="18"/>
          <w:szCs w:val="18"/>
        </w:rPr>
        <w:t>根据主管部门批复的生产线信息填报。</w:t>
      </w:r>
    </w:p>
    <w:p w:rsidR="00506AE6" w:rsidRDefault="0072598A">
      <w:pPr>
        <w:widowControl/>
        <w:ind w:left="180" w:hangingChars="100" w:hanging="180"/>
        <w:rPr>
          <w:sz w:val="18"/>
          <w:szCs w:val="18"/>
        </w:rPr>
      </w:pPr>
      <w:r>
        <w:rPr>
          <w:sz w:val="18"/>
          <w:szCs w:val="18"/>
          <w:vertAlign w:val="superscript"/>
        </w:rPr>
        <w:t>*</w:t>
      </w:r>
      <w:r>
        <w:rPr>
          <w:rFonts w:hint="eastAsia"/>
          <w:sz w:val="18"/>
          <w:szCs w:val="18"/>
          <w:vertAlign w:val="superscript"/>
        </w:rPr>
        <w:t>8</w:t>
      </w:r>
      <w:r>
        <w:rPr>
          <w:rFonts w:hint="eastAsia"/>
          <w:sz w:val="18"/>
          <w:szCs w:val="18"/>
        </w:rPr>
        <w:t>根据主管部门批复的生产线替代燃料处理项目信息填报。若批复的是年处</w:t>
      </w:r>
      <w:r>
        <w:rPr>
          <w:rFonts w:hint="eastAsia"/>
          <w:sz w:val="18"/>
          <w:szCs w:val="18"/>
        </w:rPr>
        <w:t>理能力，例如：年处理</w:t>
      </w:r>
      <w:r>
        <w:rPr>
          <w:rFonts w:hint="eastAsia"/>
          <w:sz w:val="18"/>
          <w:szCs w:val="18"/>
        </w:rPr>
        <w:t>1</w:t>
      </w:r>
      <w:r>
        <w:rPr>
          <w:sz w:val="18"/>
          <w:szCs w:val="18"/>
        </w:rPr>
        <w:t>0</w:t>
      </w:r>
      <w:r>
        <w:rPr>
          <w:rFonts w:hint="eastAsia"/>
          <w:sz w:val="18"/>
          <w:szCs w:val="18"/>
        </w:rPr>
        <w:t>万</w:t>
      </w:r>
      <w:r>
        <w:rPr>
          <w:sz w:val="18"/>
          <w:szCs w:val="18"/>
        </w:rPr>
        <w:t>t</w:t>
      </w:r>
      <w:r>
        <w:rPr>
          <w:rFonts w:hint="eastAsia"/>
          <w:sz w:val="18"/>
          <w:szCs w:val="18"/>
        </w:rPr>
        <w:t>，则填报</w:t>
      </w:r>
      <w:r>
        <w:rPr>
          <w:rFonts w:hint="eastAsia"/>
          <w:sz w:val="18"/>
          <w:szCs w:val="18"/>
        </w:rPr>
        <w:t>10</w:t>
      </w:r>
      <w:r>
        <w:rPr>
          <w:rFonts w:hint="eastAsia"/>
          <w:sz w:val="18"/>
          <w:szCs w:val="18"/>
        </w:rPr>
        <w:t>万</w:t>
      </w:r>
      <w:r>
        <w:rPr>
          <w:rFonts w:hint="eastAsia"/>
          <w:sz w:val="18"/>
          <w:szCs w:val="18"/>
        </w:rPr>
        <w:t>t/a</w:t>
      </w:r>
      <w:r>
        <w:rPr>
          <w:rFonts w:hint="eastAsia"/>
          <w:sz w:val="18"/>
          <w:szCs w:val="18"/>
        </w:rPr>
        <w:t>；若批复的是日处理能力，例如：日处理</w:t>
      </w:r>
      <w:r>
        <w:rPr>
          <w:rFonts w:hint="eastAsia"/>
          <w:sz w:val="18"/>
          <w:szCs w:val="18"/>
        </w:rPr>
        <w:t>300</w:t>
      </w:r>
      <w:r>
        <w:rPr>
          <w:sz w:val="18"/>
          <w:szCs w:val="18"/>
        </w:rPr>
        <w:t>t</w:t>
      </w:r>
      <w:r>
        <w:rPr>
          <w:rFonts w:hint="eastAsia"/>
          <w:sz w:val="18"/>
          <w:szCs w:val="18"/>
        </w:rPr>
        <w:t>，则填报</w:t>
      </w:r>
      <w:r>
        <w:rPr>
          <w:rFonts w:hint="eastAsia"/>
          <w:sz w:val="18"/>
          <w:szCs w:val="18"/>
        </w:rPr>
        <w:t>300t/d</w:t>
      </w:r>
      <w:r>
        <w:rPr>
          <w:rFonts w:hint="eastAsia"/>
          <w:sz w:val="18"/>
          <w:szCs w:val="18"/>
        </w:rPr>
        <w:t>。</w:t>
      </w:r>
    </w:p>
    <w:p w:rsidR="00506AE6" w:rsidRDefault="0072598A">
      <w:pPr>
        <w:widowControl/>
        <w:ind w:left="180" w:hangingChars="100" w:hanging="180"/>
        <w:rPr>
          <w:sz w:val="18"/>
          <w:szCs w:val="18"/>
        </w:rPr>
      </w:pPr>
      <w:r>
        <w:rPr>
          <w:sz w:val="18"/>
          <w:szCs w:val="18"/>
          <w:vertAlign w:val="superscript"/>
        </w:rPr>
        <w:t>*</w:t>
      </w:r>
      <w:r>
        <w:rPr>
          <w:rFonts w:hint="eastAsia"/>
          <w:sz w:val="18"/>
          <w:szCs w:val="18"/>
          <w:vertAlign w:val="superscript"/>
        </w:rPr>
        <w:t>9</w:t>
      </w:r>
      <w:r>
        <w:rPr>
          <w:rFonts w:hint="eastAsia"/>
          <w:sz w:val="18"/>
          <w:szCs w:val="18"/>
        </w:rPr>
        <w:t>存在多种替代燃料，应全部列出。</w:t>
      </w:r>
    </w:p>
    <w:p w:rsidR="00506AE6" w:rsidRDefault="0072598A">
      <w:pPr>
        <w:widowControl/>
        <w:ind w:left="180" w:hangingChars="100" w:hanging="180"/>
        <w:rPr>
          <w:sz w:val="18"/>
          <w:szCs w:val="18"/>
        </w:rPr>
      </w:pPr>
      <w:r>
        <w:rPr>
          <w:sz w:val="18"/>
          <w:szCs w:val="18"/>
          <w:vertAlign w:val="superscript"/>
        </w:rPr>
        <w:t>*</w:t>
      </w:r>
      <w:r>
        <w:rPr>
          <w:rFonts w:hint="eastAsia"/>
          <w:sz w:val="18"/>
          <w:szCs w:val="18"/>
          <w:vertAlign w:val="superscript"/>
        </w:rPr>
        <w:t>10</w:t>
      </w:r>
      <w:r>
        <w:rPr>
          <w:rFonts w:hint="eastAsia"/>
          <w:sz w:val="18"/>
          <w:szCs w:val="18"/>
        </w:rPr>
        <w:t>根据主管部门批复的水泥窑协同处置项目信息填报。若批复的是年处置能力，例如：年处置</w:t>
      </w:r>
      <w:r>
        <w:rPr>
          <w:rFonts w:hint="eastAsia"/>
          <w:sz w:val="18"/>
          <w:szCs w:val="18"/>
        </w:rPr>
        <w:t>50</w:t>
      </w:r>
      <w:r>
        <w:rPr>
          <w:rFonts w:hint="eastAsia"/>
          <w:sz w:val="18"/>
          <w:szCs w:val="18"/>
        </w:rPr>
        <w:t>万</w:t>
      </w:r>
      <w:r>
        <w:rPr>
          <w:sz w:val="18"/>
          <w:szCs w:val="18"/>
        </w:rPr>
        <w:t>t</w:t>
      </w:r>
      <w:r>
        <w:rPr>
          <w:rFonts w:hint="eastAsia"/>
          <w:sz w:val="18"/>
          <w:szCs w:val="18"/>
        </w:rPr>
        <w:t>，则填报</w:t>
      </w:r>
      <w:r>
        <w:rPr>
          <w:rFonts w:hint="eastAsia"/>
          <w:sz w:val="18"/>
          <w:szCs w:val="18"/>
        </w:rPr>
        <w:t>50</w:t>
      </w:r>
      <w:r>
        <w:rPr>
          <w:rFonts w:hint="eastAsia"/>
          <w:sz w:val="18"/>
          <w:szCs w:val="18"/>
        </w:rPr>
        <w:t>万</w:t>
      </w:r>
      <w:r>
        <w:rPr>
          <w:rFonts w:hint="eastAsia"/>
          <w:sz w:val="18"/>
          <w:szCs w:val="18"/>
        </w:rPr>
        <w:t>t/a</w:t>
      </w:r>
      <w:r>
        <w:rPr>
          <w:rFonts w:hint="eastAsia"/>
          <w:sz w:val="18"/>
          <w:szCs w:val="18"/>
        </w:rPr>
        <w:t>；若批复的是日处置能力，例如：日处置</w:t>
      </w:r>
      <w:r>
        <w:rPr>
          <w:rFonts w:hint="eastAsia"/>
          <w:sz w:val="18"/>
          <w:szCs w:val="18"/>
        </w:rPr>
        <w:t>800</w:t>
      </w:r>
      <w:r>
        <w:rPr>
          <w:sz w:val="18"/>
          <w:szCs w:val="18"/>
        </w:rPr>
        <w:t>t</w:t>
      </w:r>
      <w:r>
        <w:rPr>
          <w:rFonts w:hint="eastAsia"/>
          <w:sz w:val="18"/>
          <w:szCs w:val="18"/>
        </w:rPr>
        <w:t>，则填报</w:t>
      </w:r>
      <w:r>
        <w:rPr>
          <w:rFonts w:hint="eastAsia"/>
          <w:sz w:val="18"/>
          <w:szCs w:val="18"/>
        </w:rPr>
        <w:t>800t/d</w:t>
      </w:r>
      <w:r>
        <w:rPr>
          <w:rFonts w:hint="eastAsia"/>
          <w:sz w:val="18"/>
          <w:szCs w:val="18"/>
        </w:rPr>
        <w:t>。</w:t>
      </w:r>
    </w:p>
    <w:p w:rsidR="00506AE6" w:rsidRDefault="0072598A">
      <w:pPr>
        <w:widowControl/>
        <w:ind w:left="180" w:hangingChars="100" w:hanging="180"/>
        <w:jc w:val="left"/>
        <w:rPr>
          <w:sz w:val="18"/>
          <w:szCs w:val="18"/>
        </w:rPr>
      </w:pPr>
      <w:r>
        <w:rPr>
          <w:sz w:val="18"/>
          <w:szCs w:val="18"/>
          <w:vertAlign w:val="superscript"/>
        </w:rPr>
        <w:t>*1</w:t>
      </w:r>
      <w:r>
        <w:rPr>
          <w:rFonts w:hint="eastAsia"/>
          <w:sz w:val="18"/>
          <w:szCs w:val="18"/>
          <w:vertAlign w:val="superscript"/>
        </w:rPr>
        <w:t>1</w:t>
      </w:r>
      <w:r>
        <w:rPr>
          <w:rFonts w:hint="eastAsia"/>
          <w:sz w:val="18"/>
          <w:szCs w:val="18"/>
        </w:rPr>
        <w:t>可只列出批复的协同处置废物的类别。</w:t>
      </w:r>
    </w:p>
    <w:p w:rsidR="00506AE6" w:rsidRDefault="00506AE6">
      <w:pPr>
        <w:widowControl/>
        <w:ind w:left="210" w:hangingChars="100" w:hanging="210"/>
        <w:jc w:val="left"/>
        <w:rPr>
          <w:rFonts w:eastAsia="仿宋_GB2312"/>
        </w:rPr>
        <w:sectPr w:rsidR="00506AE6">
          <w:pgSz w:w="11906" w:h="16838"/>
          <w:pgMar w:top="1702" w:right="1616" w:bottom="1814" w:left="1616" w:header="851" w:footer="850" w:gutter="0"/>
          <w:cols w:space="720"/>
          <w:docGrid w:type="lines" w:linePitch="312"/>
        </w:sectPr>
      </w:pPr>
    </w:p>
    <w:p w:rsidR="00506AE6" w:rsidRDefault="0072598A">
      <w:pPr>
        <w:pStyle w:val="afffffe"/>
        <w:spacing w:before="156" w:after="156"/>
        <w:jc w:val="center"/>
        <w:outlineLvl w:val="1"/>
        <w:rPr>
          <w:rFonts w:ascii="Times New Roman"/>
        </w:rPr>
      </w:pPr>
      <w:bookmarkStart w:id="426" w:name="_Hlk146393282"/>
      <w:r>
        <w:rPr>
          <w:rFonts w:ascii="Times New Roman" w:hint="eastAsia"/>
        </w:rPr>
        <w:lastRenderedPageBreak/>
        <w:t>附表</w:t>
      </w:r>
      <w:r>
        <w:rPr>
          <w:rFonts w:ascii="Times New Roman" w:hint="eastAsia"/>
        </w:rPr>
        <w:t>E</w:t>
      </w:r>
      <w:r>
        <w:rPr>
          <w:rFonts w:ascii="Times New Roman"/>
        </w:rPr>
        <w:t>.</w:t>
      </w:r>
      <w:r>
        <w:rPr>
          <w:rFonts w:ascii="Times New Roman" w:hint="eastAsia"/>
        </w:rPr>
        <w:t>3</w:t>
      </w:r>
      <w:r>
        <w:rPr>
          <w:rFonts w:ascii="Times New Roman"/>
        </w:rPr>
        <w:t xml:space="preserve">  </w:t>
      </w:r>
      <w:r>
        <w:rPr>
          <w:rFonts w:ascii="Times New Roman" w:hint="eastAsia"/>
        </w:rPr>
        <w:t>熟料生产化石燃料燃烧排放表</w:t>
      </w: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1755"/>
        <w:gridCol w:w="1284"/>
        <w:gridCol w:w="737"/>
        <w:gridCol w:w="454"/>
        <w:gridCol w:w="454"/>
        <w:gridCol w:w="454"/>
        <w:gridCol w:w="454"/>
        <w:gridCol w:w="454"/>
        <w:gridCol w:w="454"/>
        <w:gridCol w:w="454"/>
        <w:gridCol w:w="454"/>
        <w:gridCol w:w="454"/>
        <w:gridCol w:w="454"/>
        <w:gridCol w:w="454"/>
        <w:gridCol w:w="454"/>
        <w:gridCol w:w="1304"/>
        <w:gridCol w:w="850"/>
        <w:gridCol w:w="680"/>
        <w:gridCol w:w="680"/>
      </w:tblGrid>
      <w:tr w:rsidR="00506AE6">
        <w:trPr>
          <w:trHeight w:val="283"/>
          <w:jc w:val="center"/>
        </w:trPr>
        <w:tc>
          <w:tcPr>
            <w:tcW w:w="974" w:type="dxa"/>
            <w:shd w:val="clear" w:color="auto" w:fill="F2F2F2"/>
            <w:noWrap/>
            <w:vAlign w:val="center"/>
          </w:tcPr>
          <w:bookmarkEnd w:id="426"/>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生产线名称</w:t>
            </w:r>
            <w:r>
              <w:rPr>
                <w:rFonts w:hint="eastAsia"/>
                <w:kern w:val="0"/>
                <w:szCs w:val="21"/>
                <w:vertAlign w:val="superscript"/>
              </w:rPr>
              <w:t>*1</w:t>
            </w:r>
          </w:p>
        </w:tc>
        <w:tc>
          <w:tcPr>
            <w:tcW w:w="3039" w:type="dxa"/>
            <w:gridSpan w:val="2"/>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信息项</w:t>
            </w:r>
            <w:r>
              <w:rPr>
                <w:rFonts w:hint="eastAsia"/>
                <w:kern w:val="0"/>
                <w:szCs w:val="21"/>
                <w:vertAlign w:val="superscript"/>
              </w:rPr>
              <w:t>*2</w:t>
            </w:r>
          </w:p>
        </w:tc>
        <w:tc>
          <w:tcPr>
            <w:tcW w:w="737"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单位</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1</w:t>
            </w:r>
            <w:r>
              <w:rPr>
                <w:rFonts w:hint="eastAsia"/>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2</w:t>
            </w:r>
            <w:r>
              <w:rPr>
                <w:rFonts w:hint="eastAsia"/>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3</w:t>
            </w:r>
            <w:r>
              <w:rPr>
                <w:rFonts w:hint="eastAsia"/>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4</w:t>
            </w:r>
            <w:r>
              <w:rPr>
                <w:rFonts w:hint="eastAsia"/>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5</w:t>
            </w:r>
            <w:r>
              <w:rPr>
                <w:rFonts w:hint="eastAsia"/>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6</w:t>
            </w:r>
            <w:r>
              <w:rPr>
                <w:rFonts w:hint="eastAsia"/>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7</w:t>
            </w:r>
            <w:r>
              <w:rPr>
                <w:rFonts w:hint="eastAsia"/>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8</w:t>
            </w:r>
            <w:r>
              <w:rPr>
                <w:rFonts w:hint="eastAsia"/>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9</w:t>
            </w:r>
            <w:r>
              <w:rPr>
                <w:rFonts w:hint="eastAsia"/>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10</w:t>
            </w:r>
            <w:r>
              <w:rPr>
                <w:rFonts w:hint="eastAsia"/>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11</w:t>
            </w:r>
            <w:r>
              <w:rPr>
                <w:rFonts w:hint="eastAsia"/>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12</w:t>
            </w:r>
            <w:r>
              <w:rPr>
                <w:rFonts w:hint="eastAsia"/>
                <w:kern w:val="0"/>
                <w:szCs w:val="21"/>
              </w:rPr>
              <w:t>月</w:t>
            </w:r>
          </w:p>
        </w:tc>
        <w:tc>
          <w:tcPr>
            <w:tcW w:w="130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全年</w:t>
            </w:r>
          </w:p>
        </w:tc>
        <w:tc>
          <w:tcPr>
            <w:tcW w:w="85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获取</w:t>
            </w:r>
          </w:p>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方式</w:t>
            </w:r>
            <w:r>
              <w:rPr>
                <w:rFonts w:hint="eastAsia"/>
                <w:kern w:val="0"/>
                <w:szCs w:val="21"/>
                <w:vertAlign w:val="superscript"/>
              </w:rPr>
              <w:t>*4</w:t>
            </w:r>
          </w:p>
        </w:tc>
        <w:tc>
          <w:tcPr>
            <w:tcW w:w="68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数据来源</w:t>
            </w:r>
          </w:p>
        </w:tc>
        <w:tc>
          <w:tcPr>
            <w:tcW w:w="68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支撑材料</w:t>
            </w:r>
          </w:p>
        </w:tc>
      </w:tr>
      <w:tr w:rsidR="00506AE6">
        <w:trPr>
          <w:trHeight w:val="283"/>
          <w:jc w:val="center"/>
        </w:trPr>
        <w:tc>
          <w:tcPr>
            <w:tcW w:w="974" w:type="dxa"/>
            <w:vMerge w:val="restart"/>
            <w:shd w:val="clear" w:color="auto" w:fill="auto"/>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生产线</w:t>
            </w:r>
            <w:r>
              <w:rPr>
                <w:rFonts w:hint="eastAsia"/>
                <w:i/>
                <w:iCs/>
                <w:kern w:val="0"/>
                <w:szCs w:val="21"/>
              </w:rPr>
              <w:t>j</w:t>
            </w:r>
            <w:r>
              <w:rPr>
                <w:rFonts w:hint="eastAsia"/>
                <w:iCs/>
                <w:kern w:val="0"/>
                <w:szCs w:val="21"/>
              </w:rPr>
              <w:t xml:space="preserve"> </w:t>
            </w:r>
          </w:p>
        </w:tc>
        <w:tc>
          <w:tcPr>
            <w:tcW w:w="1755" w:type="dxa"/>
            <w:vAlign w:val="center"/>
          </w:tcPr>
          <w:p w:rsidR="00506AE6" w:rsidRDefault="0072598A">
            <w:pPr>
              <w:widowControl/>
              <w:adjustRightInd w:val="0"/>
              <w:snapToGrid w:val="0"/>
              <w:spacing w:line="240" w:lineRule="auto"/>
              <w:ind w:firstLineChars="0" w:firstLine="0"/>
              <w:jc w:val="center"/>
              <w:textAlignment w:val="center"/>
              <w:rPr>
                <w:i/>
                <w:iCs/>
                <w:kern w:val="0"/>
                <w:szCs w:val="21"/>
              </w:rPr>
            </w:pPr>
            <m:oMathPara>
              <m:oMathParaPr>
                <m:jc m:val="left"/>
              </m:oMathParaPr>
              <m:oMath>
                <m:r>
                  <w:rPr>
                    <w:rFonts w:ascii="Cambria Math" w:hAnsi="Cambria Math"/>
                    <w:kern w:val="0"/>
                    <w:szCs w:val="21"/>
                  </w:rPr>
                  <m:t>F</m:t>
                </m:r>
                <m:sSub>
                  <m:sSubPr>
                    <m:ctrlPr>
                      <w:rPr>
                        <w:rFonts w:ascii="Cambria Math" w:hAnsi="Cambria Math" w:hint="eastAsia"/>
                        <w:i/>
                        <w:iCs/>
                        <w:kern w:val="0"/>
                        <w:szCs w:val="21"/>
                      </w:rPr>
                    </m:ctrlPr>
                  </m:sSubPr>
                  <m:e>
                    <m:r>
                      <w:rPr>
                        <w:rFonts w:ascii="Cambria Math" w:hAnsi="Cambria Math"/>
                        <w:kern w:val="0"/>
                        <w:szCs w:val="21"/>
                      </w:rPr>
                      <m:t>C</m:t>
                    </m:r>
                  </m:e>
                  <m:sub>
                    <m:r>
                      <w:rPr>
                        <w:rFonts w:ascii="Cambria Math" w:hAnsi="Cambria Math"/>
                        <w:kern w:val="0"/>
                        <w:szCs w:val="21"/>
                      </w:rPr>
                      <m:t>ck</m:t>
                    </m:r>
                    <m:r>
                      <w:rPr>
                        <w:rFonts w:ascii="Cambria Math" w:hAnsi="Cambria Math"/>
                        <w:kern w:val="0"/>
                        <w:szCs w:val="21"/>
                      </w:rPr>
                      <m:t>,</m:t>
                    </m:r>
                    <m:r>
                      <w:rPr>
                        <w:rFonts w:ascii="Cambria Math" w:hAnsi="Cambria Math"/>
                        <w:kern w:val="0"/>
                        <w:szCs w:val="21"/>
                      </w:rPr>
                      <m:t>j</m:t>
                    </m:r>
                  </m:sub>
                </m:sSub>
              </m:oMath>
            </m:oMathPara>
          </w:p>
        </w:tc>
        <w:tc>
          <w:tcPr>
            <w:tcW w:w="1284" w:type="dxa"/>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燃煤消耗量</w:t>
            </w:r>
          </w:p>
        </w:tc>
        <w:tc>
          <w:tcPr>
            <w:tcW w:w="737"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t</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r>
      <w:tr w:rsidR="00506AE6">
        <w:trPr>
          <w:trHeight w:val="283"/>
          <w:jc w:val="center"/>
        </w:trPr>
        <w:tc>
          <w:tcPr>
            <w:tcW w:w="974"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1755" w:type="dxa"/>
            <w:vAlign w:val="center"/>
          </w:tcPr>
          <w:p w:rsidR="00506AE6" w:rsidRDefault="0072598A">
            <w:pPr>
              <w:widowControl/>
              <w:adjustRightInd w:val="0"/>
              <w:snapToGrid w:val="0"/>
              <w:spacing w:line="240" w:lineRule="auto"/>
              <w:ind w:firstLineChars="0" w:firstLine="0"/>
              <w:jc w:val="center"/>
              <w:textAlignment w:val="center"/>
              <w:rPr>
                <w:i/>
                <w:iCs/>
                <w:kern w:val="0"/>
                <w:szCs w:val="21"/>
              </w:rPr>
            </w:pPr>
            <m:oMathPara>
              <m:oMathParaPr>
                <m:jc m:val="left"/>
              </m:oMathParaPr>
              <m:oMath>
                <m:r>
                  <w:rPr>
                    <w:rFonts w:ascii="Cambria Math" w:hAnsi="Cambria Math"/>
                    <w:kern w:val="0"/>
                    <w:szCs w:val="21"/>
                  </w:rPr>
                  <m:t>NC</m:t>
                </m:r>
                <m:sSub>
                  <m:sSubPr>
                    <m:ctrlPr>
                      <w:rPr>
                        <w:rFonts w:ascii="Cambria Math" w:hAnsi="Cambria Math" w:hint="eastAsia"/>
                        <w:i/>
                        <w:iCs/>
                        <w:kern w:val="0"/>
                        <w:szCs w:val="21"/>
                      </w:rPr>
                    </m:ctrlPr>
                  </m:sSubPr>
                  <m:e>
                    <m:r>
                      <w:rPr>
                        <w:rFonts w:ascii="Cambria Math" w:hAnsi="Cambria Math"/>
                        <w:kern w:val="0"/>
                        <w:szCs w:val="21"/>
                      </w:rPr>
                      <m:t>V</m:t>
                    </m:r>
                  </m:e>
                  <m:sub>
                    <m:r>
                      <w:rPr>
                        <w:rFonts w:ascii="Cambria Math" w:hAnsi="Cambria Math"/>
                        <w:kern w:val="0"/>
                        <w:szCs w:val="21"/>
                      </w:rPr>
                      <m:t>a</m:t>
                    </m:r>
                    <m:r>
                      <w:rPr>
                        <w:rFonts w:ascii="DejaVu Math TeX Gyre" w:hAnsi="DejaVu Math TeX Gyre" w:hint="eastAsia"/>
                        <w:kern w:val="0"/>
                        <w:szCs w:val="21"/>
                      </w:rPr>
                      <m:t>r</m:t>
                    </m:r>
                    <m:r>
                      <w:rPr>
                        <w:rFonts w:ascii="Cambria Math" w:hAnsi="Cambria Math"/>
                        <w:kern w:val="0"/>
                        <w:szCs w:val="21"/>
                      </w:rPr>
                      <m:t>,</m:t>
                    </m:r>
                    <m:r>
                      <w:rPr>
                        <w:rFonts w:ascii="Cambria Math" w:hAnsi="Cambria Math"/>
                        <w:kern w:val="0"/>
                        <w:szCs w:val="21"/>
                      </w:rPr>
                      <m:t>j</m:t>
                    </m:r>
                  </m:sub>
                </m:sSub>
              </m:oMath>
            </m:oMathPara>
          </w:p>
        </w:tc>
        <w:tc>
          <w:tcPr>
            <w:tcW w:w="1284" w:type="dxa"/>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燃煤收到基低位发热量</w:t>
            </w:r>
          </w:p>
        </w:tc>
        <w:tc>
          <w:tcPr>
            <w:tcW w:w="737"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GJ/t</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850" w:type="dxa"/>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r>
      <w:tr w:rsidR="00506AE6">
        <w:trPr>
          <w:trHeight w:val="283"/>
          <w:jc w:val="center"/>
        </w:trPr>
        <w:tc>
          <w:tcPr>
            <w:tcW w:w="974"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1755" w:type="dxa"/>
            <w:vAlign w:val="center"/>
          </w:tcPr>
          <w:p w:rsidR="00506AE6" w:rsidRDefault="0072598A">
            <w:pPr>
              <w:widowControl/>
              <w:adjustRightInd w:val="0"/>
              <w:snapToGrid w:val="0"/>
              <w:spacing w:line="240" w:lineRule="auto"/>
              <w:ind w:firstLineChars="0" w:firstLine="0"/>
              <w:jc w:val="center"/>
              <w:textAlignment w:val="center"/>
              <w:rPr>
                <w:i/>
                <w:iCs/>
                <w:kern w:val="0"/>
                <w:szCs w:val="21"/>
              </w:rPr>
            </w:pPr>
            <m:oMathPara>
              <m:oMathParaPr>
                <m:jc m:val="left"/>
              </m:oMathParaPr>
              <m:oMath>
                <m:r>
                  <w:rPr>
                    <w:rFonts w:ascii="Cambria Math" w:hAnsi="Cambria Math"/>
                    <w:kern w:val="0"/>
                    <w:szCs w:val="21"/>
                  </w:rPr>
                  <m:t>CC</m:t>
                </m:r>
              </m:oMath>
            </m:oMathPara>
          </w:p>
        </w:tc>
        <w:tc>
          <w:tcPr>
            <w:tcW w:w="1284" w:type="dxa"/>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燃煤单位热值含碳量</w:t>
            </w:r>
          </w:p>
        </w:tc>
        <w:tc>
          <w:tcPr>
            <w:tcW w:w="737"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tC/GJ</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850" w:type="dxa"/>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缺省值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r>
      <w:tr w:rsidR="00506AE6">
        <w:trPr>
          <w:trHeight w:val="283"/>
          <w:jc w:val="center"/>
        </w:trPr>
        <w:tc>
          <w:tcPr>
            <w:tcW w:w="974"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1755" w:type="dxa"/>
            <w:vAlign w:val="center"/>
          </w:tcPr>
          <w:p w:rsidR="00506AE6" w:rsidRDefault="0072598A">
            <w:pPr>
              <w:widowControl/>
              <w:adjustRightInd w:val="0"/>
              <w:snapToGrid w:val="0"/>
              <w:spacing w:line="240" w:lineRule="auto"/>
              <w:ind w:firstLineChars="0" w:firstLine="0"/>
              <w:jc w:val="center"/>
              <w:textAlignment w:val="center"/>
              <w:rPr>
                <w:i/>
                <w:iCs/>
                <w:kern w:val="0"/>
                <w:szCs w:val="21"/>
              </w:rPr>
            </w:pPr>
            <m:oMathPara>
              <m:oMathParaPr>
                <m:jc m:val="left"/>
              </m:oMathParaPr>
              <m:oMath>
                <m:r>
                  <w:rPr>
                    <w:rFonts w:ascii="Cambria Math" w:hAnsi="Cambria Math"/>
                    <w:kern w:val="0"/>
                    <w:szCs w:val="21"/>
                  </w:rPr>
                  <m:t>OF</m:t>
                </m:r>
              </m:oMath>
            </m:oMathPara>
          </w:p>
        </w:tc>
        <w:tc>
          <w:tcPr>
            <w:tcW w:w="1284" w:type="dxa"/>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燃煤碳氧化率</w:t>
            </w:r>
            <w:r>
              <w:rPr>
                <w:rFonts w:hint="eastAsia"/>
                <w:iCs/>
                <w:kern w:val="0"/>
                <w:szCs w:val="21"/>
                <w:vertAlign w:val="superscript"/>
              </w:rPr>
              <w:t>*3</w:t>
            </w:r>
          </w:p>
        </w:tc>
        <w:tc>
          <w:tcPr>
            <w:tcW w:w="737"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850" w:type="dxa"/>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缺省值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r>
      <w:tr w:rsidR="00506AE6">
        <w:trPr>
          <w:trHeight w:val="283"/>
          <w:jc w:val="center"/>
        </w:trPr>
        <w:tc>
          <w:tcPr>
            <w:tcW w:w="974"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1755" w:type="dxa"/>
            <w:vAlign w:val="center"/>
          </w:tcPr>
          <w:p w:rsidR="00506AE6" w:rsidRDefault="0072598A">
            <w:pPr>
              <w:widowControl/>
              <w:adjustRightInd w:val="0"/>
              <w:snapToGrid w:val="0"/>
              <w:spacing w:line="240" w:lineRule="auto"/>
              <w:ind w:firstLineChars="0" w:firstLine="0"/>
              <w:jc w:val="center"/>
              <w:textAlignment w:val="center"/>
              <w:rPr>
                <w:iCs/>
                <w:kern w:val="0"/>
                <w:szCs w:val="21"/>
              </w:rPr>
            </w:pPr>
            <m:oMathPara>
              <m:oMathParaPr>
                <m:jc m:val="left"/>
              </m:oMathParaPr>
              <m:oMath>
                <m:sSub>
                  <m:sSubPr>
                    <m:ctrlPr>
                      <w:rPr>
                        <w:rFonts w:ascii="Cambria Math" w:hAnsi="Cambria Math" w:hint="eastAsia"/>
                        <w:iCs/>
                        <w:kern w:val="0"/>
                        <w:szCs w:val="21"/>
                      </w:rPr>
                    </m:ctrlPr>
                  </m:sSubPr>
                  <m:e>
                    <m:r>
                      <m:rPr>
                        <m:sty m:val="p"/>
                      </m:rPr>
                      <w:rPr>
                        <w:rFonts w:ascii="Cambria Math" w:hAnsi="Cambria Math"/>
                        <w:kern w:val="0"/>
                        <w:szCs w:val="21"/>
                      </w:rPr>
                      <m:t>E</m:t>
                    </m:r>
                  </m:e>
                  <m:sub>
                    <m:r>
                      <m:rPr>
                        <m:sty m:val="p"/>
                      </m:rPr>
                      <w:rPr>
                        <w:rFonts w:ascii="Cambria Math" w:hAnsi="Cambria Math"/>
                        <w:kern w:val="0"/>
                        <w:szCs w:val="21"/>
                      </w:rPr>
                      <m:t>ck</m:t>
                    </m:r>
                    <m:r>
                      <m:rPr>
                        <m:sty m:val="p"/>
                      </m:rPr>
                      <w:rPr>
                        <w:rFonts w:ascii="Cambria Math" w:hAnsi="Cambria Math"/>
                        <w:kern w:val="0"/>
                        <w:szCs w:val="21"/>
                      </w:rPr>
                      <m:t>燃烧</m:t>
                    </m:r>
                    <m:r>
                      <m:rPr>
                        <m:sty m:val="p"/>
                      </m:rPr>
                      <w:rPr>
                        <w:rFonts w:ascii="Cambria Math" w:hAnsi="Cambria Math"/>
                        <w:kern w:val="0"/>
                        <w:szCs w:val="21"/>
                      </w:rPr>
                      <m:t>,j</m:t>
                    </m:r>
                  </m:sub>
                </m:sSub>
                <m:r>
                  <m:rPr>
                    <m:sty m:val="p"/>
                  </m:rPr>
                  <w:rPr>
                    <w:rFonts w:ascii="Cambria Math" w:hAnsi="Cambria Math" w:hint="eastAsia"/>
                    <w:kern w:val="0"/>
                    <w:szCs w:val="21"/>
                  </w:rPr>
                  <m:t>=</m:t>
                </m:r>
                <m:sSub>
                  <m:sSubPr>
                    <m:ctrlPr>
                      <w:rPr>
                        <w:rFonts w:ascii="Cambria Math" w:hAnsi="Cambria Math" w:hint="eastAsia"/>
                        <w:iCs/>
                        <w:kern w:val="0"/>
                        <w:szCs w:val="21"/>
                      </w:rPr>
                    </m:ctrlPr>
                  </m:sSubPr>
                  <m:e>
                    <m:r>
                      <m:rPr>
                        <m:sty m:val="p"/>
                      </m:rPr>
                      <w:rPr>
                        <w:rFonts w:ascii="Cambria Math" w:hAnsi="Cambria Math"/>
                        <w:kern w:val="0"/>
                        <w:szCs w:val="21"/>
                      </w:rPr>
                      <m:t>FC</m:t>
                    </m:r>
                  </m:e>
                  <m:sub>
                    <m:r>
                      <m:rPr>
                        <m:sty m:val="p"/>
                      </m:rPr>
                      <w:rPr>
                        <w:rFonts w:ascii="Cambria Math" w:hAnsi="Cambria Math"/>
                        <w:kern w:val="0"/>
                        <w:szCs w:val="21"/>
                      </w:rPr>
                      <m:t>ck,j</m:t>
                    </m:r>
                  </m:sub>
                </m:sSub>
                <m:r>
                  <m:rPr>
                    <m:sty m:val="p"/>
                  </m:rPr>
                  <w:rPr>
                    <w:rFonts w:ascii="Cambria Math" w:hAnsi="Cambria Math"/>
                    <w:kern w:val="0"/>
                    <w:szCs w:val="21"/>
                  </w:rPr>
                  <m:t>×NC</m:t>
                </m:r>
                <m:sSub>
                  <m:sSubPr>
                    <m:ctrlPr>
                      <w:rPr>
                        <w:rFonts w:ascii="Cambria Math" w:hAnsi="Cambria Math" w:hint="eastAsia"/>
                        <w:iCs/>
                        <w:kern w:val="0"/>
                        <w:szCs w:val="21"/>
                      </w:rPr>
                    </m:ctrlPr>
                  </m:sSubPr>
                  <m:e>
                    <m:r>
                      <m:rPr>
                        <m:sty m:val="p"/>
                      </m:rPr>
                      <w:rPr>
                        <w:rFonts w:ascii="Cambria Math" w:hAnsi="Cambria Math"/>
                        <w:kern w:val="0"/>
                        <w:szCs w:val="21"/>
                      </w:rPr>
                      <m:t>V</m:t>
                    </m:r>
                  </m:e>
                  <m:sub>
                    <m:r>
                      <m:rPr>
                        <m:sty m:val="p"/>
                      </m:rPr>
                      <w:rPr>
                        <w:rFonts w:ascii="Cambria Math" w:hAnsi="Cambria Math"/>
                        <w:kern w:val="0"/>
                        <w:szCs w:val="21"/>
                      </w:rPr>
                      <m:t>a</m:t>
                    </m:r>
                    <m:r>
                      <m:rPr>
                        <m:sty m:val="p"/>
                      </m:rPr>
                      <w:rPr>
                        <w:rFonts w:ascii="DejaVu Math TeX Gyre" w:hAnsi="DejaVu Math TeX Gyre" w:hint="eastAsia"/>
                        <w:kern w:val="0"/>
                        <w:szCs w:val="21"/>
                      </w:rPr>
                      <m:t>r</m:t>
                    </m:r>
                    <m:r>
                      <m:rPr>
                        <m:sty m:val="p"/>
                      </m:rPr>
                      <w:rPr>
                        <w:rFonts w:ascii="Cambria Math" w:hAnsi="Cambria Math"/>
                        <w:kern w:val="0"/>
                        <w:szCs w:val="21"/>
                      </w:rPr>
                      <m:t>,j</m:t>
                    </m:r>
                  </m:sub>
                </m:sSub>
                <m:r>
                  <m:rPr>
                    <m:sty m:val="p"/>
                  </m:rPr>
                  <w:rPr>
                    <w:rFonts w:ascii="Cambria Math" w:hAnsi="Cambria Math"/>
                    <w:kern w:val="0"/>
                    <w:szCs w:val="21"/>
                  </w:rPr>
                  <m:t>×CC×OF×</m:t>
                </m:r>
                <m:f>
                  <m:fPr>
                    <m:ctrlPr>
                      <w:rPr>
                        <w:rFonts w:ascii="Cambria Math" w:hAnsi="Cambria Math" w:hint="eastAsia"/>
                        <w:iCs/>
                        <w:kern w:val="0"/>
                        <w:szCs w:val="21"/>
                      </w:rPr>
                    </m:ctrlPr>
                  </m:fPr>
                  <m:num>
                    <m:r>
                      <m:rPr>
                        <m:sty m:val="p"/>
                      </m:rPr>
                      <w:rPr>
                        <w:rFonts w:ascii="Cambria Math" w:hAnsi="Cambria Math" w:hint="eastAsia"/>
                        <w:kern w:val="0"/>
                        <w:szCs w:val="21"/>
                      </w:rPr>
                      <m:t>44</m:t>
                    </m:r>
                  </m:num>
                  <m:den>
                    <m:r>
                      <m:rPr>
                        <m:sty m:val="p"/>
                      </m:rPr>
                      <w:rPr>
                        <w:rFonts w:ascii="Cambria Math" w:hAnsi="Cambria Math" w:hint="eastAsia"/>
                        <w:kern w:val="0"/>
                        <w:szCs w:val="21"/>
                      </w:rPr>
                      <m:t>12</m:t>
                    </m:r>
                  </m:den>
                </m:f>
              </m:oMath>
            </m:oMathPara>
          </w:p>
        </w:tc>
        <w:tc>
          <w:tcPr>
            <w:tcW w:w="1284" w:type="dxa"/>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化石燃料燃烧排放量</w:t>
            </w:r>
          </w:p>
        </w:tc>
        <w:tc>
          <w:tcPr>
            <w:tcW w:w="737"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rPr>
              <w:t>t</w:t>
            </w:r>
            <w:r>
              <w:t>CO</w:t>
            </w:r>
            <w:r>
              <w:rPr>
                <w:vertAlign w:val="subscript"/>
              </w:rPr>
              <w:t>2</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（合计值）</w:t>
            </w:r>
          </w:p>
        </w:tc>
        <w:tc>
          <w:tcPr>
            <w:tcW w:w="850" w:type="dxa"/>
            <w:vAlign w:val="center"/>
          </w:tcPr>
          <w:p w:rsidR="00506AE6" w:rsidRDefault="0072598A">
            <w:pPr>
              <w:widowControl/>
              <w:adjustRightInd w:val="0"/>
              <w:snapToGrid w:val="0"/>
              <w:spacing w:line="240" w:lineRule="auto"/>
              <w:ind w:firstLineChars="0" w:firstLine="0"/>
              <w:jc w:val="center"/>
              <w:textAlignment w:val="center"/>
              <w:rPr>
                <w:iCs/>
                <w:kern w:val="0"/>
                <w:szCs w:val="21"/>
              </w:rPr>
            </w:pPr>
            <w:r>
              <w:rPr>
                <w:rFonts w:hint="eastAsia"/>
                <w:iCs/>
                <w:kern w:val="0"/>
                <w:szCs w:val="21"/>
              </w:rPr>
              <w:t>计算值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iCs/>
                <w:kern w:val="0"/>
                <w:szCs w:val="21"/>
              </w:rPr>
            </w:pPr>
          </w:p>
        </w:tc>
      </w:tr>
      <w:tr w:rsidR="00506AE6">
        <w:trPr>
          <w:trHeight w:val="283"/>
          <w:jc w:val="center"/>
        </w:trPr>
        <w:tc>
          <w:tcPr>
            <w:tcW w:w="974"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w:t>
            </w:r>
          </w:p>
        </w:tc>
        <w:tc>
          <w:tcPr>
            <w:tcW w:w="3039" w:type="dxa"/>
            <w:gridSpan w:val="2"/>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737"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bl>
    <w:p w:rsidR="00506AE6" w:rsidRDefault="0072598A">
      <w:pPr>
        <w:pStyle w:val="affb"/>
        <w:snapToGrid/>
        <w:ind w:left="180" w:hangingChars="100" w:hanging="180"/>
        <w:jc w:val="both"/>
        <w:rPr>
          <w:bCs/>
          <w:kern w:val="0"/>
        </w:rPr>
      </w:pPr>
      <w:r>
        <w:rPr>
          <w:rFonts w:hint="eastAsia"/>
          <w:bCs/>
          <w:kern w:val="0"/>
        </w:rPr>
        <w:t>填报说明：</w:t>
      </w:r>
    </w:p>
    <w:p w:rsidR="00506AE6" w:rsidRDefault="0072598A">
      <w:pPr>
        <w:pStyle w:val="affb"/>
        <w:snapToGrid/>
        <w:ind w:left="180" w:hangingChars="100" w:hanging="180"/>
        <w:jc w:val="both"/>
        <w:rPr>
          <w:rFonts w:ascii="Times New Roman"/>
        </w:rPr>
      </w:pPr>
      <w:r>
        <w:rPr>
          <w:rFonts w:ascii="Times New Roman"/>
          <w:vertAlign w:val="superscript"/>
        </w:rPr>
        <w:t>*1</w:t>
      </w:r>
      <w:r>
        <w:rPr>
          <w:rFonts w:ascii="Times New Roman" w:hint="eastAsia"/>
        </w:rPr>
        <w:t>若生产线多于</w:t>
      </w:r>
      <w:r>
        <w:rPr>
          <w:rFonts w:ascii="Times New Roman" w:hint="eastAsia"/>
        </w:rPr>
        <w:t>1</w:t>
      </w:r>
      <w:r>
        <w:rPr>
          <w:rFonts w:ascii="Times New Roman" w:hint="eastAsia"/>
        </w:rPr>
        <w:t>条，应分别填报。</w:t>
      </w:r>
    </w:p>
    <w:p w:rsidR="00506AE6" w:rsidRDefault="0072598A">
      <w:pPr>
        <w:ind w:left="180" w:hangingChars="100" w:hanging="180"/>
        <w:rPr>
          <w:bCs/>
          <w:kern w:val="0"/>
          <w:sz w:val="18"/>
          <w:szCs w:val="18"/>
        </w:rPr>
      </w:pPr>
      <w:r>
        <w:rPr>
          <w:sz w:val="18"/>
          <w:szCs w:val="18"/>
          <w:vertAlign w:val="superscript"/>
        </w:rPr>
        <w:t>*</w:t>
      </w:r>
      <w:bookmarkStart w:id="427" w:name="_Hlk144713812"/>
      <w:r>
        <w:rPr>
          <w:vertAlign w:val="superscript"/>
        </w:rPr>
        <w:t>2</w:t>
      </w:r>
      <w:r>
        <w:rPr>
          <w:rFonts w:hint="eastAsia"/>
          <w:bCs/>
          <w:kern w:val="0"/>
          <w:sz w:val="18"/>
          <w:szCs w:val="18"/>
        </w:rPr>
        <w:t>各参数按四舍五入保留小数位如下：</w:t>
      </w:r>
      <w:bookmarkEnd w:id="427"/>
    </w:p>
    <w:p w:rsidR="00506AE6" w:rsidRDefault="0072598A">
      <w:pPr>
        <w:pStyle w:val="a5"/>
        <w:numPr>
          <w:ilvl w:val="0"/>
          <w:numId w:val="32"/>
        </w:numPr>
        <w:adjustRightInd w:val="0"/>
        <w:rPr>
          <w:sz w:val="18"/>
          <w:szCs w:val="18"/>
        </w:rPr>
      </w:pPr>
      <w:r>
        <w:rPr>
          <w:rFonts w:hint="eastAsia"/>
          <w:sz w:val="18"/>
          <w:szCs w:val="18"/>
        </w:rPr>
        <w:t>化石燃料消耗量保留到小数点后两位；</w:t>
      </w:r>
    </w:p>
    <w:p w:rsidR="00506AE6" w:rsidRDefault="0072598A">
      <w:pPr>
        <w:pStyle w:val="a5"/>
        <w:numPr>
          <w:ilvl w:val="0"/>
          <w:numId w:val="32"/>
        </w:numPr>
        <w:adjustRightInd w:val="0"/>
        <w:rPr>
          <w:sz w:val="18"/>
          <w:szCs w:val="18"/>
        </w:rPr>
      </w:pPr>
      <w:r>
        <w:rPr>
          <w:rFonts w:hint="eastAsia"/>
          <w:sz w:val="18"/>
          <w:szCs w:val="18"/>
        </w:rPr>
        <w:t>收到基低位发热量保留到小数点后三位；</w:t>
      </w:r>
    </w:p>
    <w:p w:rsidR="00506AE6" w:rsidRDefault="0072598A">
      <w:pPr>
        <w:pStyle w:val="a5"/>
        <w:numPr>
          <w:ilvl w:val="0"/>
          <w:numId w:val="32"/>
        </w:numPr>
        <w:adjustRightInd w:val="0"/>
        <w:rPr>
          <w:sz w:val="18"/>
          <w:szCs w:val="18"/>
        </w:rPr>
      </w:pPr>
      <w:r>
        <w:rPr>
          <w:rFonts w:hint="eastAsia"/>
          <w:sz w:val="18"/>
          <w:szCs w:val="18"/>
        </w:rPr>
        <w:t>单位热值含碳量保留到小数点后五位；</w:t>
      </w:r>
    </w:p>
    <w:p w:rsidR="00506AE6" w:rsidRDefault="0072598A">
      <w:pPr>
        <w:pStyle w:val="a5"/>
        <w:numPr>
          <w:ilvl w:val="0"/>
          <w:numId w:val="32"/>
        </w:numPr>
        <w:adjustRightInd w:val="0"/>
        <w:rPr>
          <w:sz w:val="18"/>
          <w:szCs w:val="18"/>
        </w:rPr>
      </w:pPr>
      <w:r>
        <w:rPr>
          <w:rFonts w:hint="eastAsia"/>
          <w:sz w:val="18"/>
          <w:szCs w:val="18"/>
        </w:rPr>
        <w:t>化石燃料燃烧排放量保留到小数点后两位。</w:t>
      </w:r>
    </w:p>
    <w:p w:rsidR="00506AE6" w:rsidRDefault="0072598A">
      <w:pPr>
        <w:pStyle w:val="affb"/>
        <w:snapToGrid/>
        <w:ind w:left="180" w:hangingChars="100" w:hanging="180"/>
        <w:jc w:val="both"/>
        <w:rPr>
          <w:rFonts w:ascii="Times New Roman"/>
        </w:rPr>
      </w:pPr>
      <w:r>
        <w:rPr>
          <w:rFonts w:ascii="Times New Roman"/>
          <w:vertAlign w:val="superscript"/>
        </w:rPr>
        <w:t>*</w:t>
      </w:r>
      <w:r>
        <w:rPr>
          <w:rFonts w:ascii="Times New Roman" w:hint="eastAsia"/>
          <w:vertAlign w:val="superscript"/>
        </w:rPr>
        <w:t>3</w:t>
      </w:r>
      <w:r>
        <w:rPr>
          <w:rFonts w:ascii="Times New Roman" w:hint="eastAsia"/>
        </w:rPr>
        <w:t>例如碳氧化率为</w:t>
      </w:r>
      <w:r>
        <w:rPr>
          <w:rFonts w:ascii="Times New Roman" w:hint="eastAsia"/>
        </w:rPr>
        <w:t>99%</w:t>
      </w:r>
      <w:r>
        <w:rPr>
          <w:rFonts w:ascii="Times New Roman" w:hint="eastAsia"/>
        </w:rPr>
        <w:t>，数据值填</w:t>
      </w:r>
      <w:r>
        <w:rPr>
          <w:rFonts w:ascii="Times New Roman" w:hint="eastAsia"/>
        </w:rPr>
        <w:t>99</w:t>
      </w:r>
      <w:r>
        <w:rPr>
          <w:rFonts w:ascii="Times New Roman" w:hint="eastAsia"/>
        </w:rPr>
        <w:t>。</w:t>
      </w:r>
    </w:p>
    <w:p w:rsidR="00506AE6" w:rsidRDefault="0072598A">
      <w:pPr>
        <w:pStyle w:val="affb"/>
        <w:snapToGrid/>
        <w:ind w:left="180" w:hangingChars="100" w:hanging="180"/>
        <w:jc w:val="both"/>
        <w:rPr>
          <w:rFonts w:ascii="Times New Roman"/>
        </w:rPr>
      </w:pPr>
      <w:r>
        <w:rPr>
          <w:rFonts w:ascii="Times New Roman"/>
          <w:vertAlign w:val="superscript"/>
        </w:rPr>
        <w:t>*</w:t>
      </w:r>
      <w:r>
        <w:rPr>
          <w:rFonts w:ascii="Times New Roman" w:hint="eastAsia"/>
          <w:vertAlign w:val="superscript"/>
        </w:rPr>
        <w:t>4</w:t>
      </w:r>
      <w:r>
        <w:rPr>
          <w:rFonts w:ascii="Times New Roman" w:hint="eastAsia"/>
        </w:rPr>
        <w:t>本栏目仅对部分数据项的获取方式进行说明提示，其他数据项按本文件正文执行，下同。</w:t>
      </w:r>
    </w:p>
    <w:p w:rsidR="00506AE6" w:rsidRDefault="00506AE6">
      <w:pPr>
        <w:widowControl/>
        <w:tabs>
          <w:tab w:val="clear" w:pos="4338"/>
          <w:tab w:val="clear" w:pos="8675"/>
        </w:tabs>
        <w:ind w:left="210"/>
        <w:jc w:val="left"/>
        <w:rPr>
          <w:rFonts w:eastAsia="黑体"/>
          <w:bCs/>
          <w:kern w:val="0"/>
          <w:szCs w:val="21"/>
        </w:rPr>
        <w:sectPr w:rsidR="00506AE6">
          <w:pgSz w:w="16838" w:h="11906" w:orient="landscape"/>
          <w:pgMar w:top="1616" w:right="1814" w:bottom="1616" w:left="1985" w:header="851" w:footer="850" w:gutter="0"/>
          <w:cols w:space="720"/>
          <w:docGrid w:type="lines" w:linePitch="312"/>
        </w:sectPr>
      </w:pPr>
    </w:p>
    <w:p w:rsidR="00506AE6" w:rsidRDefault="0072598A">
      <w:pPr>
        <w:pStyle w:val="afffffe"/>
        <w:spacing w:before="156" w:after="156"/>
        <w:jc w:val="center"/>
        <w:outlineLvl w:val="1"/>
        <w:rPr>
          <w:rFonts w:ascii="Times New Roman"/>
        </w:rPr>
      </w:pPr>
      <w:r>
        <w:rPr>
          <w:rFonts w:ascii="Times New Roman" w:hint="eastAsia"/>
        </w:rPr>
        <w:lastRenderedPageBreak/>
        <w:t>附表</w:t>
      </w:r>
      <w:r>
        <w:rPr>
          <w:rFonts w:ascii="Times New Roman" w:hint="eastAsia"/>
        </w:rPr>
        <w:t>E</w:t>
      </w:r>
      <w:r>
        <w:rPr>
          <w:rFonts w:ascii="Times New Roman"/>
        </w:rPr>
        <w:t>.</w:t>
      </w:r>
      <w:r>
        <w:rPr>
          <w:rFonts w:ascii="Times New Roman" w:hint="eastAsia"/>
        </w:rPr>
        <w:t>4</w:t>
      </w:r>
      <w:r>
        <w:rPr>
          <w:rFonts w:ascii="Times New Roman"/>
        </w:rPr>
        <w:t xml:space="preserve">  </w:t>
      </w:r>
      <w:r>
        <w:rPr>
          <w:rFonts w:ascii="Times New Roman" w:hint="eastAsia"/>
        </w:rPr>
        <w:t>熟料生产过程排放表</w:t>
      </w:r>
    </w:p>
    <w:tbl>
      <w:tblPr>
        <w:tblW w:w="14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2069"/>
        <w:gridCol w:w="1897"/>
        <w:gridCol w:w="809"/>
        <w:gridCol w:w="454"/>
        <w:gridCol w:w="454"/>
        <w:gridCol w:w="454"/>
        <w:gridCol w:w="454"/>
        <w:gridCol w:w="454"/>
        <w:gridCol w:w="454"/>
        <w:gridCol w:w="454"/>
        <w:gridCol w:w="454"/>
        <w:gridCol w:w="454"/>
        <w:gridCol w:w="454"/>
        <w:gridCol w:w="454"/>
        <w:gridCol w:w="454"/>
        <w:gridCol w:w="1304"/>
        <w:gridCol w:w="850"/>
        <w:gridCol w:w="680"/>
        <w:gridCol w:w="680"/>
      </w:tblGrid>
      <w:tr w:rsidR="00506AE6">
        <w:trPr>
          <w:trHeight w:val="283"/>
          <w:jc w:val="center"/>
        </w:trPr>
        <w:tc>
          <w:tcPr>
            <w:tcW w:w="1001"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生产线名称</w:t>
            </w:r>
            <w:r>
              <w:rPr>
                <w:szCs w:val="21"/>
                <w:vertAlign w:val="superscript"/>
              </w:rPr>
              <w:t>*1</w:t>
            </w:r>
          </w:p>
        </w:tc>
        <w:tc>
          <w:tcPr>
            <w:tcW w:w="3966" w:type="dxa"/>
            <w:gridSpan w:val="2"/>
            <w:shd w:val="clear" w:color="auto" w:fill="F2F2F2"/>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信息项</w:t>
            </w:r>
            <w:r>
              <w:rPr>
                <w:szCs w:val="21"/>
                <w:vertAlign w:val="superscript"/>
              </w:rPr>
              <w:t>*2</w:t>
            </w:r>
          </w:p>
        </w:tc>
        <w:tc>
          <w:tcPr>
            <w:tcW w:w="809"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单位</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2</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3</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4</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5</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6</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7</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8</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9</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10</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11</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12</w:t>
            </w:r>
            <w:r>
              <w:rPr>
                <w:kern w:val="0"/>
                <w:szCs w:val="21"/>
              </w:rPr>
              <w:t>月</w:t>
            </w:r>
          </w:p>
        </w:tc>
        <w:tc>
          <w:tcPr>
            <w:tcW w:w="130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全年</w:t>
            </w:r>
          </w:p>
        </w:tc>
        <w:tc>
          <w:tcPr>
            <w:tcW w:w="85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获取</w:t>
            </w:r>
          </w:p>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方式</w:t>
            </w:r>
          </w:p>
        </w:tc>
        <w:tc>
          <w:tcPr>
            <w:tcW w:w="68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数据来源</w:t>
            </w:r>
          </w:p>
        </w:tc>
        <w:tc>
          <w:tcPr>
            <w:tcW w:w="68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支撑材料</w:t>
            </w:r>
          </w:p>
        </w:tc>
      </w:tr>
      <w:tr w:rsidR="00506AE6">
        <w:trPr>
          <w:trHeight w:val="283"/>
          <w:jc w:val="center"/>
        </w:trPr>
        <w:tc>
          <w:tcPr>
            <w:tcW w:w="1001" w:type="dxa"/>
            <w:vMerge w:val="restart"/>
            <w:shd w:val="clear" w:color="auto" w:fill="auto"/>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生产线</w:t>
            </w:r>
            <w:r>
              <w:rPr>
                <w:rFonts w:hint="eastAsia"/>
                <w:i/>
                <w:kern w:val="0"/>
                <w:szCs w:val="21"/>
              </w:rPr>
              <w:t xml:space="preserve">j </w:t>
            </w:r>
          </w:p>
        </w:tc>
        <w:tc>
          <w:tcPr>
            <w:tcW w:w="2069" w:type="dxa"/>
            <w:vAlign w:val="center"/>
          </w:tcPr>
          <w:p w:rsidR="00506AE6" w:rsidRDefault="0072598A">
            <w:pPr>
              <w:adjustRightInd w:val="0"/>
              <w:snapToGrid w:val="0"/>
              <w:spacing w:line="240" w:lineRule="auto"/>
              <w:ind w:firstLineChars="0" w:firstLine="0"/>
              <w:jc w:val="center"/>
              <w:rPr>
                <w:i/>
                <w:szCs w:val="21"/>
              </w:rPr>
            </w:pPr>
            <m:oMathPara>
              <m:oMathParaPr>
                <m:jc m:val="left"/>
              </m:oMathParaPr>
              <m:oMath>
                <m:sSub>
                  <m:sSubPr>
                    <m:ctrlPr>
                      <w:rPr>
                        <w:rFonts w:ascii="Cambria Math" w:hAnsi="Cambria Math"/>
                        <w:i/>
                        <w:szCs w:val="21"/>
                      </w:rPr>
                    </m:ctrlPr>
                  </m:sSubPr>
                  <m:e>
                    <m:r>
                      <w:rPr>
                        <w:rFonts w:ascii="Cambria Math" w:hAnsi="Cambria Math"/>
                        <w:szCs w:val="21"/>
                      </w:rPr>
                      <m:t>Q</m:t>
                    </m:r>
                  </m:e>
                  <m:sub>
                    <m:r>
                      <w:rPr>
                        <w:rFonts w:ascii="Cambria Math" w:hAnsi="Cambria Math"/>
                        <w:szCs w:val="21"/>
                      </w:rPr>
                      <m:t>ck</m:t>
                    </m:r>
                    <m:r>
                      <w:rPr>
                        <w:rFonts w:ascii="Cambria Math" w:hAnsi="Cambria Math"/>
                      </w:rPr>
                      <m:t>,</m:t>
                    </m:r>
                    <m:r>
                      <w:rPr>
                        <w:rFonts w:ascii="Cambria Math" w:hAnsi="Cambria Math"/>
                      </w:rPr>
                      <m:t>j</m:t>
                    </m:r>
                  </m:sub>
                </m:sSub>
              </m:oMath>
            </m:oMathPara>
          </w:p>
        </w:tc>
        <w:tc>
          <w:tcPr>
            <w:tcW w:w="1897" w:type="dxa"/>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szCs w:val="21"/>
              </w:rPr>
              <w:t>熟料产量</w:t>
            </w:r>
          </w:p>
        </w:tc>
        <w:tc>
          <w:tcPr>
            <w:tcW w:w="80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t</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01"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069" w:type="dxa"/>
            <w:vAlign w:val="center"/>
          </w:tcPr>
          <w:p w:rsidR="00506AE6" w:rsidRDefault="0072598A">
            <w:pPr>
              <w:adjustRightInd w:val="0"/>
              <w:snapToGrid w:val="0"/>
              <w:spacing w:line="240" w:lineRule="auto"/>
              <w:ind w:firstLineChars="0" w:firstLine="0"/>
              <w:jc w:val="center"/>
              <w:rPr>
                <w:i/>
                <w:szCs w:val="21"/>
              </w:rPr>
            </w:pPr>
            <m:oMathPara>
              <m:oMathParaPr>
                <m:jc m:val="left"/>
              </m:oMathParaPr>
              <m:oMath>
                <m:sSub>
                  <m:sSubPr>
                    <m:ctrlPr>
                      <w:rPr>
                        <w:rFonts w:ascii="Cambria Math" w:hAnsi="Cambria Math"/>
                        <w:i/>
                        <w:szCs w:val="21"/>
                      </w:rPr>
                    </m:ctrlPr>
                  </m:sSubPr>
                  <m:e>
                    <m:r>
                      <w:rPr>
                        <w:rFonts w:ascii="Cambria Math" w:hAnsi="Cambria Math"/>
                        <w:szCs w:val="21"/>
                      </w:rPr>
                      <m:t>EF</m:t>
                    </m:r>
                  </m:e>
                  <m:sub>
                    <m:r>
                      <w:rPr>
                        <w:rFonts w:ascii="Cambria Math" w:hAnsi="Cambria Math"/>
                        <w:szCs w:val="21"/>
                      </w:rPr>
                      <m:t>ck</m:t>
                    </m:r>
                    <m:r>
                      <w:rPr>
                        <w:rFonts w:ascii="Cambria Math" w:hAnsi="Cambria Math"/>
                      </w:rPr>
                      <m:t>,</m:t>
                    </m:r>
                    <m:r>
                      <w:rPr>
                        <w:rFonts w:ascii="Cambria Math" w:hAnsi="Cambria Math"/>
                      </w:rPr>
                      <m:t>j</m:t>
                    </m:r>
                  </m:sub>
                </m:sSub>
              </m:oMath>
            </m:oMathPara>
          </w:p>
        </w:tc>
        <w:tc>
          <w:tcPr>
            <w:tcW w:w="1897" w:type="dxa"/>
            <w:vAlign w:val="center"/>
          </w:tcPr>
          <w:p w:rsidR="00506AE6" w:rsidRDefault="0072598A">
            <w:pPr>
              <w:widowControl/>
              <w:adjustRightInd w:val="0"/>
              <w:snapToGrid w:val="0"/>
              <w:spacing w:line="240" w:lineRule="auto"/>
              <w:ind w:firstLineChars="0" w:firstLine="0"/>
              <w:jc w:val="center"/>
              <w:textAlignment w:val="center"/>
            </w:pPr>
            <w:r>
              <w:rPr>
                <w:rFonts w:hint="eastAsia"/>
              </w:rPr>
              <w:t>熟料对应的过程排放因子</w:t>
            </w:r>
          </w:p>
        </w:tc>
        <w:tc>
          <w:tcPr>
            <w:tcW w:w="80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t</w:t>
            </w:r>
            <w:r>
              <w:t>CO</w:t>
            </w:r>
            <w:r>
              <w:rPr>
                <w:vertAlign w:val="subscript"/>
              </w:rPr>
              <w:t>2</w:t>
            </w:r>
            <w:r>
              <w:t>/t</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01"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069" w:type="dxa"/>
            <w:vAlign w:val="center"/>
          </w:tcPr>
          <w:p w:rsidR="00506AE6" w:rsidRDefault="0072598A">
            <w:pPr>
              <w:adjustRightInd w:val="0"/>
              <w:snapToGrid w:val="0"/>
              <w:spacing w:line="240" w:lineRule="auto"/>
              <w:ind w:firstLineChars="0" w:firstLine="0"/>
              <w:jc w:val="center"/>
              <w:rPr>
                <w:i/>
              </w:rPr>
            </w:pPr>
            <m:oMathPara>
              <m:oMathParaPr>
                <m:jc m:val="left"/>
              </m:oMathParaPr>
              <m:oMath>
                <m:r>
                  <w:rPr>
                    <w:rFonts w:ascii="Cambria Math" w:hAnsi="Cambria Math"/>
                    <w:szCs w:val="21"/>
                  </w:rPr>
                  <m:t>F</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1,</m:t>
                    </m:r>
                    <m:r>
                      <w:rPr>
                        <w:rFonts w:ascii="Cambria Math" w:hAnsi="Cambria Math"/>
                        <w:szCs w:val="21"/>
                      </w:rPr>
                      <m:t>j</m:t>
                    </m:r>
                  </m:sub>
                </m:sSub>
              </m:oMath>
            </m:oMathPara>
          </w:p>
        </w:tc>
        <w:tc>
          <w:tcPr>
            <w:tcW w:w="1897" w:type="dxa"/>
            <w:vAlign w:val="center"/>
          </w:tcPr>
          <w:p w:rsidR="00506AE6" w:rsidRDefault="0072598A">
            <w:pPr>
              <w:widowControl/>
              <w:adjustRightInd w:val="0"/>
              <w:snapToGrid w:val="0"/>
              <w:spacing w:line="240" w:lineRule="auto"/>
              <w:ind w:firstLineChars="0" w:firstLine="0"/>
              <w:jc w:val="center"/>
              <w:textAlignment w:val="center"/>
            </w:pPr>
            <w:r>
              <w:rPr>
                <w:rFonts w:hint="eastAsia"/>
              </w:rPr>
              <w:t>熟料中氧化钙含量（</w:t>
            </w:r>
            <w:r>
              <w:rPr>
                <w:rFonts w:hint="eastAsia"/>
                <w:szCs w:val="21"/>
              </w:rPr>
              <w:t>实测</w:t>
            </w:r>
            <w:r>
              <w:rPr>
                <w:rFonts w:hint="eastAsia"/>
              </w:rPr>
              <w:t>时适用）</w:t>
            </w:r>
          </w:p>
        </w:tc>
        <w:tc>
          <w:tcPr>
            <w:tcW w:w="809" w:type="dxa"/>
            <w:shd w:val="clear" w:color="auto" w:fill="auto"/>
            <w:noWrap/>
            <w:vAlign w:val="center"/>
          </w:tcPr>
          <w:p w:rsidR="00506AE6" w:rsidRDefault="0072598A">
            <w:pPr>
              <w:adjustRightInd w:val="0"/>
              <w:snapToGrid w:val="0"/>
              <w:spacing w:line="240" w:lineRule="auto"/>
              <w:ind w:firstLineChars="0" w:firstLine="0"/>
              <w:jc w:val="center"/>
            </w:pPr>
            <w:r>
              <w:rPr>
                <w:rFonts w:hint="eastAsia"/>
              </w:rPr>
              <w:t>%</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（加权平均值）</w:t>
            </w: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实测值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01"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069" w:type="dxa"/>
            <w:vAlign w:val="center"/>
          </w:tcPr>
          <w:p w:rsidR="00506AE6" w:rsidRDefault="0072598A">
            <w:pPr>
              <w:adjustRightInd w:val="0"/>
              <w:snapToGrid w:val="0"/>
              <w:spacing w:line="240" w:lineRule="auto"/>
              <w:ind w:firstLineChars="0" w:firstLine="0"/>
              <w:jc w:val="center"/>
              <w:rPr>
                <w:i/>
              </w:rPr>
            </w:pPr>
            <m:oMathPara>
              <m:oMathParaPr>
                <m:jc m:val="left"/>
              </m:oMathParaPr>
              <m:oMath>
                <m:r>
                  <w:rPr>
                    <w:rFonts w:ascii="Cambria Math" w:hAnsi="Cambria Math"/>
                  </w:rPr>
                  <m:t>F</m:t>
                </m:r>
                <m:sSub>
                  <m:sSubPr>
                    <m:ctrlPr>
                      <w:rPr>
                        <w:rFonts w:ascii="Cambria Math" w:hAnsi="Cambria Math"/>
                        <w:i/>
                      </w:rPr>
                    </m:ctrlPr>
                  </m:sSubPr>
                  <m:e>
                    <m:r>
                      <w:rPr>
                        <w:rFonts w:ascii="Cambria Math" w:hAnsi="Cambria Math"/>
                      </w:rPr>
                      <m:t>R</m:t>
                    </m:r>
                  </m:e>
                  <m:sub>
                    <m:r>
                      <w:rPr>
                        <w:rFonts w:ascii="Cambria Math" w:hAnsi="Cambria Math"/>
                      </w:rPr>
                      <m:t>2,</m:t>
                    </m:r>
                    <m:r>
                      <w:rPr>
                        <w:rFonts w:ascii="Cambria Math" w:hAnsi="Cambria Math"/>
                      </w:rPr>
                      <m:t>j</m:t>
                    </m:r>
                  </m:sub>
                </m:sSub>
              </m:oMath>
            </m:oMathPara>
          </w:p>
        </w:tc>
        <w:tc>
          <w:tcPr>
            <w:tcW w:w="1897" w:type="dxa"/>
            <w:vAlign w:val="center"/>
          </w:tcPr>
          <w:p w:rsidR="00506AE6" w:rsidRDefault="0072598A">
            <w:pPr>
              <w:widowControl/>
              <w:adjustRightInd w:val="0"/>
              <w:snapToGrid w:val="0"/>
              <w:spacing w:line="240" w:lineRule="auto"/>
              <w:ind w:firstLineChars="0" w:firstLine="0"/>
              <w:jc w:val="center"/>
              <w:textAlignment w:val="center"/>
            </w:pPr>
            <w:r>
              <w:rPr>
                <w:rFonts w:hint="eastAsia"/>
              </w:rPr>
              <w:t>熟料中氧化镁含量（</w:t>
            </w:r>
            <w:r>
              <w:rPr>
                <w:rFonts w:hint="eastAsia"/>
                <w:szCs w:val="21"/>
              </w:rPr>
              <w:t>实测</w:t>
            </w:r>
            <w:r>
              <w:rPr>
                <w:rFonts w:hint="eastAsia"/>
              </w:rPr>
              <w:t>时</w:t>
            </w:r>
            <w:r>
              <w:rPr>
                <w:rFonts w:hint="eastAsia"/>
                <w:kern w:val="0"/>
                <w:szCs w:val="21"/>
              </w:rPr>
              <w:t>适用</w:t>
            </w:r>
            <w:r>
              <w:rPr>
                <w:rFonts w:hint="eastAsia"/>
              </w:rPr>
              <w:t>）</w:t>
            </w:r>
          </w:p>
        </w:tc>
        <w:tc>
          <w:tcPr>
            <w:tcW w:w="809" w:type="dxa"/>
            <w:shd w:val="clear" w:color="auto" w:fill="auto"/>
            <w:noWrap/>
            <w:vAlign w:val="center"/>
          </w:tcPr>
          <w:p w:rsidR="00506AE6" w:rsidRDefault="0072598A">
            <w:pPr>
              <w:adjustRightInd w:val="0"/>
              <w:snapToGrid w:val="0"/>
              <w:spacing w:line="240" w:lineRule="auto"/>
              <w:ind w:firstLineChars="0" w:firstLine="0"/>
              <w:jc w:val="center"/>
            </w:pPr>
            <w:r>
              <w:rPr>
                <w:rFonts w:hint="eastAsia"/>
              </w:rPr>
              <w:t>%</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（加权平均值）</w:t>
            </w: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实测值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01" w:type="dxa"/>
            <w:vMerge/>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2069" w:type="dxa"/>
            <w:vAlign w:val="center"/>
          </w:tcPr>
          <w:p w:rsidR="00506AE6" w:rsidRDefault="0072598A">
            <w:pPr>
              <w:adjustRightInd w:val="0"/>
              <w:snapToGrid w:val="0"/>
              <w:spacing w:line="240" w:lineRule="auto"/>
              <w:ind w:firstLineChars="0" w:firstLine="0"/>
              <w:jc w:val="center"/>
              <w:rPr>
                <w:i/>
                <w:szCs w:val="21"/>
              </w:rPr>
            </w:pPr>
            <m:oMathPara>
              <m:oMathParaPr>
                <m:jc m:val="left"/>
              </m:oMathParaPr>
              <m:oMath>
                <m:sSub>
                  <m:sSubPr>
                    <m:ctrlPr>
                      <w:rPr>
                        <w:rFonts w:ascii="Cambria Math" w:hAnsi="Cambria Math"/>
                        <w:i/>
                        <w:szCs w:val="21"/>
                      </w:rPr>
                    </m:ctrlPr>
                  </m:sSubPr>
                  <m:e>
                    <m:r>
                      <w:rPr>
                        <w:rFonts w:ascii="Cambria Math" w:hAnsi="Cambria Math"/>
                        <w:szCs w:val="21"/>
                      </w:rPr>
                      <m:t>Q</m:t>
                    </m:r>
                  </m:e>
                  <m:sub>
                    <m:r>
                      <w:rPr>
                        <w:rFonts w:ascii="Cambria Math" w:hAnsi="Cambria Math"/>
                        <w:szCs w:val="21"/>
                      </w:rPr>
                      <m:t>a</m:t>
                    </m:r>
                    <m:r>
                      <w:rPr>
                        <w:rFonts w:ascii="Cambria Math" w:hAnsi="Cambria Math"/>
                        <w:szCs w:val="21"/>
                      </w:rPr>
                      <m:t>,</m:t>
                    </m:r>
                    <m:r>
                      <w:rPr>
                        <w:rFonts w:ascii="Cambria Math" w:hAnsi="Cambria Math"/>
                        <w:szCs w:val="21"/>
                      </w:rPr>
                      <m:t>i</m:t>
                    </m:r>
                    <m:r>
                      <w:rPr>
                        <w:rFonts w:ascii="Cambria Math" w:hAnsi="Cambria Math"/>
                      </w:rPr>
                      <m:t>,</m:t>
                    </m:r>
                    <m:r>
                      <w:rPr>
                        <w:rFonts w:ascii="Cambria Math" w:hAnsi="Cambria Math"/>
                      </w:rPr>
                      <m:t>j</m:t>
                    </m:r>
                  </m:sub>
                </m:sSub>
              </m:oMath>
            </m:oMathPara>
          </w:p>
        </w:tc>
        <w:tc>
          <w:tcPr>
            <w:tcW w:w="1897"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szCs w:val="21"/>
              </w:rPr>
              <w:t>非碳酸盐替代原料</w:t>
            </w:r>
            <w:r>
              <w:rPr>
                <w:rFonts w:hint="eastAsia"/>
                <w:i/>
                <w:szCs w:val="21"/>
              </w:rPr>
              <w:t>i</w:t>
            </w:r>
            <w:r>
              <w:rPr>
                <w:rFonts w:hint="eastAsia"/>
                <w:szCs w:val="21"/>
              </w:rPr>
              <w:t>消耗量</w:t>
            </w:r>
            <w:r>
              <w:rPr>
                <w:szCs w:val="21"/>
                <w:vertAlign w:val="superscript"/>
              </w:rPr>
              <w:t>*3</w:t>
            </w:r>
          </w:p>
        </w:tc>
        <w:tc>
          <w:tcPr>
            <w:tcW w:w="80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t</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01" w:type="dxa"/>
            <w:vMerge/>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2069" w:type="dxa"/>
          </w:tcPr>
          <w:p w:rsidR="00506AE6" w:rsidRDefault="0072598A">
            <w:pPr>
              <w:adjustRightInd w:val="0"/>
              <w:snapToGrid w:val="0"/>
              <w:spacing w:line="240" w:lineRule="auto"/>
              <w:ind w:firstLineChars="0" w:firstLine="0"/>
              <w:jc w:val="center"/>
              <w:rPr>
                <w:i/>
                <w:szCs w:val="21"/>
              </w:rPr>
            </w:pPr>
            <m:oMathPara>
              <m:oMathParaPr>
                <m:jc m:val="left"/>
              </m:oMathParaPr>
              <m:oMath>
                <m:sSub>
                  <m:sSubPr>
                    <m:ctrlPr>
                      <w:rPr>
                        <w:rFonts w:ascii="Cambria Math" w:hAnsi="Cambria Math"/>
                        <w:i/>
                        <w:szCs w:val="21"/>
                      </w:rPr>
                    </m:ctrlPr>
                  </m:sSubPr>
                  <m:e>
                    <m:r>
                      <w:rPr>
                        <w:rFonts w:ascii="Cambria Math" w:hAnsi="Cambria Math"/>
                        <w:szCs w:val="21"/>
                      </w:rPr>
                      <m:t>EF</m:t>
                    </m:r>
                  </m:e>
                  <m:sub>
                    <m:r>
                      <w:rPr>
                        <w:rFonts w:ascii="Cambria Math" w:hAnsi="Cambria Math"/>
                        <w:szCs w:val="21"/>
                      </w:rPr>
                      <m:t>a</m:t>
                    </m:r>
                    <m:r>
                      <w:rPr>
                        <w:rFonts w:ascii="Cambria Math" w:hAnsi="Cambria Math"/>
                      </w:rPr>
                      <m:t>,</m:t>
                    </m:r>
                    <m:r>
                      <w:rPr>
                        <w:rFonts w:ascii="Cambria Math" w:hAnsi="Cambria Math"/>
                      </w:rPr>
                      <m:t>i</m:t>
                    </m:r>
                  </m:sub>
                </m:sSub>
              </m:oMath>
            </m:oMathPara>
          </w:p>
        </w:tc>
        <w:tc>
          <w:tcPr>
            <w:tcW w:w="1897"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szCs w:val="21"/>
              </w:rPr>
              <w:t>非碳酸盐</w:t>
            </w:r>
            <w:r>
              <w:rPr>
                <w:rFonts w:hint="eastAsia"/>
                <w:kern w:val="0"/>
                <w:szCs w:val="21"/>
              </w:rPr>
              <w:t>替代</w:t>
            </w:r>
            <w:r>
              <w:rPr>
                <w:rFonts w:hint="eastAsia"/>
                <w:szCs w:val="21"/>
              </w:rPr>
              <w:t>原料</w:t>
            </w:r>
            <w:r>
              <w:rPr>
                <w:rFonts w:hint="eastAsia"/>
                <w:i/>
                <w:szCs w:val="21"/>
              </w:rPr>
              <w:t>i</w:t>
            </w:r>
            <w:r>
              <w:rPr>
                <w:rFonts w:hint="eastAsia"/>
                <w:szCs w:val="21"/>
              </w:rPr>
              <w:t>对应</w:t>
            </w:r>
            <w:r>
              <w:rPr>
                <w:rFonts w:hint="eastAsia"/>
              </w:rPr>
              <w:t>的扣减系数</w:t>
            </w:r>
          </w:p>
        </w:tc>
        <w:tc>
          <w:tcPr>
            <w:tcW w:w="80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t</w:t>
            </w:r>
            <w:r>
              <w:t>CO</w:t>
            </w:r>
            <w:r>
              <w:rPr>
                <w:vertAlign w:val="subscript"/>
              </w:rPr>
              <w:t>2</w:t>
            </w:r>
            <w:r>
              <w:t>/t</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缺省值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01" w:type="dxa"/>
            <w:vMerge/>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2069" w:type="dxa"/>
            <w:vAlign w:val="center"/>
          </w:tcPr>
          <w:p w:rsidR="00506AE6" w:rsidRDefault="0072598A">
            <w:pPr>
              <w:adjustRightInd w:val="0"/>
              <w:snapToGrid w:val="0"/>
              <w:spacing w:line="240" w:lineRule="auto"/>
              <w:ind w:firstLineChars="0" w:firstLine="0"/>
              <w:jc w:val="center"/>
              <w:rPr>
                <w:i/>
                <w:szCs w:val="21"/>
              </w:rP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r>
                      <m:rPr>
                        <m:sty m:val="p"/>
                      </m:rPr>
                      <w:rPr>
                        <w:rFonts w:ascii="Cambria Math" w:hAnsi="Cambria Math"/>
                      </w:rPr>
                      <m:t>过程</m:t>
                    </m:r>
                    <m:r>
                      <m:rPr>
                        <m:sty m:val="p"/>
                      </m:rPr>
                      <w:rPr>
                        <w:rFonts w:ascii="Cambria Math" w:hAnsi="Cambria Math"/>
                      </w:rPr>
                      <m:t>,j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ck,j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EF</m:t>
                    </m:r>
                  </m:e>
                  <m:sub>
                    <m:r>
                      <m:rPr>
                        <m:sty m:val="p"/>
                      </m:rPr>
                      <w:rPr>
                        <w:rFonts w:ascii="Cambria Math" w:hAnsi="Cambria Math"/>
                      </w:rPr>
                      <m:t>ck,j</m:t>
                    </m:r>
                  </m:sub>
                </m:sSub>
                <m:r>
                  <m:rPr>
                    <m:sty m:val="p"/>
                  </m:rPr>
                  <w:rPr>
                    <w:rFonts w:ascii="Cambria Math" w:hAnsi="Cambria Math"/>
                  </w:rPr>
                  <m:t>-</m:t>
                </m:r>
                <m:nary>
                  <m:naryPr>
                    <m:chr m:val="∑"/>
                    <m:limLoc m:val="undOvr"/>
                    <m:ctrlPr>
                      <w:rPr>
                        <w:rFonts w:ascii="Cambria Math" w:hAnsi="Cambria Math"/>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a,i,j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EF</m:t>
                            </m:r>
                          </m:e>
                          <m:sub>
                            <m:r>
                              <m:rPr>
                                <m:sty m:val="p"/>
                              </m:rPr>
                              <w:rPr>
                                <w:rFonts w:ascii="Cambria Math" w:hAnsi="Cambria Math"/>
                              </w:rPr>
                              <m:t>a,i</m:t>
                            </m:r>
                          </m:sub>
                        </m:sSub>
                      </m:e>
                    </m:d>
                  </m:e>
                </m:nary>
              </m:oMath>
            </m:oMathPara>
          </w:p>
        </w:tc>
        <w:tc>
          <w:tcPr>
            <w:tcW w:w="1897"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过程</w:t>
            </w:r>
            <w:r>
              <w:rPr>
                <w:rFonts w:hint="eastAsia"/>
                <w:kern w:val="0"/>
                <w:szCs w:val="21"/>
              </w:rPr>
              <w:t>排放量</w:t>
            </w:r>
          </w:p>
        </w:tc>
        <w:tc>
          <w:tcPr>
            <w:tcW w:w="809"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t</w:t>
            </w:r>
            <w:r>
              <w:t>CO</w:t>
            </w:r>
            <w:r>
              <w:rPr>
                <w:vertAlign w:val="subscript"/>
              </w:rPr>
              <w:t>2</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（合计值）</w:t>
            </w: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计算值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01" w:type="dxa"/>
            <w:shd w:val="clear" w:color="auto" w:fill="auto"/>
            <w:vAlign w:val="center"/>
          </w:tcPr>
          <w:p w:rsidR="00506AE6" w:rsidRDefault="0072598A">
            <w:pPr>
              <w:adjustRightInd w:val="0"/>
              <w:snapToGrid w:val="0"/>
              <w:spacing w:line="240" w:lineRule="auto"/>
              <w:ind w:firstLineChars="0" w:firstLine="0"/>
              <w:jc w:val="center"/>
              <w:rPr>
                <w:rFonts w:ascii="宋体" w:hAnsi="宋体"/>
                <w:szCs w:val="21"/>
              </w:rPr>
            </w:pPr>
            <w:r>
              <w:rPr>
                <w:rFonts w:ascii="宋体" w:hAnsi="宋体"/>
                <w:szCs w:val="21"/>
              </w:rPr>
              <w:t>…</w:t>
            </w:r>
          </w:p>
        </w:tc>
        <w:tc>
          <w:tcPr>
            <w:tcW w:w="3966" w:type="dxa"/>
            <w:gridSpan w:val="2"/>
            <w:vAlign w:val="center"/>
          </w:tcPr>
          <w:p w:rsidR="00506AE6" w:rsidRDefault="00506AE6">
            <w:pPr>
              <w:widowControl/>
              <w:adjustRightInd w:val="0"/>
              <w:snapToGrid w:val="0"/>
              <w:spacing w:line="240" w:lineRule="auto"/>
              <w:ind w:firstLineChars="0" w:firstLine="0"/>
              <w:jc w:val="center"/>
              <w:textAlignment w:val="center"/>
              <w:rPr>
                <w:rFonts w:ascii="宋体" w:hAnsi="宋体"/>
                <w:kern w:val="0"/>
                <w:szCs w:val="21"/>
              </w:rPr>
            </w:pPr>
          </w:p>
        </w:tc>
        <w:tc>
          <w:tcPr>
            <w:tcW w:w="809"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bl>
    <w:p w:rsidR="00506AE6" w:rsidRDefault="0072598A">
      <w:pPr>
        <w:pStyle w:val="affb"/>
        <w:ind w:left="180" w:hangingChars="100" w:hanging="180"/>
        <w:jc w:val="both"/>
        <w:rPr>
          <w:bCs/>
          <w:kern w:val="0"/>
        </w:rPr>
      </w:pPr>
      <w:r>
        <w:rPr>
          <w:rFonts w:hint="eastAsia"/>
          <w:bCs/>
          <w:kern w:val="0"/>
        </w:rPr>
        <w:t>填报</w:t>
      </w:r>
      <w:r>
        <w:rPr>
          <w:rFonts w:ascii="Times New Roman" w:hint="eastAsia"/>
          <w:bCs/>
          <w:kern w:val="0"/>
        </w:rPr>
        <w:t>说明</w:t>
      </w:r>
      <w:r>
        <w:rPr>
          <w:rFonts w:hint="eastAsia"/>
          <w:bCs/>
          <w:kern w:val="0"/>
        </w:rPr>
        <w:t>：</w:t>
      </w:r>
    </w:p>
    <w:p w:rsidR="00506AE6" w:rsidRDefault="0072598A">
      <w:pPr>
        <w:pStyle w:val="affb"/>
        <w:ind w:left="180" w:hangingChars="100" w:hanging="180"/>
        <w:jc w:val="both"/>
        <w:rPr>
          <w:rFonts w:ascii="Times New Roman"/>
        </w:rPr>
      </w:pPr>
      <w:r>
        <w:rPr>
          <w:rFonts w:ascii="Times New Roman"/>
          <w:vertAlign w:val="superscript"/>
        </w:rPr>
        <w:t>*1</w:t>
      </w:r>
      <w:r>
        <w:rPr>
          <w:rFonts w:ascii="Times New Roman" w:hint="eastAsia"/>
        </w:rPr>
        <w:t>若生产线多于</w:t>
      </w:r>
      <w:r>
        <w:rPr>
          <w:rFonts w:ascii="Times New Roman"/>
        </w:rPr>
        <w:t>1</w:t>
      </w:r>
      <w:r>
        <w:rPr>
          <w:rFonts w:ascii="Times New Roman" w:hint="eastAsia"/>
        </w:rPr>
        <w:t>条，应分别填报。</w:t>
      </w:r>
    </w:p>
    <w:p w:rsidR="00506AE6" w:rsidRDefault="0072598A">
      <w:pPr>
        <w:widowControl/>
        <w:ind w:left="180" w:hangingChars="100" w:hanging="180"/>
        <w:jc w:val="left"/>
        <w:rPr>
          <w:sz w:val="18"/>
          <w:szCs w:val="18"/>
        </w:rPr>
      </w:pPr>
      <w:r>
        <w:rPr>
          <w:sz w:val="18"/>
          <w:szCs w:val="18"/>
          <w:vertAlign w:val="superscript"/>
        </w:rPr>
        <w:t>*2</w:t>
      </w:r>
      <w:r>
        <w:rPr>
          <w:rFonts w:ascii="宋体" w:hAnsi="宋体" w:cs="宋体" w:hint="eastAsia"/>
          <w:kern w:val="0"/>
          <w:sz w:val="18"/>
          <w:szCs w:val="18"/>
        </w:rPr>
        <w:t>各参数按四舍五入保留小数位如下：</w:t>
      </w:r>
    </w:p>
    <w:p w:rsidR="00506AE6" w:rsidRDefault="0072598A">
      <w:pPr>
        <w:pStyle w:val="a5"/>
        <w:numPr>
          <w:ilvl w:val="0"/>
          <w:numId w:val="33"/>
        </w:numPr>
        <w:adjustRightInd w:val="0"/>
        <w:rPr>
          <w:sz w:val="18"/>
          <w:szCs w:val="18"/>
        </w:rPr>
      </w:pPr>
      <w:r>
        <w:rPr>
          <w:rFonts w:hint="eastAsia"/>
          <w:sz w:val="18"/>
          <w:szCs w:val="18"/>
        </w:rPr>
        <w:t>熟料产量、非碳酸盐替代原料消耗量保留到小数点后两位；</w:t>
      </w:r>
    </w:p>
    <w:p w:rsidR="00506AE6" w:rsidRDefault="0072598A">
      <w:pPr>
        <w:pStyle w:val="a5"/>
        <w:numPr>
          <w:ilvl w:val="0"/>
          <w:numId w:val="33"/>
        </w:numPr>
        <w:adjustRightInd w:val="0"/>
        <w:rPr>
          <w:sz w:val="18"/>
          <w:szCs w:val="18"/>
        </w:rPr>
      </w:pPr>
      <w:r>
        <w:rPr>
          <w:rFonts w:hint="eastAsia"/>
          <w:sz w:val="18"/>
          <w:szCs w:val="18"/>
        </w:rPr>
        <w:t>过程排放量保留到小数点后两位。</w:t>
      </w:r>
    </w:p>
    <w:p w:rsidR="00506AE6" w:rsidRDefault="0072598A">
      <w:pPr>
        <w:ind w:left="180" w:hangingChars="100" w:hanging="180"/>
        <w:rPr>
          <w:bCs/>
          <w:kern w:val="0"/>
          <w:sz w:val="18"/>
          <w:szCs w:val="18"/>
        </w:rPr>
      </w:pPr>
      <w:r>
        <w:rPr>
          <w:sz w:val="18"/>
          <w:szCs w:val="18"/>
          <w:vertAlign w:val="superscript"/>
        </w:rPr>
        <w:t>*3</w:t>
      </w:r>
      <w:r>
        <w:rPr>
          <w:rFonts w:hint="eastAsia"/>
          <w:sz w:val="18"/>
          <w:szCs w:val="18"/>
        </w:rPr>
        <w:t>填报具体的非碳酸盐替代原料名称，</w:t>
      </w:r>
      <w:r>
        <w:rPr>
          <w:rFonts w:hint="eastAsia"/>
          <w:kern w:val="0"/>
          <w:sz w:val="18"/>
          <w:szCs w:val="18"/>
        </w:rPr>
        <w:t>若消耗的非碳酸盐替代原料多于</w:t>
      </w:r>
      <w:r>
        <w:rPr>
          <w:kern w:val="0"/>
          <w:sz w:val="18"/>
          <w:szCs w:val="18"/>
        </w:rPr>
        <w:t>1</w:t>
      </w:r>
      <w:r>
        <w:rPr>
          <w:rFonts w:hint="eastAsia"/>
          <w:kern w:val="0"/>
          <w:sz w:val="18"/>
          <w:szCs w:val="18"/>
        </w:rPr>
        <w:t>种，应分别填报</w:t>
      </w:r>
      <w:r>
        <w:rPr>
          <w:rFonts w:hint="eastAsia"/>
          <w:bCs/>
          <w:kern w:val="0"/>
          <w:sz w:val="18"/>
          <w:szCs w:val="18"/>
        </w:rPr>
        <w:t>。</w:t>
      </w:r>
    </w:p>
    <w:p w:rsidR="00506AE6" w:rsidRDefault="00506AE6">
      <w:pPr>
        <w:tabs>
          <w:tab w:val="center" w:pos="4201"/>
          <w:tab w:val="right" w:leader="dot" w:pos="9298"/>
        </w:tabs>
        <w:autoSpaceDE w:val="0"/>
        <w:autoSpaceDN w:val="0"/>
        <w:ind w:firstLine="360"/>
        <w:rPr>
          <w:sz w:val="18"/>
          <w:szCs w:val="18"/>
        </w:rPr>
        <w:sectPr w:rsidR="00506AE6">
          <w:pgSz w:w="16838" w:h="11906" w:orient="landscape"/>
          <w:pgMar w:top="1616" w:right="1814" w:bottom="1616" w:left="1985" w:header="851" w:footer="850" w:gutter="0"/>
          <w:cols w:space="720"/>
          <w:docGrid w:type="lines" w:linePitch="312"/>
        </w:sectPr>
      </w:pPr>
    </w:p>
    <w:p w:rsidR="00506AE6" w:rsidRDefault="0072598A">
      <w:pPr>
        <w:pStyle w:val="afffffe"/>
        <w:spacing w:before="156" w:after="156"/>
        <w:jc w:val="center"/>
        <w:outlineLvl w:val="1"/>
        <w:rPr>
          <w:rFonts w:ascii="Times New Roman"/>
        </w:rPr>
      </w:pPr>
      <w:r>
        <w:rPr>
          <w:rFonts w:ascii="Times New Roman" w:hint="eastAsia"/>
        </w:rPr>
        <w:lastRenderedPageBreak/>
        <w:t>附表</w:t>
      </w:r>
      <w:r>
        <w:rPr>
          <w:rFonts w:ascii="Times New Roman" w:hint="eastAsia"/>
        </w:rPr>
        <w:t>E</w:t>
      </w:r>
      <w:r>
        <w:rPr>
          <w:rFonts w:ascii="Times New Roman"/>
        </w:rPr>
        <w:t>.</w:t>
      </w:r>
      <w:r>
        <w:rPr>
          <w:rFonts w:ascii="Times New Roman" w:hint="eastAsia"/>
        </w:rPr>
        <w:t>5</w:t>
      </w:r>
      <w:r>
        <w:rPr>
          <w:rFonts w:ascii="Times New Roman"/>
        </w:rPr>
        <w:t xml:space="preserve">  </w:t>
      </w:r>
      <w:r>
        <w:rPr>
          <w:rFonts w:ascii="Times New Roman" w:hint="eastAsia"/>
        </w:rPr>
        <w:t>熟料生产消耗电力排放表</w:t>
      </w:r>
    </w:p>
    <w:tbl>
      <w:tblPr>
        <w:tblW w:w="15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962"/>
        <w:gridCol w:w="1698"/>
        <w:gridCol w:w="1417"/>
        <w:gridCol w:w="454"/>
        <w:gridCol w:w="454"/>
        <w:gridCol w:w="454"/>
        <w:gridCol w:w="454"/>
        <w:gridCol w:w="454"/>
        <w:gridCol w:w="454"/>
        <w:gridCol w:w="454"/>
        <w:gridCol w:w="454"/>
        <w:gridCol w:w="454"/>
        <w:gridCol w:w="454"/>
        <w:gridCol w:w="454"/>
        <w:gridCol w:w="454"/>
        <w:gridCol w:w="1304"/>
        <w:gridCol w:w="850"/>
        <w:gridCol w:w="680"/>
        <w:gridCol w:w="680"/>
      </w:tblGrid>
      <w:tr w:rsidR="00506AE6">
        <w:trPr>
          <w:trHeight w:val="283"/>
          <w:jc w:val="center"/>
        </w:trPr>
        <w:tc>
          <w:tcPr>
            <w:tcW w:w="1020"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生产线名称</w:t>
            </w:r>
            <w:r>
              <w:rPr>
                <w:szCs w:val="21"/>
                <w:vertAlign w:val="superscript"/>
              </w:rPr>
              <w:t>*1</w:t>
            </w:r>
          </w:p>
        </w:tc>
        <w:tc>
          <w:tcPr>
            <w:tcW w:w="3660" w:type="dxa"/>
            <w:gridSpan w:val="2"/>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信息项</w:t>
            </w:r>
            <w:r>
              <w:rPr>
                <w:kern w:val="0"/>
                <w:szCs w:val="21"/>
                <w:vertAlign w:val="superscript"/>
              </w:rPr>
              <w:t>*2</w:t>
            </w:r>
          </w:p>
        </w:tc>
        <w:tc>
          <w:tcPr>
            <w:tcW w:w="1417"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单位</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2</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3</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4</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5</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6</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7</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8</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9</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10</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11</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12</w:t>
            </w:r>
            <w:r>
              <w:rPr>
                <w:kern w:val="0"/>
                <w:szCs w:val="21"/>
              </w:rPr>
              <w:t>月</w:t>
            </w:r>
          </w:p>
        </w:tc>
        <w:tc>
          <w:tcPr>
            <w:tcW w:w="130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全年</w:t>
            </w:r>
          </w:p>
        </w:tc>
        <w:tc>
          <w:tcPr>
            <w:tcW w:w="85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获取</w:t>
            </w:r>
          </w:p>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方式</w:t>
            </w:r>
          </w:p>
        </w:tc>
        <w:tc>
          <w:tcPr>
            <w:tcW w:w="68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数据来源</w:t>
            </w:r>
          </w:p>
        </w:tc>
        <w:tc>
          <w:tcPr>
            <w:tcW w:w="68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支撑材料</w:t>
            </w:r>
          </w:p>
        </w:tc>
      </w:tr>
      <w:tr w:rsidR="00506AE6">
        <w:trPr>
          <w:trHeight w:val="283"/>
          <w:jc w:val="center"/>
        </w:trPr>
        <w:tc>
          <w:tcPr>
            <w:tcW w:w="1020" w:type="dxa"/>
            <w:vMerge w:val="restart"/>
            <w:shd w:val="clear" w:color="auto" w:fill="auto"/>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生产线</w:t>
            </w:r>
            <w:r>
              <w:rPr>
                <w:rFonts w:hint="eastAsia"/>
                <w:i/>
                <w:iCs/>
                <w:kern w:val="0"/>
                <w:szCs w:val="21"/>
              </w:rPr>
              <w:t xml:space="preserve">j </w:t>
            </w:r>
          </w:p>
        </w:tc>
        <w:tc>
          <w:tcPr>
            <w:tcW w:w="1962" w:type="dxa"/>
            <w:shd w:val="clear" w:color="auto" w:fill="auto"/>
            <w:noWrap/>
            <w:vAlign w:val="center"/>
          </w:tcPr>
          <w:p w:rsidR="00506AE6" w:rsidRDefault="0072598A">
            <w:pPr>
              <w:adjustRightInd w:val="0"/>
              <w:snapToGrid w:val="0"/>
              <w:spacing w:line="240" w:lineRule="auto"/>
              <w:ind w:firstLineChars="0" w:firstLine="0"/>
              <w:jc w:val="center"/>
              <w:rPr>
                <w:szCs w:val="21"/>
              </w:rPr>
            </w:pPr>
            <m:oMathPara>
              <m:oMath>
                <m:r>
                  <m:rPr>
                    <m:sty m:val="p"/>
                  </m:rPr>
                  <w:rPr>
                    <w:rFonts w:ascii="Cambria Math" w:hAnsi="Cambria Math"/>
                  </w:rPr>
                  <m:t>A</m:t>
                </m:r>
                <m:sSub>
                  <m:sSubPr>
                    <m:ctrlPr>
                      <w:rPr>
                        <w:rFonts w:ascii="Cambria Math" w:hAnsi="Cambria Math" w:hint="eastAsia"/>
                        <w:iCs/>
                      </w:rPr>
                    </m:ctrlPr>
                  </m:sSubPr>
                  <m:e>
                    <m:r>
                      <m:rPr>
                        <m:sty m:val="p"/>
                      </m:rPr>
                      <w:rPr>
                        <w:rFonts w:ascii="Cambria Math" w:hAnsi="Cambria Math"/>
                      </w:rPr>
                      <m:t>D</m:t>
                    </m:r>
                  </m:e>
                  <m:sub>
                    <m:r>
                      <m:rPr>
                        <m:sty m:val="p"/>
                      </m:rPr>
                      <w:rPr>
                        <w:rFonts w:ascii="Cambria Math" w:hAnsi="Cambria Math" w:hint="eastAsia"/>
                      </w:rPr>
                      <m:t>ck</m:t>
                    </m:r>
                    <m:r>
                      <m:rPr>
                        <m:sty m:val="p"/>
                      </m:rPr>
                      <w:rPr>
                        <w:rFonts w:ascii="Cambria Math" w:hAnsi="Cambria Math" w:hint="eastAsia"/>
                      </w:rPr>
                      <m:t>电</m:t>
                    </m:r>
                    <m:r>
                      <m:rPr>
                        <m:sty m:val="p"/>
                      </m:rPr>
                      <w:rPr>
                        <w:rFonts w:ascii="Cambria Math" w:hAnsi="Cambria Math"/>
                      </w:rPr>
                      <m:t>,j</m:t>
                    </m:r>
                  </m:sub>
                </m:sSub>
                <m:r>
                  <m:rPr>
                    <m:sty m:val="p"/>
                  </m:rPr>
                  <w:rPr>
                    <w:rFonts w:ascii="Cambria Math" w:hAnsi="Cambria Math"/>
                  </w:rPr>
                  <m:t>=A</m:t>
                </m:r>
                <m:sSub>
                  <m:sSubPr>
                    <m:ctrlPr>
                      <w:rPr>
                        <w:rFonts w:ascii="Cambria Math" w:hAnsi="Cambria Math" w:hint="eastAsia"/>
                        <w:iCs/>
                      </w:rPr>
                    </m:ctrlPr>
                  </m:sSubPr>
                  <m:e>
                    <m:r>
                      <m:rPr>
                        <m:sty m:val="p"/>
                      </m:rPr>
                      <w:rPr>
                        <w:rFonts w:ascii="Cambria Math" w:hAnsi="Cambria Math"/>
                      </w:rPr>
                      <m:t>D</m:t>
                    </m:r>
                  </m:e>
                  <m:sub>
                    <m:r>
                      <m:rPr>
                        <m:sty m:val="p"/>
                      </m:rPr>
                      <w:rPr>
                        <w:rFonts w:ascii="Cambria Math" w:hAnsi="Cambria Math" w:hint="eastAsia"/>
                      </w:rPr>
                      <m:t>消耗电</m:t>
                    </m:r>
                    <m:r>
                      <m:rPr>
                        <m:sty m:val="p"/>
                      </m:rPr>
                      <w:rPr>
                        <w:rFonts w:ascii="Cambria Math" w:hAnsi="Cambria Math"/>
                      </w:rPr>
                      <m:t>,j</m:t>
                    </m:r>
                  </m:sub>
                </m:sSub>
                <m:r>
                  <m:rPr>
                    <m:sty m:val="p"/>
                  </m:rPr>
                  <w:rPr>
                    <w:rFonts w:ascii="Cambria Math" w:hAnsi="Cambria Math"/>
                  </w:rPr>
                  <m:t>-</m:t>
                </m:r>
                <m:r>
                  <m:rPr>
                    <m:sty m:val="p"/>
                  </m:rPr>
                  <w:rPr>
                    <w:rFonts w:ascii="Cambria Math" w:hAnsi="Cambria Math"/>
                  </w:rPr>
                  <m:t>A</m:t>
                </m:r>
                <m:sSub>
                  <m:sSubPr>
                    <m:ctrlPr>
                      <w:rPr>
                        <w:rFonts w:ascii="Cambria Math" w:hAnsi="Cambria Math" w:hint="eastAsia"/>
                        <w:iCs/>
                      </w:rPr>
                    </m:ctrlPr>
                  </m:sSubPr>
                  <m:e>
                    <m:r>
                      <m:rPr>
                        <m:sty m:val="p"/>
                      </m:rPr>
                      <w:rPr>
                        <w:rFonts w:ascii="Cambria Math" w:hAnsi="Cambria Math"/>
                      </w:rPr>
                      <m:t>D</m:t>
                    </m:r>
                  </m:e>
                  <m:sub>
                    <m:r>
                      <m:rPr>
                        <m:sty m:val="p"/>
                      </m:rPr>
                      <w:rPr>
                        <w:rFonts w:ascii="Cambria Math" w:hAnsi="Cambria Math" w:hint="eastAsia"/>
                      </w:rPr>
                      <m:t>余热发电</m:t>
                    </m:r>
                    <m:r>
                      <m:rPr>
                        <m:sty m:val="p"/>
                      </m:rPr>
                      <w:rPr>
                        <w:rFonts w:ascii="Cambria Math" w:hAnsi="Cambria Math"/>
                      </w:rPr>
                      <m:t>,j</m:t>
                    </m:r>
                  </m:sub>
                </m:sSub>
                <m:r>
                  <m:rPr>
                    <m:sty m:val="p"/>
                  </m:rPr>
                  <w:rPr>
                    <w:rFonts w:ascii="Cambria Math" w:hAnsi="Cambria Math"/>
                  </w:rPr>
                  <m:t>-</m:t>
                </m:r>
                <m:r>
                  <m:rPr>
                    <m:sty m:val="p"/>
                  </m:rPr>
                  <w:rPr>
                    <w:rFonts w:ascii="Cambria Math" w:hAnsi="Cambria Math"/>
                  </w:rPr>
                  <m:t>A</m:t>
                </m:r>
                <m:sSub>
                  <m:sSubPr>
                    <m:ctrlPr>
                      <w:rPr>
                        <w:rFonts w:ascii="Cambria Math" w:hAnsi="Cambria Math" w:hint="eastAsia"/>
                        <w:iCs/>
                      </w:rPr>
                    </m:ctrlPr>
                  </m:sSubPr>
                  <m:e>
                    <m:r>
                      <m:rPr>
                        <m:sty m:val="p"/>
                      </m:rPr>
                      <w:rPr>
                        <w:rFonts w:ascii="Cambria Math" w:hAnsi="Cambria Math"/>
                      </w:rPr>
                      <m:t>D</m:t>
                    </m:r>
                  </m:e>
                  <m:sub>
                    <m:r>
                      <m:rPr>
                        <m:sty m:val="p"/>
                      </m:rPr>
                      <w:rPr>
                        <w:rFonts w:ascii="Cambria Math" w:hAnsi="Cambria Math" w:hint="eastAsia"/>
                      </w:rPr>
                      <m:t>购入电网非化石电</m:t>
                    </m:r>
                    <m:r>
                      <m:rPr>
                        <m:sty m:val="p"/>
                      </m:rPr>
                      <w:rPr>
                        <w:rFonts w:ascii="Cambria Math" w:hAnsi="Cambria Math"/>
                      </w:rPr>
                      <m:t>,j</m:t>
                    </m:r>
                  </m:sub>
                </m:sSub>
                <m:r>
                  <m:rPr>
                    <m:sty m:val="p"/>
                  </m:rPr>
                  <w:rPr>
                    <w:rFonts w:ascii="Cambria Math" w:hAnsi="Cambria Math"/>
                  </w:rPr>
                  <m:t>-</m:t>
                </m:r>
                <m:r>
                  <m:rPr>
                    <m:sty m:val="p"/>
                  </m:rPr>
                  <w:rPr>
                    <w:rFonts w:ascii="Cambria Math" w:hAnsi="Cambria Math"/>
                  </w:rPr>
                  <m:t>A</m:t>
                </m:r>
                <m:sSub>
                  <m:sSubPr>
                    <m:ctrlPr>
                      <w:rPr>
                        <w:rFonts w:ascii="Cambria Math" w:hAnsi="Cambria Math" w:hint="eastAsia"/>
                        <w:iCs/>
                      </w:rPr>
                    </m:ctrlPr>
                  </m:sSubPr>
                  <m:e>
                    <m:r>
                      <m:rPr>
                        <m:sty m:val="p"/>
                      </m:rPr>
                      <w:rPr>
                        <w:rFonts w:ascii="Cambria Math" w:hAnsi="Cambria Math"/>
                      </w:rPr>
                      <m:t>D</m:t>
                    </m:r>
                  </m:e>
                  <m:sub>
                    <m:r>
                      <m:rPr>
                        <m:sty m:val="p"/>
                      </m:rPr>
                      <w:rPr>
                        <w:rFonts w:ascii="Cambria Math" w:hAnsi="Cambria Math" w:hint="eastAsia"/>
                      </w:rPr>
                      <m:t>自发自用非化石电</m:t>
                    </m:r>
                    <m:r>
                      <m:rPr>
                        <m:sty m:val="p"/>
                      </m:rPr>
                      <w:rPr>
                        <w:rFonts w:ascii="Cambria Math" w:hAnsi="Cambria Math"/>
                      </w:rPr>
                      <m:t>,j</m:t>
                    </m:r>
                  </m:sub>
                </m:sSub>
              </m:oMath>
            </m:oMathPara>
          </w:p>
        </w:tc>
        <w:tc>
          <w:tcPr>
            <w:tcW w:w="1698"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消耗</w:t>
            </w:r>
            <w:r>
              <w:rPr>
                <w:rFonts w:hint="eastAsia"/>
                <w:szCs w:val="21"/>
              </w:rPr>
              <w:t>电量</w:t>
            </w:r>
          </w:p>
        </w:tc>
        <w:tc>
          <w:tcPr>
            <w:tcW w:w="1417"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szCs w:val="21"/>
              </w:rPr>
              <w:t>MW</w:t>
            </w:r>
            <w:r>
              <w:t>·</w:t>
            </w:r>
            <w:r>
              <w:rPr>
                <w:szCs w:val="21"/>
              </w:rPr>
              <w:t>h</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（合计值）</w:t>
            </w: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计算值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20" w:type="dxa"/>
            <w:vMerge/>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962" w:type="dxa"/>
            <w:shd w:val="clear" w:color="auto" w:fill="auto"/>
            <w:noWrap/>
            <w:vAlign w:val="center"/>
          </w:tcPr>
          <w:p w:rsidR="00506AE6" w:rsidRDefault="0072598A">
            <w:pPr>
              <w:adjustRightInd w:val="0"/>
              <w:snapToGrid w:val="0"/>
              <w:spacing w:line="240" w:lineRule="auto"/>
              <w:ind w:firstLineChars="0" w:firstLine="0"/>
              <w:jc w:val="center"/>
              <w:rPr>
                <w:i/>
                <w:kern w:val="0"/>
                <w:szCs w:val="21"/>
              </w:rPr>
            </w:pPr>
            <m:oMathPara>
              <m:oMathParaPr>
                <m:jc m:val="left"/>
              </m:oMathParaPr>
              <m:oMath>
                <m:r>
                  <w:rPr>
                    <w:rFonts w:ascii="Cambria Math" w:hAnsi="Cambria Math" w:cs="宋体"/>
                    <w:szCs w:val="21"/>
                  </w:rPr>
                  <m:t>A</m:t>
                </m:r>
                <m:sSub>
                  <m:sSubPr>
                    <m:ctrlPr>
                      <w:rPr>
                        <w:rFonts w:ascii="Cambria Math" w:hAnsi="Cambria Math" w:cs="宋体" w:hint="eastAsia"/>
                        <w:i/>
                        <w:szCs w:val="21"/>
                      </w:rPr>
                    </m:ctrlPr>
                  </m:sSubPr>
                  <m:e>
                    <m:r>
                      <w:rPr>
                        <w:rFonts w:ascii="Cambria Math" w:hAnsi="Cambria Math" w:cs="宋体"/>
                        <w:szCs w:val="21"/>
                      </w:rPr>
                      <m:t>D</m:t>
                    </m:r>
                  </m:e>
                  <m:sub>
                    <m:r>
                      <w:rPr>
                        <w:rFonts w:ascii="Cambria Math" w:hAnsi="Cambria Math" w:cs="宋体" w:hint="eastAsia"/>
                        <w:szCs w:val="21"/>
                      </w:rPr>
                      <m:t>消耗电</m:t>
                    </m:r>
                    <m:r>
                      <w:rPr>
                        <w:rFonts w:ascii="Cambria Math" w:hAnsi="Cambria Math"/>
                        <w:szCs w:val="21"/>
                      </w:rPr>
                      <m:t>,</m:t>
                    </m:r>
                    <m:r>
                      <w:rPr>
                        <w:rFonts w:ascii="Cambria Math" w:hAnsi="Cambria Math"/>
                        <w:szCs w:val="21"/>
                      </w:rPr>
                      <m:t>j</m:t>
                    </m:r>
                  </m:sub>
                </m:sSub>
              </m:oMath>
            </m:oMathPara>
          </w:p>
        </w:tc>
        <w:tc>
          <w:tcPr>
            <w:tcW w:w="1698"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szCs w:val="21"/>
              </w:rPr>
              <w:t>总消耗电量</w:t>
            </w:r>
          </w:p>
        </w:tc>
        <w:tc>
          <w:tcPr>
            <w:tcW w:w="1417"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szCs w:val="21"/>
              </w:rPr>
              <w:t>MW</w:t>
            </w:r>
            <w:r>
              <w:t>·</w:t>
            </w:r>
            <w:r>
              <w:rPr>
                <w:szCs w:val="21"/>
              </w:rPr>
              <w:t>h</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20" w:type="dxa"/>
            <w:vMerge/>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962" w:type="dxa"/>
            <w:shd w:val="clear" w:color="auto" w:fill="auto"/>
            <w:noWrap/>
            <w:vAlign w:val="center"/>
          </w:tcPr>
          <w:p w:rsidR="00506AE6" w:rsidRDefault="0072598A">
            <w:pPr>
              <w:adjustRightInd w:val="0"/>
              <w:snapToGrid w:val="0"/>
              <w:spacing w:line="240" w:lineRule="auto"/>
              <w:ind w:firstLineChars="0" w:firstLine="0"/>
              <w:jc w:val="center"/>
              <w:rPr>
                <w:i/>
                <w:szCs w:val="21"/>
              </w:rPr>
            </w:pPr>
            <m:oMathPara>
              <m:oMathParaPr>
                <m:jc m:val="left"/>
              </m:oMathParaPr>
              <m:oMath>
                <m:r>
                  <w:rPr>
                    <w:rFonts w:ascii="Cambria Math" w:hAnsi="Cambria Math" w:cs="宋体"/>
                    <w:szCs w:val="21"/>
                  </w:rPr>
                  <m:t>A</m:t>
                </m:r>
                <m:sSub>
                  <m:sSubPr>
                    <m:ctrlPr>
                      <w:rPr>
                        <w:rFonts w:ascii="Cambria Math" w:hAnsi="Cambria Math" w:cs="宋体" w:hint="eastAsia"/>
                        <w:i/>
                        <w:szCs w:val="21"/>
                      </w:rPr>
                    </m:ctrlPr>
                  </m:sSubPr>
                  <m:e>
                    <m:r>
                      <w:rPr>
                        <w:rFonts w:ascii="Cambria Math" w:hAnsi="Cambria Math" w:cs="宋体"/>
                        <w:szCs w:val="21"/>
                      </w:rPr>
                      <m:t>D</m:t>
                    </m:r>
                  </m:e>
                  <m:sub>
                    <m:r>
                      <w:rPr>
                        <w:rFonts w:ascii="Cambria Math" w:hAnsi="Cambria Math" w:cs="宋体" w:hint="eastAsia"/>
                        <w:szCs w:val="21"/>
                      </w:rPr>
                      <m:t>余热发电</m:t>
                    </m:r>
                    <m:r>
                      <w:rPr>
                        <w:rFonts w:ascii="Cambria Math" w:hAnsi="Cambria Math"/>
                        <w:szCs w:val="21"/>
                      </w:rPr>
                      <m:t>,</m:t>
                    </m:r>
                    <m:r>
                      <w:rPr>
                        <w:rFonts w:ascii="Cambria Math" w:hAnsi="Cambria Math"/>
                        <w:szCs w:val="21"/>
                      </w:rPr>
                      <m:t>j</m:t>
                    </m:r>
                  </m:sub>
                </m:sSub>
              </m:oMath>
            </m:oMathPara>
          </w:p>
        </w:tc>
        <w:tc>
          <w:tcPr>
            <w:tcW w:w="1698"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szCs w:val="21"/>
              </w:rPr>
              <w:t>余热电站发电量</w:t>
            </w:r>
          </w:p>
        </w:tc>
        <w:tc>
          <w:tcPr>
            <w:tcW w:w="1417"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szCs w:val="21"/>
              </w:rPr>
              <w:t>MW</w:t>
            </w:r>
            <w:r>
              <w:t>·</w:t>
            </w:r>
            <w:r>
              <w:rPr>
                <w:szCs w:val="21"/>
              </w:rPr>
              <w:t>h</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20" w:type="dxa"/>
            <w:vMerge/>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962" w:type="dxa"/>
            <w:shd w:val="clear" w:color="auto" w:fill="auto"/>
            <w:noWrap/>
            <w:vAlign w:val="center"/>
          </w:tcPr>
          <w:p w:rsidR="00506AE6" w:rsidRDefault="0072598A">
            <w:pPr>
              <w:adjustRightInd w:val="0"/>
              <w:snapToGrid w:val="0"/>
              <w:spacing w:line="240" w:lineRule="auto"/>
              <w:ind w:firstLineChars="0" w:firstLine="0"/>
              <w:jc w:val="center"/>
              <w:rPr>
                <w:i/>
                <w:szCs w:val="21"/>
              </w:rPr>
            </w:pPr>
            <m:oMathPara>
              <m:oMathParaPr>
                <m:jc m:val="left"/>
              </m:oMathParaPr>
              <m:oMath>
                <m:r>
                  <w:rPr>
                    <w:rFonts w:ascii="Cambria Math" w:hAnsi="Cambria Math" w:cs="宋体"/>
                    <w:szCs w:val="21"/>
                  </w:rPr>
                  <m:t>A</m:t>
                </m:r>
                <m:sSub>
                  <m:sSubPr>
                    <m:ctrlPr>
                      <w:rPr>
                        <w:rFonts w:ascii="Cambria Math" w:hAnsi="Cambria Math" w:cs="宋体" w:hint="eastAsia"/>
                        <w:i/>
                        <w:szCs w:val="21"/>
                      </w:rPr>
                    </m:ctrlPr>
                  </m:sSubPr>
                  <m:e>
                    <m:r>
                      <w:rPr>
                        <w:rFonts w:ascii="Cambria Math" w:hAnsi="Cambria Math" w:cs="宋体"/>
                        <w:szCs w:val="21"/>
                      </w:rPr>
                      <m:t>D</m:t>
                    </m:r>
                  </m:e>
                  <m:sub>
                    <m:r>
                      <w:rPr>
                        <w:rFonts w:ascii="Cambria Math" w:hAnsi="Cambria Math" w:cs="宋体" w:hint="eastAsia"/>
                        <w:szCs w:val="21"/>
                      </w:rPr>
                      <m:t>购入</m:t>
                    </m:r>
                    <m:r>
                      <w:rPr>
                        <w:rFonts w:ascii="Cambria Math" w:hAnsi="Cambria Math" w:hint="eastAsia"/>
                      </w:rPr>
                      <m:t>电网</m:t>
                    </m:r>
                    <m:r>
                      <w:rPr>
                        <w:rFonts w:ascii="Cambria Math" w:hAnsi="Cambria Math" w:cs="宋体" w:hint="eastAsia"/>
                        <w:szCs w:val="21"/>
                      </w:rPr>
                      <m:t>非化石电</m:t>
                    </m:r>
                    <m:r>
                      <w:rPr>
                        <w:rFonts w:ascii="Cambria Math" w:hAnsi="Cambria Math"/>
                        <w:szCs w:val="21"/>
                      </w:rPr>
                      <m:t>,</m:t>
                    </m:r>
                    <m:r>
                      <w:rPr>
                        <w:rFonts w:ascii="Cambria Math" w:hAnsi="Cambria Math"/>
                        <w:szCs w:val="21"/>
                      </w:rPr>
                      <m:t>j</m:t>
                    </m:r>
                  </m:sub>
                </m:sSub>
              </m:oMath>
            </m:oMathPara>
          </w:p>
        </w:tc>
        <w:tc>
          <w:tcPr>
            <w:tcW w:w="1698"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szCs w:val="21"/>
              </w:rPr>
              <w:t>通过市场化交易购入使用的非化石能源电力消费量</w:t>
            </w:r>
          </w:p>
        </w:tc>
        <w:tc>
          <w:tcPr>
            <w:tcW w:w="1417"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szCs w:val="21"/>
              </w:rPr>
              <w:t>MW</w:t>
            </w:r>
            <w:r>
              <w:t>·</w:t>
            </w:r>
            <w:r>
              <w:rPr>
                <w:szCs w:val="21"/>
              </w:rPr>
              <w:t>h</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20" w:type="dxa"/>
            <w:vMerge/>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962" w:type="dxa"/>
            <w:shd w:val="clear" w:color="auto" w:fill="auto"/>
            <w:noWrap/>
            <w:vAlign w:val="center"/>
          </w:tcPr>
          <w:p w:rsidR="00506AE6" w:rsidRDefault="0072598A">
            <w:pPr>
              <w:adjustRightInd w:val="0"/>
              <w:snapToGrid w:val="0"/>
              <w:spacing w:line="240" w:lineRule="auto"/>
              <w:ind w:firstLineChars="0" w:firstLine="0"/>
              <w:jc w:val="center"/>
              <w:rPr>
                <w:i/>
                <w:kern w:val="0"/>
                <w:szCs w:val="21"/>
              </w:rPr>
            </w:pPr>
            <m:oMathPara>
              <m:oMathParaPr>
                <m:jc m:val="left"/>
              </m:oMathParaPr>
              <m:oMath>
                <m:r>
                  <w:rPr>
                    <w:rFonts w:ascii="Cambria Math" w:hAnsi="Cambria Math" w:cs="宋体"/>
                    <w:szCs w:val="21"/>
                  </w:rPr>
                  <m:t>A</m:t>
                </m:r>
                <m:sSub>
                  <m:sSubPr>
                    <m:ctrlPr>
                      <w:rPr>
                        <w:rFonts w:ascii="Cambria Math" w:hAnsi="Cambria Math" w:cs="宋体" w:hint="eastAsia"/>
                        <w:i/>
                        <w:szCs w:val="21"/>
                      </w:rPr>
                    </m:ctrlPr>
                  </m:sSubPr>
                  <m:e>
                    <m:r>
                      <w:rPr>
                        <w:rFonts w:ascii="Cambria Math" w:hAnsi="Cambria Math" w:cs="宋体"/>
                        <w:szCs w:val="21"/>
                      </w:rPr>
                      <m:t>D</m:t>
                    </m:r>
                  </m:e>
                  <m:sub>
                    <m:r>
                      <w:rPr>
                        <w:rFonts w:ascii="Cambria Math" w:hAnsi="Cambria Math" w:cs="宋体" w:hint="eastAsia"/>
                        <w:szCs w:val="21"/>
                      </w:rPr>
                      <m:t>自发</m:t>
                    </m:r>
                    <m:r>
                      <w:rPr>
                        <w:rFonts w:ascii="Cambria Math" w:hAnsi="Cambria Math" w:hint="eastAsia"/>
                      </w:rPr>
                      <m:t>自用</m:t>
                    </m:r>
                    <m:r>
                      <w:rPr>
                        <w:rFonts w:ascii="Cambria Math" w:hAnsi="Cambria Math" w:cs="宋体" w:hint="eastAsia"/>
                        <w:szCs w:val="21"/>
                      </w:rPr>
                      <m:t>非化石电</m:t>
                    </m:r>
                    <m:r>
                      <w:rPr>
                        <w:rFonts w:ascii="Cambria Math" w:hAnsi="Cambria Math"/>
                        <w:szCs w:val="21"/>
                      </w:rPr>
                      <m:t>,</m:t>
                    </m:r>
                    <m:r>
                      <w:rPr>
                        <w:rFonts w:ascii="Cambria Math" w:hAnsi="Cambria Math"/>
                        <w:szCs w:val="21"/>
                      </w:rPr>
                      <m:t>j</m:t>
                    </m:r>
                  </m:sub>
                </m:sSub>
              </m:oMath>
            </m:oMathPara>
          </w:p>
        </w:tc>
        <w:tc>
          <w:tcPr>
            <w:tcW w:w="1698"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szCs w:val="21"/>
              </w:rPr>
              <w:t>自发自用非化石能源电量</w:t>
            </w:r>
          </w:p>
        </w:tc>
        <w:tc>
          <w:tcPr>
            <w:tcW w:w="1417" w:type="dxa"/>
            <w:shd w:val="clear" w:color="auto" w:fill="auto"/>
            <w:noWrap/>
            <w:vAlign w:val="center"/>
          </w:tcPr>
          <w:p w:rsidR="00506AE6" w:rsidRDefault="0072598A">
            <w:pPr>
              <w:adjustRightInd w:val="0"/>
              <w:snapToGrid w:val="0"/>
              <w:spacing w:line="240" w:lineRule="auto"/>
              <w:ind w:firstLineChars="0" w:firstLine="0"/>
              <w:jc w:val="center"/>
              <w:rPr>
                <w:kern w:val="0"/>
                <w:szCs w:val="21"/>
              </w:rPr>
            </w:pPr>
            <w:r>
              <w:rPr>
                <w:szCs w:val="21"/>
              </w:rPr>
              <w:t>MW</w:t>
            </w:r>
            <w:r>
              <w:t>·</w:t>
            </w:r>
            <w:r>
              <w:rPr>
                <w:szCs w:val="21"/>
              </w:rPr>
              <w:t>h</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20" w:type="dxa"/>
            <w:vMerge/>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962" w:type="dxa"/>
            <w:shd w:val="clear" w:color="auto" w:fill="auto"/>
            <w:noWrap/>
            <w:vAlign w:val="center"/>
          </w:tcPr>
          <w:p w:rsidR="00506AE6" w:rsidRDefault="0072598A">
            <w:pPr>
              <w:adjustRightInd w:val="0"/>
              <w:snapToGrid w:val="0"/>
              <w:spacing w:line="240" w:lineRule="auto"/>
              <w:ind w:firstLineChars="0" w:firstLine="0"/>
              <w:jc w:val="center"/>
              <w:rPr>
                <w:i/>
                <w:szCs w:val="21"/>
              </w:rPr>
            </w:pPr>
            <m:oMathPara>
              <m:oMathParaPr>
                <m:jc m:val="left"/>
              </m:oMathParaPr>
              <m:oMath>
                <m:r>
                  <w:rPr>
                    <w:rFonts w:ascii="Cambria Math" w:hAnsi="Cambria Math" w:cs="宋体"/>
                    <w:szCs w:val="21"/>
                  </w:rPr>
                  <m:t>E</m:t>
                </m:r>
                <m:sSub>
                  <m:sSubPr>
                    <m:ctrlPr>
                      <w:rPr>
                        <w:rFonts w:ascii="Cambria Math" w:hAnsi="Cambria Math" w:cs="宋体" w:hint="eastAsia"/>
                        <w:i/>
                        <w:szCs w:val="21"/>
                      </w:rPr>
                    </m:ctrlPr>
                  </m:sSubPr>
                  <m:e>
                    <m:r>
                      <w:rPr>
                        <w:rFonts w:ascii="Cambria Math" w:hAnsi="Cambria Math" w:cs="宋体"/>
                        <w:szCs w:val="21"/>
                      </w:rPr>
                      <m:t>F</m:t>
                    </m:r>
                  </m:e>
                  <m:sub>
                    <m:r>
                      <w:rPr>
                        <w:rFonts w:ascii="Cambria Math" w:hAnsi="Cambria Math" w:cs="宋体" w:hint="eastAsia"/>
                        <w:szCs w:val="21"/>
                      </w:rPr>
                      <m:t>电</m:t>
                    </m:r>
                  </m:sub>
                </m:sSub>
              </m:oMath>
            </m:oMathPara>
          </w:p>
        </w:tc>
        <w:tc>
          <w:tcPr>
            <w:tcW w:w="1698"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szCs w:val="21"/>
              </w:rPr>
              <w:t>电力排放因子</w:t>
            </w:r>
          </w:p>
        </w:tc>
        <w:tc>
          <w:tcPr>
            <w:tcW w:w="1417"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t</w:t>
            </w:r>
            <w:r>
              <w:t>CO</w:t>
            </w:r>
            <w:r>
              <w:rPr>
                <w:vertAlign w:val="subscript"/>
              </w:rPr>
              <w:t>2</w:t>
            </w:r>
            <w:r>
              <w:rPr>
                <w:kern w:val="0"/>
                <w:szCs w:val="21"/>
              </w:rPr>
              <w:t>/</w:t>
            </w:r>
            <w:r>
              <w:rPr>
                <w:rFonts w:hint="eastAsia"/>
                <w:kern w:val="0"/>
                <w:szCs w:val="21"/>
              </w:rPr>
              <w:t>(</w:t>
            </w:r>
            <w:r>
              <w:rPr>
                <w:szCs w:val="21"/>
              </w:rPr>
              <w:t>MW</w:t>
            </w:r>
            <w:r>
              <w:t>·</w:t>
            </w:r>
            <w:r>
              <w:rPr>
                <w:szCs w:val="21"/>
              </w:rPr>
              <w:t>h</w:t>
            </w:r>
            <w:r>
              <w:rPr>
                <w:rFonts w:hint="eastAsia"/>
                <w:szCs w:val="21"/>
              </w:rPr>
              <w:t>)</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缺省值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20" w:type="dxa"/>
            <w:vMerge/>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1962" w:type="dxa"/>
            <w:shd w:val="clear" w:color="auto" w:fill="auto"/>
            <w:noWrap/>
            <w:vAlign w:val="center"/>
          </w:tcPr>
          <w:p w:rsidR="00506AE6" w:rsidRDefault="0072598A">
            <w:pPr>
              <w:adjustRightInd w:val="0"/>
              <w:snapToGrid w:val="0"/>
              <w:spacing w:line="240" w:lineRule="auto"/>
              <w:ind w:firstLineChars="0" w:firstLine="0"/>
              <w:jc w:val="center"/>
              <w:rPr>
                <w:szCs w:val="21"/>
              </w:rPr>
            </w:pPr>
            <m:oMathPara>
              <m:oMathParaPr>
                <m:jc m:val="left"/>
              </m:oMathParaPr>
              <m:oMath>
                <m:sSub>
                  <m:sSubPr>
                    <m:ctrlPr>
                      <w:rPr>
                        <w:rFonts w:ascii="Cambria Math" w:hAnsi="Cambria Math" w:cs="宋体" w:hint="eastAsia"/>
                      </w:rPr>
                    </m:ctrlPr>
                  </m:sSubPr>
                  <m:e>
                    <m:r>
                      <m:rPr>
                        <m:sty m:val="p"/>
                      </m:rPr>
                      <w:rPr>
                        <w:rFonts w:ascii="Cambria Math" w:hAnsi="Cambria Math" w:cs="宋体"/>
                      </w:rPr>
                      <m:t>E</m:t>
                    </m:r>
                  </m:e>
                  <m:sub>
                    <m:r>
                      <m:rPr>
                        <m:sty m:val="p"/>
                      </m:rPr>
                      <w:rPr>
                        <w:rFonts w:ascii="Cambria Math" w:hAnsi="Cambria Math" w:cs="宋体"/>
                      </w:rPr>
                      <m:t>ck</m:t>
                    </m:r>
                    <m:r>
                      <m:rPr>
                        <m:sty m:val="p"/>
                      </m:rPr>
                      <w:rPr>
                        <w:rFonts w:ascii="Cambria Math" w:hAnsi="Cambria Math" w:cs="宋体" w:hint="eastAsia"/>
                      </w:rPr>
                      <m:t>电</m:t>
                    </m:r>
                    <m:r>
                      <m:rPr>
                        <m:sty m:val="p"/>
                      </m:rPr>
                      <w:rPr>
                        <w:rFonts w:ascii="Cambria Math" w:hAnsi="Cambria Math"/>
                      </w:rPr>
                      <m:t>,j</m:t>
                    </m:r>
                  </m:sub>
                </m:sSub>
                <m:r>
                  <m:rPr>
                    <m:sty m:val="p"/>
                  </m:rPr>
                  <w:rPr>
                    <w:rFonts w:ascii="Cambria Math" w:hAnsi="Cambria Math" w:cs="宋体"/>
                  </w:rPr>
                  <m:t>=A</m:t>
                </m:r>
                <m:sSub>
                  <m:sSubPr>
                    <m:ctrlPr>
                      <w:rPr>
                        <w:rFonts w:ascii="Cambria Math" w:hAnsi="Cambria Math" w:cs="宋体" w:hint="eastAsia"/>
                      </w:rPr>
                    </m:ctrlPr>
                  </m:sSubPr>
                  <m:e>
                    <m:r>
                      <m:rPr>
                        <m:sty m:val="p"/>
                      </m:rPr>
                      <w:rPr>
                        <w:rFonts w:ascii="Cambria Math" w:hAnsi="Cambria Math" w:cs="宋体"/>
                      </w:rPr>
                      <m:t>D</m:t>
                    </m:r>
                  </m:e>
                  <m:sub>
                    <m:r>
                      <m:rPr>
                        <m:sty m:val="p"/>
                      </m:rPr>
                      <w:rPr>
                        <w:rFonts w:ascii="Cambria Math" w:hAnsi="Cambria Math" w:cs="宋体"/>
                      </w:rPr>
                      <m:t>ck</m:t>
                    </m:r>
                    <m:r>
                      <m:rPr>
                        <m:sty m:val="p"/>
                      </m:rPr>
                      <w:rPr>
                        <w:rFonts w:ascii="Cambria Math" w:hAnsi="Cambria Math" w:cs="宋体" w:hint="eastAsia"/>
                      </w:rPr>
                      <m:t>电</m:t>
                    </m:r>
                    <m:r>
                      <m:rPr>
                        <m:sty m:val="p"/>
                      </m:rPr>
                      <w:rPr>
                        <w:rFonts w:ascii="Cambria Math" w:hAnsi="Cambria Math"/>
                      </w:rPr>
                      <m:t>,j</m:t>
                    </m:r>
                  </m:sub>
                </m:sSub>
                <m:r>
                  <m:rPr>
                    <m:sty m:val="p"/>
                  </m:rPr>
                  <w:rPr>
                    <w:rFonts w:ascii="Cambria Math" w:hAnsi="Cambria Math" w:cs="宋体"/>
                  </w:rPr>
                  <m:t>×E</m:t>
                </m:r>
                <m:sSub>
                  <m:sSubPr>
                    <m:ctrlPr>
                      <w:rPr>
                        <w:rFonts w:ascii="Cambria Math" w:hAnsi="Cambria Math" w:cs="宋体" w:hint="eastAsia"/>
                      </w:rPr>
                    </m:ctrlPr>
                  </m:sSubPr>
                  <m:e>
                    <m:r>
                      <m:rPr>
                        <m:sty m:val="p"/>
                      </m:rPr>
                      <w:rPr>
                        <w:rFonts w:ascii="Cambria Math" w:hAnsi="Cambria Math" w:cs="宋体"/>
                      </w:rPr>
                      <m:t>F</m:t>
                    </m:r>
                  </m:e>
                  <m:sub>
                    <m:r>
                      <m:rPr>
                        <m:sty m:val="p"/>
                      </m:rPr>
                      <w:rPr>
                        <w:rFonts w:ascii="Cambria Math" w:hAnsi="Cambria Math" w:cs="宋体" w:hint="eastAsia"/>
                      </w:rPr>
                      <m:t>电</m:t>
                    </m:r>
                  </m:sub>
                </m:sSub>
              </m:oMath>
            </m:oMathPara>
          </w:p>
        </w:tc>
        <w:tc>
          <w:tcPr>
            <w:tcW w:w="1698"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szCs w:val="21"/>
              </w:rPr>
              <w:t>消耗电力</w:t>
            </w:r>
            <w:r>
              <w:rPr>
                <w:rFonts w:hint="eastAsia"/>
                <w:kern w:val="0"/>
                <w:szCs w:val="21"/>
              </w:rPr>
              <w:t>产生</w:t>
            </w:r>
            <w:r>
              <w:rPr>
                <w:rFonts w:hint="eastAsia"/>
                <w:szCs w:val="21"/>
              </w:rPr>
              <w:t>的排放量</w:t>
            </w:r>
          </w:p>
        </w:tc>
        <w:tc>
          <w:tcPr>
            <w:tcW w:w="1417"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t</w:t>
            </w:r>
            <w:r>
              <w:t>CO</w:t>
            </w:r>
            <w:r>
              <w:rPr>
                <w:vertAlign w:val="subscript"/>
              </w:rPr>
              <w:t>2</w:t>
            </w: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（合计值）</w:t>
            </w: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计算值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020" w:type="dxa"/>
            <w:shd w:val="clear" w:color="auto" w:fill="auto"/>
            <w:vAlign w:val="center"/>
          </w:tcPr>
          <w:p w:rsidR="00506AE6" w:rsidRDefault="0072598A">
            <w:pPr>
              <w:adjustRightInd w:val="0"/>
              <w:snapToGrid w:val="0"/>
              <w:spacing w:line="240" w:lineRule="auto"/>
              <w:ind w:firstLineChars="0" w:firstLine="0"/>
              <w:jc w:val="center"/>
              <w:rPr>
                <w:rFonts w:ascii="宋体" w:hAnsi="宋体"/>
                <w:szCs w:val="21"/>
              </w:rPr>
            </w:pPr>
            <w:r>
              <w:rPr>
                <w:rFonts w:ascii="宋体" w:hAnsi="宋体"/>
                <w:szCs w:val="21"/>
              </w:rPr>
              <w:t>…</w:t>
            </w:r>
          </w:p>
        </w:tc>
        <w:tc>
          <w:tcPr>
            <w:tcW w:w="3660" w:type="dxa"/>
            <w:gridSpan w:val="2"/>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rFonts w:ascii="宋体" w:hAnsi="宋体"/>
                <w:kern w:val="0"/>
                <w:szCs w:val="21"/>
              </w:rPr>
            </w:pPr>
          </w:p>
        </w:tc>
        <w:tc>
          <w:tcPr>
            <w:tcW w:w="1417"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bl>
    <w:p w:rsidR="00506AE6" w:rsidRDefault="0072598A">
      <w:pPr>
        <w:pStyle w:val="affb"/>
        <w:ind w:left="180" w:hangingChars="100" w:hanging="180"/>
        <w:jc w:val="both"/>
      </w:pPr>
      <w:r>
        <w:rPr>
          <w:rFonts w:ascii="Times New Roman" w:hint="eastAsia"/>
        </w:rPr>
        <w:t>填报</w:t>
      </w:r>
      <w:r>
        <w:t>说明：</w:t>
      </w:r>
    </w:p>
    <w:p w:rsidR="00506AE6" w:rsidRDefault="0072598A">
      <w:pPr>
        <w:pStyle w:val="affb"/>
        <w:ind w:left="180" w:hangingChars="100" w:hanging="180"/>
        <w:jc w:val="both"/>
        <w:rPr>
          <w:rFonts w:ascii="Times New Roman"/>
        </w:rPr>
      </w:pPr>
      <w:r>
        <w:rPr>
          <w:rFonts w:ascii="Times New Roman"/>
          <w:vertAlign w:val="superscript"/>
        </w:rPr>
        <w:t>*1</w:t>
      </w:r>
      <w:r>
        <w:rPr>
          <w:rFonts w:ascii="Times New Roman" w:hint="eastAsia"/>
        </w:rPr>
        <w:t>若生产线多于</w:t>
      </w:r>
      <w:r>
        <w:rPr>
          <w:rFonts w:ascii="Times New Roman" w:hint="eastAsia"/>
        </w:rPr>
        <w:t>1</w:t>
      </w:r>
      <w:r>
        <w:rPr>
          <w:rFonts w:ascii="Times New Roman" w:hint="eastAsia"/>
        </w:rPr>
        <w:t>条，应分别填报。</w:t>
      </w:r>
    </w:p>
    <w:p w:rsidR="00506AE6" w:rsidRDefault="0072598A">
      <w:pPr>
        <w:widowControl/>
        <w:ind w:left="180" w:hangingChars="100" w:hanging="180"/>
        <w:jc w:val="left"/>
        <w:rPr>
          <w:sz w:val="18"/>
          <w:szCs w:val="18"/>
        </w:rPr>
      </w:pPr>
      <w:r>
        <w:rPr>
          <w:sz w:val="18"/>
          <w:szCs w:val="18"/>
          <w:vertAlign w:val="superscript"/>
        </w:rPr>
        <w:t>*2</w:t>
      </w:r>
      <w:r>
        <w:rPr>
          <w:rFonts w:ascii="宋体" w:hAnsi="宋体" w:cs="宋体" w:hint="eastAsia"/>
          <w:kern w:val="0"/>
          <w:sz w:val="18"/>
          <w:szCs w:val="18"/>
        </w:rPr>
        <w:t>各参数按四舍五入保留小数位如下：</w:t>
      </w:r>
    </w:p>
    <w:p w:rsidR="00506AE6" w:rsidRDefault="0072598A">
      <w:pPr>
        <w:pStyle w:val="a5"/>
        <w:numPr>
          <w:ilvl w:val="0"/>
          <w:numId w:val="34"/>
        </w:numPr>
        <w:adjustRightInd w:val="0"/>
        <w:rPr>
          <w:sz w:val="18"/>
          <w:szCs w:val="18"/>
        </w:rPr>
      </w:pPr>
      <w:r>
        <w:rPr>
          <w:rFonts w:hint="eastAsia"/>
          <w:sz w:val="18"/>
          <w:szCs w:val="18"/>
        </w:rPr>
        <w:t>各类电量保留到小数点后三位；</w:t>
      </w:r>
    </w:p>
    <w:p w:rsidR="00506AE6" w:rsidRDefault="0072598A">
      <w:pPr>
        <w:pStyle w:val="a5"/>
        <w:numPr>
          <w:ilvl w:val="0"/>
          <w:numId w:val="34"/>
        </w:numPr>
        <w:adjustRightInd w:val="0"/>
        <w:rPr>
          <w:sz w:val="18"/>
          <w:szCs w:val="18"/>
        </w:rPr>
      </w:pPr>
      <w:r>
        <w:rPr>
          <w:rFonts w:hint="eastAsia"/>
          <w:sz w:val="18"/>
          <w:szCs w:val="18"/>
        </w:rPr>
        <w:t>消耗电力产生的排放量保留到小数点后两位。</w:t>
      </w:r>
    </w:p>
    <w:p w:rsidR="00506AE6" w:rsidRDefault="00506AE6">
      <w:pPr>
        <w:widowControl/>
        <w:tabs>
          <w:tab w:val="clear" w:pos="4338"/>
          <w:tab w:val="clear" w:pos="8675"/>
        </w:tabs>
        <w:ind w:left="210"/>
        <w:jc w:val="left"/>
        <w:rPr>
          <w:bCs/>
          <w:kern w:val="0"/>
          <w:szCs w:val="21"/>
        </w:rPr>
        <w:sectPr w:rsidR="00506AE6">
          <w:pgSz w:w="16838" w:h="11906" w:orient="landscape"/>
          <w:pgMar w:top="1616" w:right="1814" w:bottom="1616" w:left="1985" w:header="851" w:footer="850" w:gutter="0"/>
          <w:cols w:space="720"/>
          <w:docGrid w:type="lines" w:linePitch="312"/>
        </w:sectPr>
      </w:pPr>
    </w:p>
    <w:p w:rsidR="00506AE6" w:rsidRDefault="0072598A">
      <w:pPr>
        <w:pStyle w:val="afffffe"/>
        <w:spacing w:before="156" w:after="156"/>
        <w:jc w:val="center"/>
        <w:outlineLvl w:val="1"/>
        <w:rPr>
          <w:rFonts w:ascii="Times New Roman"/>
        </w:rPr>
      </w:pPr>
      <w:r>
        <w:rPr>
          <w:rFonts w:ascii="Times New Roman" w:hint="eastAsia"/>
        </w:rPr>
        <w:lastRenderedPageBreak/>
        <w:t>附表</w:t>
      </w:r>
      <w:r>
        <w:rPr>
          <w:rFonts w:ascii="Times New Roman" w:hint="eastAsia"/>
        </w:rPr>
        <w:t>E.6</w:t>
      </w:r>
      <w:r>
        <w:rPr>
          <w:rFonts w:ascii="Times New Roman"/>
        </w:rPr>
        <w:t xml:space="preserve"> </w:t>
      </w:r>
      <w:r>
        <w:rPr>
          <w:rFonts w:ascii="Times New Roman" w:hint="eastAsia"/>
        </w:rPr>
        <w:t xml:space="preserve"> </w:t>
      </w:r>
      <w:r>
        <w:rPr>
          <w:rFonts w:ascii="Times New Roman" w:hint="eastAsia"/>
        </w:rPr>
        <w:t>熟料生产替代燃料相关参数报告表</w:t>
      </w:r>
    </w:p>
    <w:tbl>
      <w:tblPr>
        <w:tblW w:w="1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742"/>
        <w:gridCol w:w="1338"/>
        <w:gridCol w:w="454"/>
        <w:gridCol w:w="454"/>
        <w:gridCol w:w="454"/>
        <w:gridCol w:w="454"/>
        <w:gridCol w:w="454"/>
        <w:gridCol w:w="454"/>
        <w:gridCol w:w="454"/>
        <w:gridCol w:w="454"/>
        <w:gridCol w:w="454"/>
        <w:gridCol w:w="454"/>
        <w:gridCol w:w="454"/>
        <w:gridCol w:w="454"/>
        <w:gridCol w:w="1559"/>
        <w:gridCol w:w="680"/>
        <w:gridCol w:w="680"/>
        <w:gridCol w:w="680"/>
      </w:tblGrid>
      <w:tr w:rsidR="00506AE6">
        <w:trPr>
          <w:trHeight w:val="283"/>
          <w:jc w:val="center"/>
        </w:trPr>
        <w:tc>
          <w:tcPr>
            <w:tcW w:w="988"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生产线名称</w:t>
            </w:r>
            <w:r>
              <w:rPr>
                <w:szCs w:val="21"/>
                <w:vertAlign w:val="superscript"/>
              </w:rPr>
              <w:t>*1</w:t>
            </w:r>
          </w:p>
        </w:tc>
        <w:tc>
          <w:tcPr>
            <w:tcW w:w="2742"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信息项</w:t>
            </w:r>
            <w:r>
              <w:rPr>
                <w:kern w:val="0"/>
                <w:szCs w:val="21"/>
                <w:vertAlign w:val="superscript"/>
              </w:rPr>
              <w:t>*2</w:t>
            </w:r>
          </w:p>
        </w:tc>
        <w:tc>
          <w:tcPr>
            <w:tcW w:w="1338"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单位</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2</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3</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4</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5</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6</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7</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8</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9</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10</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11</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12</w:t>
            </w:r>
            <w:r>
              <w:rPr>
                <w:kern w:val="0"/>
                <w:szCs w:val="21"/>
              </w:rPr>
              <w:t>月</w:t>
            </w:r>
          </w:p>
        </w:tc>
        <w:tc>
          <w:tcPr>
            <w:tcW w:w="1559"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全年</w:t>
            </w:r>
          </w:p>
        </w:tc>
        <w:tc>
          <w:tcPr>
            <w:tcW w:w="68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获取</w:t>
            </w:r>
          </w:p>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方式</w:t>
            </w:r>
          </w:p>
        </w:tc>
        <w:tc>
          <w:tcPr>
            <w:tcW w:w="68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数据来源</w:t>
            </w:r>
          </w:p>
        </w:tc>
        <w:tc>
          <w:tcPr>
            <w:tcW w:w="68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支撑材料</w:t>
            </w:r>
          </w:p>
        </w:tc>
      </w:tr>
      <w:tr w:rsidR="00506AE6">
        <w:trPr>
          <w:trHeight w:val="283"/>
          <w:jc w:val="center"/>
        </w:trPr>
        <w:tc>
          <w:tcPr>
            <w:tcW w:w="988" w:type="dxa"/>
            <w:vMerge w:val="restart"/>
            <w:shd w:val="clear" w:color="auto" w:fill="auto"/>
            <w:vAlign w:val="center"/>
          </w:tcPr>
          <w:p w:rsidR="00506AE6" w:rsidRDefault="0072598A">
            <w:pPr>
              <w:adjustRightInd w:val="0"/>
              <w:snapToGrid w:val="0"/>
              <w:spacing w:line="240" w:lineRule="auto"/>
              <w:ind w:firstLineChars="0" w:firstLine="0"/>
              <w:jc w:val="center"/>
              <w:rPr>
                <w:szCs w:val="21"/>
              </w:rPr>
            </w:pPr>
            <w:r>
              <w:rPr>
                <w:rFonts w:hint="eastAsia"/>
                <w:kern w:val="0"/>
                <w:szCs w:val="21"/>
              </w:rPr>
              <w:t>生产线</w:t>
            </w:r>
            <w:r>
              <w:rPr>
                <w:rFonts w:hint="eastAsia"/>
                <w:i/>
                <w:iCs/>
                <w:kern w:val="0"/>
                <w:szCs w:val="21"/>
              </w:rPr>
              <w:t xml:space="preserve">j </w:t>
            </w:r>
          </w:p>
        </w:tc>
        <w:tc>
          <w:tcPr>
            <w:tcW w:w="2742"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替代燃料</w:t>
            </w:r>
            <w:r>
              <w:rPr>
                <w:rFonts w:hint="eastAsia"/>
                <w:i/>
                <w:iCs/>
                <w:kern w:val="0"/>
                <w:szCs w:val="21"/>
              </w:rPr>
              <w:t>i</w:t>
            </w:r>
            <w:r>
              <w:rPr>
                <w:rFonts w:hint="eastAsia"/>
                <w:kern w:val="0"/>
                <w:szCs w:val="21"/>
              </w:rPr>
              <w:t>消耗量</w:t>
            </w:r>
            <w:r>
              <w:rPr>
                <w:kern w:val="0"/>
                <w:szCs w:val="21"/>
                <w:vertAlign w:val="superscript"/>
              </w:rPr>
              <w:t>*3</w:t>
            </w:r>
          </w:p>
        </w:tc>
        <w:tc>
          <w:tcPr>
            <w:tcW w:w="1338"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t</w:t>
            </w:r>
            <w:r>
              <w:rPr>
                <w:rFonts w:hint="eastAsia"/>
              </w:rPr>
              <w:t>或</w:t>
            </w:r>
            <w:r>
              <w:rPr>
                <w:rFonts w:hint="eastAsia"/>
              </w:rPr>
              <w:t>1</w:t>
            </w:r>
            <w:r>
              <w:t>0</w:t>
            </w:r>
            <w:r>
              <w:rPr>
                <w:vertAlign w:val="superscript"/>
              </w:rPr>
              <w:t>4</w:t>
            </w:r>
            <w:r>
              <w:t>N</w:t>
            </w:r>
            <w:r>
              <w:rPr>
                <w:rFonts w:hint="eastAsia"/>
              </w:rPr>
              <w:t>m</w:t>
            </w:r>
            <w:r>
              <w:rPr>
                <w:vertAlign w:val="superscript"/>
              </w:rPr>
              <w:t>3</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559"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kern w:val="0"/>
                <w:szCs w:val="21"/>
              </w:rPr>
              <w:t>（合计值）</w:t>
            </w:r>
          </w:p>
        </w:tc>
        <w:tc>
          <w:tcPr>
            <w:tcW w:w="68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988" w:type="dxa"/>
            <w:vMerge/>
            <w:shd w:val="clear" w:color="auto" w:fill="auto"/>
            <w:vAlign w:val="center"/>
          </w:tcPr>
          <w:p w:rsidR="00506AE6" w:rsidRDefault="00506AE6">
            <w:pPr>
              <w:adjustRightInd w:val="0"/>
              <w:snapToGrid w:val="0"/>
              <w:spacing w:line="240" w:lineRule="auto"/>
              <w:ind w:firstLineChars="0" w:firstLine="0"/>
              <w:jc w:val="center"/>
              <w:rPr>
                <w:kern w:val="0"/>
                <w:szCs w:val="21"/>
              </w:rPr>
            </w:pPr>
          </w:p>
        </w:tc>
        <w:tc>
          <w:tcPr>
            <w:tcW w:w="2742"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w:t>
            </w:r>
          </w:p>
        </w:tc>
        <w:tc>
          <w:tcPr>
            <w:tcW w:w="1338"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559"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988" w:type="dxa"/>
            <w:shd w:val="clear" w:color="auto" w:fill="auto"/>
            <w:vAlign w:val="center"/>
          </w:tcPr>
          <w:p w:rsidR="00506AE6" w:rsidRDefault="0072598A">
            <w:pPr>
              <w:adjustRightInd w:val="0"/>
              <w:snapToGrid w:val="0"/>
              <w:spacing w:line="240" w:lineRule="auto"/>
              <w:ind w:firstLineChars="0" w:firstLine="0"/>
              <w:jc w:val="center"/>
              <w:rPr>
                <w:rFonts w:ascii="宋体" w:hAnsi="宋体"/>
                <w:szCs w:val="21"/>
              </w:rPr>
            </w:pPr>
            <w:r>
              <w:rPr>
                <w:rFonts w:ascii="宋体" w:hAnsi="宋体"/>
                <w:szCs w:val="21"/>
              </w:rPr>
              <w:t>…</w:t>
            </w:r>
          </w:p>
        </w:tc>
        <w:tc>
          <w:tcPr>
            <w:tcW w:w="2742"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rFonts w:ascii="宋体" w:hAnsi="宋体"/>
                <w:kern w:val="0"/>
                <w:szCs w:val="21"/>
              </w:rPr>
            </w:pPr>
          </w:p>
        </w:tc>
        <w:tc>
          <w:tcPr>
            <w:tcW w:w="1338"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559"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r>
    </w:tbl>
    <w:p w:rsidR="00506AE6" w:rsidRDefault="0072598A">
      <w:pPr>
        <w:pStyle w:val="affb"/>
        <w:adjustRightInd w:val="0"/>
        <w:ind w:left="180" w:hangingChars="100" w:hanging="180"/>
        <w:jc w:val="both"/>
      </w:pPr>
      <w:r>
        <w:rPr>
          <w:rFonts w:ascii="Times New Roman" w:hint="eastAsia"/>
        </w:rPr>
        <w:t>填报</w:t>
      </w:r>
      <w:r>
        <w:t>说明：</w:t>
      </w:r>
    </w:p>
    <w:p w:rsidR="00506AE6" w:rsidRDefault="0072598A">
      <w:pPr>
        <w:pStyle w:val="affb"/>
        <w:ind w:left="180" w:hangingChars="100" w:hanging="180"/>
        <w:jc w:val="both"/>
        <w:rPr>
          <w:rFonts w:ascii="Times New Roman"/>
        </w:rPr>
      </w:pPr>
      <w:r>
        <w:rPr>
          <w:rFonts w:ascii="Times New Roman"/>
          <w:vertAlign w:val="superscript"/>
        </w:rPr>
        <w:t>*1</w:t>
      </w:r>
      <w:r>
        <w:rPr>
          <w:rFonts w:ascii="Times New Roman" w:hint="eastAsia"/>
        </w:rPr>
        <w:t>若生产线多于</w:t>
      </w:r>
      <w:r>
        <w:rPr>
          <w:rFonts w:ascii="Times New Roman" w:hint="eastAsia"/>
        </w:rPr>
        <w:t>1</w:t>
      </w:r>
      <w:r>
        <w:rPr>
          <w:rFonts w:ascii="Times New Roman" w:hint="eastAsia"/>
        </w:rPr>
        <w:t>条，应分别填报。</w:t>
      </w:r>
    </w:p>
    <w:p w:rsidR="00506AE6" w:rsidRDefault="0072598A">
      <w:pPr>
        <w:widowControl/>
        <w:tabs>
          <w:tab w:val="clear" w:pos="4338"/>
          <w:tab w:val="clear" w:pos="8675"/>
        </w:tabs>
        <w:ind w:left="180" w:hangingChars="100" w:hanging="180"/>
        <w:rPr>
          <w:sz w:val="18"/>
          <w:szCs w:val="18"/>
        </w:rPr>
      </w:pPr>
      <w:r>
        <w:rPr>
          <w:kern w:val="0"/>
          <w:sz w:val="18"/>
          <w:szCs w:val="18"/>
          <w:vertAlign w:val="superscript"/>
        </w:rPr>
        <w:t>*2</w:t>
      </w:r>
      <w:r>
        <w:rPr>
          <w:sz w:val="18"/>
          <w:szCs w:val="18"/>
        </w:rPr>
        <w:t>替代燃料消耗量</w:t>
      </w:r>
      <w:r>
        <w:rPr>
          <w:rFonts w:hint="eastAsia"/>
          <w:sz w:val="18"/>
          <w:szCs w:val="18"/>
        </w:rPr>
        <w:t>按四舍五入保留到</w:t>
      </w:r>
      <w:r>
        <w:rPr>
          <w:sz w:val="18"/>
          <w:szCs w:val="18"/>
        </w:rPr>
        <w:t>小数点后两位；</w:t>
      </w:r>
    </w:p>
    <w:p w:rsidR="00506AE6" w:rsidRDefault="0072598A">
      <w:pPr>
        <w:widowControl/>
        <w:tabs>
          <w:tab w:val="clear" w:pos="4338"/>
          <w:tab w:val="clear" w:pos="8675"/>
        </w:tabs>
        <w:ind w:left="180" w:hangingChars="100" w:hanging="180"/>
        <w:rPr>
          <w:sz w:val="18"/>
          <w:szCs w:val="18"/>
        </w:rPr>
      </w:pPr>
      <w:r>
        <w:rPr>
          <w:kern w:val="0"/>
          <w:sz w:val="18"/>
          <w:szCs w:val="18"/>
          <w:vertAlign w:val="superscript"/>
        </w:rPr>
        <w:t>*3</w:t>
      </w:r>
      <w:r>
        <w:rPr>
          <w:rFonts w:hint="eastAsia"/>
          <w:sz w:val="18"/>
          <w:szCs w:val="18"/>
        </w:rPr>
        <w:t>填写具体的替代燃料名称，若消耗的替代燃料多于</w:t>
      </w:r>
      <w:r>
        <w:rPr>
          <w:rFonts w:hint="eastAsia"/>
          <w:sz w:val="18"/>
          <w:szCs w:val="18"/>
        </w:rPr>
        <w:t>1</w:t>
      </w:r>
      <w:r>
        <w:rPr>
          <w:rFonts w:hint="eastAsia"/>
          <w:sz w:val="18"/>
          <w:szCs w:val="18"/>
        </w:rPr>
        <w:t>种，应分别填报。</w:t>
      </w:r>
    </w:p>
    <w:p w:rsidR="00506AE6" w:rsidRDefault="00506AE6">
      <w:pPr>
        <w:tabs>
          <w:tab w:val="center" w:pos="4201"/>
          <w:tab w:val="right" w:leader="dot" w:pos="9298"/>
        </w:tabs>
        <w:autoSpaceDE w:val="0"/>
        <w:autoSpaceDN w:val="0"/>
        <w:ind w:left="180" w:firstLine="360"/>
        <w:rPr>
          <w:sz w:val="18"/>
          <w:szCs w:val="18"/>
        </w:rPr>
        <w:sectPr w:rsidR="00506AE6">
          <w:pgSz w:w="16838" w:h="11906" w:orient="landscape"/>
          <w:pgMar w:top="1616" w:right="1814" w:bottom="1616" w:left="1985" w:header="851" w:footer="850" w:gutter="0"/>
          <w:cols w:space="720"/>
          <w:docGrid w:type="lines" w:linePitch="312"/>
        </w:sectPr>
      </w:pPr>
    </w:p>
    <w:p w:rsidR="00506AE6" w:rsidRDefault="0072598A">
      <w:pPr>
        <w:pStyle w:val="afffffe"/>
        <w:spacing w:before="156" w:after="156"/>
        <w:jc w:val="center"/>
        <w:outlineLvl w:val="1"/>
        <w:rPr>
          <w:rFonts w:ascii="Times New Roman"/>
        </w:rPr>
      </w:pPr>
      <w:bookmarkStart w:id="428" w:name="_Hlk146201805"/>
      <w:r>
        <w:rPr>
          <w:rFonts w:ascii="Times New Roman" w:hint="eastAsia"/>
        </w:rPr>
        <w:lastRenderedPageBreak/>
        <w:t>附表</w:t>
      </w:r>
      <w:r>
        <w:rPr>
          <w:rFonts w:ascii="Times New Roman" w:hint="eastAsia"/>
        </w:rPr>
        <w:t>E</w:t>
      </w:r>
      <w:r>
        <w:rPr>
          <w:rFonts w:ascii="Times New Roman"/>
        </w:rPr>
        <w:t>.</w:t>
      </w:r>
      <w:r>
        <w:rPr>
          <w:rFonts w:ascii="Times New Roman" w:hint="eastAsia"/>
        </w:rPr>
        <w:t>7</w:t>
      </w:r>
      <w:r>
        <w:rPr>
          <w:rFonts w:ascii="Times New Roman"/>
        </w:rPr>
        <w:t xml:space="preserve">  </w:t>
      </w:r>
      <w:r>
        <w:rPr>
          <w:rFonts w:ascii="Times New Roman" w:hint="eastAsia"/>
        </w:rPr>
        <w:t>熟料生产数据及排放量汇总表</w:t>
      </w:r>
    </w:p>
    <w:tbl>
      <w:tblPr>
        <w:tblW w:w="14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
        <w:gridCol w:w="2054"/>
        <w:gridCol w:w="1266"/>
        <w:gridCol w:w="993"/>
        <w:gridCol w:w="454"/>
        <w:gridCol w:w="454"/>
        <w:gridCol w:w="454"/>
        <w:gridCol w:w="454"/>
        <w:gridCol w:w="454"/>
        <w:gridCol w:w="454"/>
        <w:gridCol w:w="454"/>
        <w:gridCol w:w="454"/>
        <w:gridCol w:w="454"/>
        <w:gridCol w:w="454"/>
        <w:gridCol w:w="454"/>
        <w:gridCol w:w="454"/>
        <w:gridCol w:w="1272"/>
        <w:gridCol w:w="850"/>
        <w:gridCol w:w="680"/>
        <w:gridCol w:w="680"/>
      </w:tblGrid>
      <w:tr w:rsidR="00506AE6">
        <w:trPr>
          <w:trHeight w:val="283"/>
          <w:jc w:val="center"/>
        </w:trPr>
        <w:tc>
          <w:tcPr>
            <w:tcW w:w="963" w:type="dxa"/>
            <w:shd w:val="clear" w:color="auto" w:fill="F2F2F2"/>
            <w:noWrap/>
            <w:vAlign w:val="center"/>
          </w:tcPr>
          <w:bookmarkEnd w:id="428"/>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生产线名称</w:t>
            </w:r>
            <w:r>
              <w:rPr>
                <w:szCs w:val="21"/>
                <w:vertAlign w:val="superscript"/>
              </w:rPr>
              <w:t>*1</w:t>
            </w:r>
          </w:p>
        </w:tc>
        <w:tc>
          <w:tcPr>
            <w:tcW w:w="3320" w:type="dxa"/>
            <w:gridSpan w:val="2"/>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信息项</w:t>
            </w:r>
            <w:r>
              <w:rPr>
                <w:kern w:val="0"/>
                <w:szCs w:val="21"/>
                <w:vertAlign w:val="superscript"/>
              </w:rPr>
              <w:t>*</w:t>
            </w:r>
            <w:r>
              <w:rPr>
                <w:rFonts w:hint="eastAsia"/>
                <w:kern w:val="0"/>
                <w:szCs w:val="21"/>
                <w:vertAlign w:val="superscript"/>
              </w:rPr>
              <w:t>2</w:t>
            </w:r>
          </w:p>
        </w:tc>
        <w:tc>
          <w:tcPr>
            <w:tcW w:w="993"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单位</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2</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3</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4</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5</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6</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7</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8</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9</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10</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11</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12</w:t>
            </w:r>
            <w:r>
              <w:rPr>
                <w:kern w:val="0"/>
                <w:szCs w:val="21"/>
              </w:rPr>
              <w:t>月</w:t>
            </w:r>
          </w:p>
        </w:tc>
        <w:tc>
          <w:tcPr>
            <w:tcW w:w="1272"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全年</w:t>
            </w:r>
          </w:p>
        </w:tc>
        <w:tc>
          <w:tcPr>
            <w:tcW w:w="85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获取</w:t>
            </w:r>
          </w:p>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方式</w:t>
            </w:r>
          </w:p>
        </w:tc>
        <w:tc>
          <w:tcPr>
            <w:tcW w:w="68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数据来源</w:t>
            </w:r>
          </w:p>
        </w:tc>
        <w:tc>
          <w:tcPr>
            <w:tcW w:w="68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支撑材料</w:t>
            </w:r>
          </w:p>
        </w:tc>
      </w:tr>
      <w:tr w:rsidR="00506AE6">
        <w:trPr>
          <w:trHeight w:val="283"/>
          <w:jc w:val="center"/>
        </w:trPr>
        <w:tc>
          <w:tcPr>
            <w:tcW w:w="963" w:type="dxa"/>
            <w:vMerge w:val="restart"/>
            <w:shd w:val="clear" w:color="auto" w:fill="auto"/>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生产线</w:t>
            </w:r>
            <w:r>
              <w:rPr>
                <w:rFonts w:hint="eastAsia"/>
                <w:i/>
                <w:iCs/>
                <w:kern w:val="0"/>
                <w:szCs w:val="21"/>
              </w:rPr>
              <w:t xml:space="preserve">j </w:t>
            </w:r>
          </w:p>
        </w:tc>
        <w:tc>
          <w:tcPr>
            <w:tcW w:w="2054" w:type="dxa"/>
            <w:shd w:val="clear" w:color="auto" w:fill="auto"/>
            <w:noWrap/>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sSub>
                  <m:sSubPr>
                    <m:ctrlPr>
                      <w:rPr>
                        <w:rFonts w:ascii="Cambria Math" w:hAnsi="Cambria Math"/>
                        <w:i/>
                        <w:szCs w:val="21"/>
                      </w:rPr>
                    </m:ctrlPr>
                  </m:sSubPr>
                  <m:e>
                    <m:r>
                      <w:rPr>
                        <w:rFonts w:ascii="Cambria Math" w:hAnsi="Cambria Math"/>
                        <w:szCs w:val="21"/>
                      </w:rPr>
                      <m:t>Q</m:t>
                    </m:r>
                  </m:e>
                  <m:sub>
                    <m:r>
                      <w:rPr>
                        <w:rFonts w:ascii="Cambria Math" w:hAnsi="Cambria Math"/>
                        <w:szCs w:val="21"/>
                      </w:rPr>
                      <m:t>ck</m:t>
                    </m:r>
                    <m:r>
                      <w:rPr>
                        <w:rFonts w:ascii="Cambria Math" w:hAnsi="Cambria Math"/>
                      </w:rPr>
                      <m:t>,</m:t>
                    </m:r>
                    <m:r>
                      <w:rPr>
                        <w:rFonts w:ascii="Cambria Math" w:hAnsi="Cambria Math" w:hint="eastAsia"/>
                      </w:rPr>
                      <m:t>j</m:t>
                    </m:r>
                  </m:sub>
                </m:sSub>
              </m:oMath>
            </m:oMathPara>
          </w:p>
        </w:tc>
        <w:tc>
          <w:tcPr>
            <w:tcW w:w="126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pPr>
            <w:r>
              <w:rPr>
                <w:rFonts w:hint="eastAsia"/>
              </w:rPr>
              <w:t>熟料产量</w:t>
            </w:r>
          </w:p>
        </w:tc>
        <w:tc>
          <w:tcPr>
            <w:tcW w:w="993"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t</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272"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rFonts w:hint="eastAsia"/>
                <w:szCs w:val="21"/>
              </w:rPr>
              <w:t>（合计值）</w:t>
            </w:r>
          </w:p>
        </w:tc>
        <w:tc>
          <w:tcPr>
            <w:tcW w:w="850" w:type="dxa"/>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68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963" w:type="dxa"/>
            <w:vMerge/>
            <w:shd w:val="clear" w:color="auto" w:fill="auto"/>
            <w:vAlign w:val="center"/>
          </w:tcPr>
          <w:p w:rsidR="00506AE6" w:rsidRDefault="00506AE6">
            <w:pPr>
              <w:adjustRightInd w:val="0"/>
              <w:snapToGrid w:val="0"/>
              <w:spacing w:line="240" w:lineRule="auto"/>
              <w:ind w:firstLineChars="0" w:firstLine="0"/>
              <w:jc w:val="center"/>
              <w:rPr>
                <w:kern w:val="0"/>
                <w:szCs w:val="21"/>
              </w:rPr>
            </w:pPr>
          </w:p>
        </w:tc>
        <w:tc>
          <w:tcPr>
            <w:tcW w:w="2054" w:type="dxa"/>
            <w:shd w:val="clear" w:color="auto" w:fill="auto"/>
            <w:noWrap/>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r>
                      <m:rPr>
                        <m:sty m:val="p"/>
                      </m:rPr>
                      <w:rPr>
                        <w:rFonts w:ascii="Cambria Math" w:hAnsi="Cambria Math"/>
                        <w:kern w:val="0"/>
                        <w:szCs w:val="21"/>
                      </w:rPr>
                      <m:t>燃烧</m:t>
                    </m:r>
                    <m:r>
                      <m:rPr>
                        <m:sty m:val="p"/>
                      </m:rPr>
                      <w:rPr>
                        <w:rFonts w:ascii="Cambria Math" w:hAnsi="Cambria Math"/>
                      </w:rPr>
                      <m:t>,j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r>
                      <m:rPr>
                        <m:sty m:val="p"/>
                      </m:rPr>
                      <w:rPr>
                        <w:rFonts w:ascii="Cambria Math" w:hAnsi="Cambria Math"/>
                      </w:rPr>
                      <m:t>过程</m:t>
                    </m:r>
                    <m:r>
                      <m:rPr>
                        <m:sty m:val="p"/>
                      </m:rPr>
                      <w:rPr>
                        <w:rFonts w:ascii="Cambria Math" w:hAnsi="Cambria Math"/>
                      </w:rPr>
                      <m:t>,j</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r>
                      <m:rPr>
                        <m:sty m:val="p"/>
                      </m:rPr>
                      <w:rPr>
                        <w:rFonts w:ascii="Cambria Math" w:hAnsi="Cambria Math"/>
                      </w:rPr>
                      <m:t>电</m:t>
                    </m:r>
                    <m:r>
                      <m:rPr>
                        <m:sty m:val="p"/>
                      </m:rPr>
                      <w:rPr>
                        <w:rFonts w:ascii="Cambria Math" w:hAnsi="Cambria Math"/>
                      </w:rPr>
                      <m:t>,j</m:t>
                    </m:r>
                  </m:sub>
                </m:sSub>
              </m:oMath>
            </m:oMathPara>
          </w:p>
        </w:tc>
        <w:tc>
          <w:tcPr>
            <w:tcW w:w="126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pPr>
            <w:r>
              <w:t>碳排放量</w:t>
            </w:r>
          </w:p>
        </w:tc>
        <w:tc>
          <w:tcPr>
            <w:tcW w:w="993"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t</w:t>
            </w:r>
            <w:r>
              <w:t>CO</w:t>
            </w:r>
            <w:r>
              <w:rPr>
                <w:vertAlign w:val="subscript"/>
              </w:rPr>
              <w:t>2</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272"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rFonts w:hint="eastAsia"/>
                <w:szCs w:val="21"/>
              </w:rPr>
              <w:t>（合计值）</w:t>
            </w:r>
          </w:p>
        </w:tc>
        <w:tc>
          <w:tcPr>
            <w:tcW w:w="850" w:type="dxa"/>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68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963" w:type="dxa"/>
            <w:vMerge/>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2054" w:type="dxa"/>
            <w:shd w:val="clear" w:color="auto" w:fill="auto"/>
            <w:noWrap/>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ck</m:t>
                    </m:r>
                    <m:r>
                      <w:rPr>
                        <w:rFonts w:ascii="Cambria Math" w:hAnsi="Cambria Math"/>
                      </w:rPr>
                      <m:t>,</m:t>
                    </m:r>
                    <m:r>
                      <w:rPr>
                        <w:rFonts w:ascii="Cambria Math" w:hAnsi="Cambria Math"/>
                      </w:rPr>
                      <m:t>j</m:t>
                    </m:r>
                  </m:sub>
                </m:sSub>
                <m:r>
                  <w:rPr>
                    <w:rFonts w:ascii="Cambria Math" w:hAnsi="Cambria Math"/>
                  </w:rPr>
                  <m:t>/</m:t>
                </m:r>
                <m:sSub>
                  <m:sSubPr>
                    <m:ctrlPr>
                      <w:rPr>
                        <w:rFonts w:ascii="Cambria Math" w:hAnsi="Cambria Math"/>
                        <w:i/>
                        <w:szCs w:val="21"/>
                      </w:rPr>
                    </m:ctrlPr>
                  </m:sSubPr>
                  <m:e>
                    <m:r>
                      <w:rPr>
                        <w:rFonts w:ascii="Cambria Math" w:hAnsi="Cambria Math"/>
                        <w:szCs w:val="21"/>
                      </w:rPr>
                      <m:t>Q</m:t>
                    </m:r>
                  </m:e>
                  <m:sub>
                    <m:r>
                      <w:rPr>
                        <w:rFonts w:ascii="Cambria Math" w:hAnsi="Cambria Math"/>
                        <w:szCs w:val="21"/>
                      </w:rPr>
                      <m:t>ck</m:t>
                    </m:r>
                    <m:r>
                      <w:rPr>
                        <w:rFonts w:ascii="Cambria Math" w:hAnsi="Cambria Math"/>
                      </w:rPr>
                      <m:t>,</m:t>
                    </m:r>
                    <m:r>
                      <w:rPr>
                        <w:rFonts w:ascii="Cambria Math" w:hAnsi="Cambria Math" w:hint="eastAsia"/>
                      </w:rPr>
                      <m:t>j</m:t>
                    </m:r>
                  </m:sub>
                </m:sSub>
              </m:oMath>
            </m:oMathPara>
          </w:p>
        </w:tc>
        <w:tc>
          <w:tcPr>
            <w:tcW w:w="126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pPr>
            <w:r>
              <w:t>碳排放</w:t>
            </w:r>
            <w:r>
              <w:rPr>
                <w:rFonts w:hint="eastAsia"/>
              </w:rPr>
              <w:t>强度</w:t>
            </w:r>
          </w:p>
        </w:tc>
        <w:tc>
          <w:tcPr>
            <w:tcW w:w="993"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t</w:t>
            </w:r>
            <w:r>
              <w:t>CO</w:t>
            </w:r>
            <w:r>
              <w:rPr>
                <w:vertAlign w:val="subscript"/>
              </w:rPr>
              <w:t>2</w:t>
            </w:r>
            <w:r>
              <w:rPr>
                <w:kern w:val="0"/>
                <w:szCs w:val="21"/>
              </w:rPr>
              <w:t>/</w:t>
            </w:r>
            <w:r>
              <w:rPr>
                <w:rFonts w:hint="eastAsia"/>
                <w:kern w:val="0"/>
                <w:szCs w:val="21"/>
              </w:rPr>
              <w:t>t</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272"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850" w:type="dxa"/>
            <w:vAlign w:val="center"/>
          </w:tcPr>
          <w:p w:rsidR="00506AE6" w:rsidRDefault="0072598A">
            <w:pPr>
              <w:adjustRightInd w:val="0"/>
              <w:snapToGrid w:val="0"/>
              <w:spacing w:line="240" w:lineRule="auto"/>
              <w:ind w:firstLineChars="0" w:firstLine="0"/>
              <w:jc w:val="center"/>
              <w:rPr>
                <w:szCs w:val="21"/>
              </w:rPr>
            </w:pPr>
            <w:r>
              <w:rPr>
                <w:rFonts w:hint="eastAsia"/>
                <w:szCs w:val="21"/>
              </w:rPr>
              <w:t>计算值</w:t>
            </w:r>
          </w:p>
        </w:tc>
        <w:tc>
          <w:tcPr>
            <w:tcW w:w="68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963" w:type="dxa"/>
            <w:shd w:val="clear" w:color="auto" w:fill="auto"/>
            <w:vAlign w:val="center"/>
          </w:tcPr>
          <w:p w:rsidR="00506AE6" w:rsidRDefault="0072598A">
            <w:pPr>
              <w:widowControl/>
              <w:adjustRightInd w:val="0"/>
              <w:snapToGrid w:val="0"/>
              <w:spacing w:line="240" w:lineRule="auto"/>
              <w:ind w:firstLineChars="0" w:firstLine="0"/>
              <w:jc w:val="center"/>
              <w:textAlignment w:val="center"/>
              <w:rPr>
                <w:rFonts w:ascii="宋体" w:hAnsi="宋体"/>
                <w:szCs w:val="21"/>
              </w:rPr>
            </w:pPr>
            <w:r>
              <w:rPr>
                <w:rFonts w:ascii="宋体" w:hAnsi="宋体"/>
                <w:szCs w:val="21"/>
              </w:rPr>
              <w:t>…</w:t>
            </w:r>
          </w:p>
        </w:tc>
        <w:tc>
          <w:tcPr>
            <w:tcW w:w="205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rFonts w:ascii="宋体" w:hAnsi="宋体"/>
                <w:kern w:val="0"/>
                <w:szCs w:val="21"/>
              </w:rPr>
            </w:pPr>
          </w:p>
        </w:tc>
        <w:tc>
          <w:tcPr>
            <w:tcW w:w="1266"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szCs w:val="21"/>
              </w:rPr>
            </w:pPr>
          </w:p>
        </w:tc>
        <w:tc>
          <w:tcPr>
            <w:tcW w:w="993"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272"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85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963" w:type="dxa"/>
            <w:vMerge w:val="restart"/>
            <w:shd w:val="clear" w:color="auto" w:fill="auto"/>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szCs w:val="21"/>
              </w:rPr>
              <w:t>全部</w:t>
            </w:r>
            <w:r>
              <w:rPr>
                <w:rFonts w:hint="eastAsia"/>
                <w:kern w:val="0"/>
                <w:szCs w:val="21"/>
              </w:rPr>
              <w:t>生产线</w:t>
            </w:r>
          </w:p>
        </w:tc>
        <w:tc>
          <w:tcPr>
            <w:tcW w:w="2054" w:type="dxa"/>
            <w:shd w:val="clear" w:color="auto" w:fill="auto"/>
            <w:noWrap/>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nary>
                  <m:naryPr>
                    <m:chr m:val="∑"/>
                    <m:limLoc m:val="undOvr"/>
                    <m:subHide m:val="1"/>
                    <m:supHide m:val="1"/>
                    <m:ctrlPr>
                      <w:rPr>
                        <w:rFonts w:ascii="Cambria Math" w:hAnsi="Cambria Math"/>
                        <w:i/>
                        <w:iCs/>
                        <w:szCs w:val="21"/>
                      </w:rPr>
                    </m:ctrlPr>
                  </m:naryPr>
                  <m:sub/>
                  <m:sup/>
                  <m:e>
                    <m:sSub>
                      <m:sSubPr>
                        <m:ctrlPr>
                          <w:rPr>
                            <w:rFonts w:ascii="Cambria Math" w:hAnsi="Cambria Math"/>
                            <w:i/>
                            <w:iCs/>
                            <w:szCs w:val="21"/>
                          </w:rPr>
                        </m:ctrlPr>
                      </m:sSubPr>
                      <m:e>
                        <m:r>
                          <w:rPr>
                            <w:rFonts w:ascii="Cambria Math" w:hAnsi="Cambria Math"/>
                            <w:szCs w:val="21"/>
                          </w:rPr>
                          <m:t>Q</m:t>
                        </m:r>
                      </m:e>
                      <m:sub>
                        <m:r>
                          <w:rPr>
                            <w:rFonts w:ascii="Cambria Math" w:hAnsi="Cambria Math"/>
                            <w:szCs w:val="21"/>
                          </w:rPr>
                          <m:t>ck</m:t>
                        </m:r>
                        <m:r>
                          <w:rPr>
                            <w:rFonts w:ascii="Cambria Math" w:hAnsi="Cambria Math"/>
                          </w:rPr>
                          <m:t>,</m:t>
                        </m:r>
                        <m:r>
                          <w:rPr>
                            <w:rFonts w:ascii="Cambria Math" w:hAnsi="Cambria Math" w:hint="eastAsia"/>
                          </w:rPr>
                          <m:t>j</m:t>
                        </m:r>
                      </m:sub>
                    </m:sSub>
                  </m:e>
                </m:nary>
              </m:oMath>
            </m:oMathPara>
          </w:p>
        </w:tc>
        <w:tc>
          <w:tcPr>
            <w:tcW w:w="126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pPr>
            <w:r>
              <w:rPr>
                <w:rFonts w:hint="eastAsia"/>
              </w:rPr>
              <w:t>熟料总产量</w:t>
            </w:r>
          </w:p>
        </w:tc>
        <w:tc>
          <w:tcPr>
            <w:tcW w:w="993"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t</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272"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rFonts w:hint="eastAsia"/>
                <w:szCs w:val="21"/>
              </w:rPr>
              <w:t>（合计值）</w:t>
            </w:r>
          </w:p>
        </w:tc>
        <w:tc>
          <w:tcPr>
            <w:tcW w:w="850" w:type="dxa"/>
            <w:vAlign w:val="center"/>
          </w:tcPr>
          <w:p w:rsidR="00506AE6" w:rsidRDefault="0072598A">
            <w:pPr>
              <w:adjustRightInd w:val="0"/>
              <w:snapToGrid w:val="0"/>
              <w:spacing w:line="240" w:lineRule="auto"/>
              <w:ind w:firstLineChars="0" w:firstLine="0"/>
              <w:jc w:val="center"/>
            </w:pPr>
            <w:r>
              <w:rPr>
                <w:rFonts w:hint="eastAsia"/>
                <w:szCs w:val="21"/>
              </w:rPr>
              <w:t>计算值</w:t>
            </w:r>
          </w:p>
        </w:tc>
        <w:tc>
          <w:tcPr>
            <w:tcW w:w="68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963" w:type="dxa"/>
            <w:vMerge/>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2054" w:type="dxa"/>
            <w:shd w:val="clear" w:color="auto" w:fill="auto"/>
            <w:noWrap/>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sub>
                </m:sSub>
                <m:r>
                  <m:rPr>
                    <m:sty m:val="p"/>
                  </m:rPr>
                  <w:rPr>
                    <w:rFonts w:ascii="Cambria Math" w:hAnsi="Cambria Math"/>
                  </w:rPr>
                  <m:t>=</m:t>
                </m:r>
                <m:nary>
                  <m:naryPr>
                    <m:chr m:val="∑"/>
                    <m:limLoc m:val="undOvr"/>
                    <m:ctrlPr>
                      <w:rPr>
                        <w:rFonts w:ascii="Cambria Math" w:hAnsi="Cambria Math"/>
                        <w:iCs/>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ck,j</m:t>
                        </m:r>
                      </m:sub>
                    </m:sSub>
                  </m:e>
                </m:nary>
              </m:oMath>
            </m:oMathPara>
          </w:p>
        </w:tc>
        <w:tc>
          <w:tcPr>
            <w:tcW w:w="126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pPr>
            <w:r>
              <w:t>碳排放</w:t>
            </w:r>
            <w:r>
              <w:rPr>
                <w:rFonts w:hint="eastAsia"/>
              </w:rPr>
              <w:t>总</w:t>
            </w:r>
            <w:r>
              <w:t>量</w:t>
            </w:r>
          </w:p>
        </w:tc>
        <w:tc>
          <w:tcPr>
            <w:tcW w:w="993"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t</w:t>
            </w:r>
            <w:r>
              <w:t>CO</w:t>
            </w:r>
            <w:r>
              <w:rPr>
                <w:vertAlign w:val="subscript"/>
              </w:rPr>
              <w:t>2</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272"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rFonts w:hint="eastAsia"/>
                <w:szCs w:val="21"/>
              </w:rPr>
              <w:t>（合计值）</w:t>
            </w:r>
          </w:p>
        </w:tc>
        <w:tc>
          <w:tcPr>
            <w:tcW w:w="850" w:type="dxa"/>
            <w:vAlign w:val="center"/>
          </w:tcPr>
          <w:p w:rsidR="00506AE6" w:rsidRDefault="0072598A">
            <w:pPr>
              <w:adjustRightInd w:val="0"/>
              <w:snapToGrid w:val="0"/>
              <w:spacing w:line="240" w:lineRule="auto"/>
              <w:ind w:firstLineChars="0" w:firstLine="0"/>
              <w:jc w:val="center"/>
            </w:pPr>
            <w:r>
              <w:rPr>
                <w:rFonts w:hint="eastAsia"/>
                <w:szCs w:val="21"/>
              </w:rPr>
              <w:t>计算值</w:t>
            </w:r>
          </w:p>
        </w:tc>
        <w:tc>
          <w:tcPr>
            <w:tcW w:w="68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r>
      <w:tr w:rsidR="00506AE6">
        <w:trPr>
          <w:trHeight w:val="283"/>
          <w:jc w:val="center"/>
        </w:trPr>
        <w:tc>
          <w:tcPr>
            <w:tcW w:w="963" w:type="dxa"/>
            <w:vMerge/>
            <w:shd w:val="clear" w:color="auto" w:fill="auto"/>
            <w:vAlign w:val="center"/>
          </w:tcPr>
          <w:p w:rsidR="00506AE6" w:rsidRDefault="00506AE6">
            <w:pPr>
              <w:adjustRightInd w:val="0"/>
              <w:snapToGrid w:val="0"/>
              <w:spacing w:line="240" w:lineRule="auto"/>
              <w:ind w:firstLineChars="0" w:firstLine="0"/>
              <w:jc w:val="center"/>
              <w:rPr>
                <w:szCs w:val="21"/>
              </w:rPr>
            </w:pPr>
          </w:p>
        </w:tc>
        <w:tc>
          <w:tcPr>
            <w:tcW w:w="2054" w:type="dxa"/>
            <w:shd w:val="clear" w:color="auto" w:fill="auto"/>
            <w:noWrap/>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sub>
                </m:sSub>
                <m:r>
                  <m:rPr>
                    <m:sty m:val="p"/>
                  </m:rPr>
                  <w:rPr>
                    <w:rFonts w:ascii="Cambria Math" w:hAnsi="Cambria Math"/>
                    <w:szCs w:val="21"/>
                  </w:rPr>
                  <m:t>/</m:t>
                </m:r>
                <m:nary>
                  <m:naryPr>
                    <m:chr m:val="∑"/>
                    <m:limLoc m:val="undOvr"/>
                    <m:subHide m:val="1"/>
                    <m:supHide m:val="1"/>
                    <m:ctrlPr>
                      <w:rPr>
                        <w:rFonts w:ascii="Cambria Math" w:hAnsi="Cambria Math"/>
                        <w:szCs w:val="21"/>
                      </w:rPr>
                    </m:ctrlPr>
                  </m:naryPr>
                  <m:sub/>
                  <m:sup/>
                  <m:e>
                    <m:sSub>
                      <m:sSubPr>
                        <m:ctrlPr>
                          <w:rPr>
                            <w:rFonts w:ascii="Cambria Math" w:hAnsi="Cambria Math"/>
                            <w:i/>
                            <w:szCs w:val="21"/>
                          </w:rPr>
                        </m:ctrlPr>
                      </m:sSubPr>
                      <m:e>
                        <m:r>
                          <w:rPr>
                            <w:rFonts w:ascii="Cambria Math" w:hAnsi="Cambria Math"/>
                            <w:szCs w:val="21"/>
                          </w:rPr>
                          <m:t>Q</m:t>
                        </m:r>
                      </m:e>
                      <m:sub>
                        <m:r>
                          <w:rPr>
                            <w:rFonts w:ascii="Cambria Math" w:hAnsi="Cambria Math"/>
                            <w:szCs w:val="21"/>
                          </w:rPr>
                          <m:t>ck</m:t>
                        </m:r>
                        <m:r>
                          <w:rPr>
                            <w:rFonts w:ascii="Cambria Math" w:hAnsi="Cambria Math"/>
                          </w:rPr>
                          <m:t>,</m:t>
                        </m:r>
                        <m:r>
                          <w:rPr>
                            <w:rFonts w:ascii="Cambria Math" w:hAnsi="Cambria Math" w:hint="eastAsia"/>
                          </w:rPr>
                          <m:t>j</m:t>
                        </m:r>
                      </m:sub>
                    </m:sSub>
                  </m:e>
                </m:nary>
              </m:oMath>
            </m:oMathPara>
          </w:p>
        </w:tc>
        <w:tc>
          <w:tcPr>
            <w:tcW w:w="126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pPr>
            <w:r>
              <w:t>碳排放</w:t>
            </w:r>
            <w:r>
              <w:rPr>
                <w:rFonts w:hint="eastAsia"/>
              </w:rPr>
              <w:t>强度</w:t>
            </w:r>
          </w:p>
        </w:tc>
        <w:tc>
          <w:tcPr>
            <w:tcW w:w="993"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t</w:t>
            </w:r>
            <w:r>
              <w:t>CO</w:t>
            </w:r>
            <w:r>
              <w:rPr>
                <w:vertAlign w:val="subscript"/>
              </w:rPr>
              <w:t>2</w:t>
            </w:r>
            <w:r>
              <w:rPr>
                <w:kern w:val="0"/>
                <w:szCs w:val="21"/>
              </w:rPr>
              <w:t>/</w:t>
            </w:r>
            <w:r>
              <w:rPr>
                <w:rFonts w:hint="eastAsia"/>
                <w:kern w:val="0"/>
                <w:szCs w:val="21"/>
              </w:rPr>
              <w:t>t</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272"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850" w:type="dxa"/>
            <w:vAlign w:val="center"/>
          </w:tcPr>
          <w:p w:rsidR="00506AE6" w:rsidRDefault="0072598A">
            <w:pPr>
              <w:adjustRightInd w:val="0"/>
              <w:snapToGrid w:val="0"/>
              <w:spacing w:line="240" w:lineRule="auto"/>
              <w:ind w:firstLineChars="0" w:firstLine="0"/>
              <w:jc w:val="center"/>
            </w:pPr>
            <w:r>
              <w:rPr>
                <w:rFonts w:hint="eastAsia"/>
                <w:szCs w:val="21"/>
              </w:rPr>
              <w:t>计算值</w:t>
            </w:r>
          </w:p>
        </w:tc>
        <w:tc>
          <w:tcPr>
            <w:tcW w:w="680" w:type="dxa"/>
            <w:vAlign w:val="center"/>
          </w:tcPr>
          <w:p w:rsidR="00506AE6" w:rsidRDefault="00506AE6">
            <w:pPr>
              <w:adjustRightInd w:val="0"/>
              <w:snapToGrid w:val="0"/>
              <w:spacing w:line="240" w:lineRule="auto"/>
              <w:ind w:firstLineChars="0" w:firstLine="0"/>
              <w:jc w:val="center"/>
              <w:rPr>
                <w:szCs w:val="21"/>
              </w:rPr>
            </w:pPr>
          </w:p>
        </w:tc>
        <w:tc>
          <w:tcPr>
            <w:tcW w:w="680" w:type="dxa"/>
            <w:vAlign w:val="center"/>
          </w:tcPr>
          <w:p w:rsidR="00506AE6" w:rsidRDefault="00506AE6">
            <w:pPr>
              <w:adjustRightInd w:val="0"/>
              <w:snapToGrid w:val="0"/>
              <w:spacing w:line="240" w:lineRule="auto"/>
              <w:ind w:firstLineChars="0" w:firstLine="0"/>
              <w:jc w:val="center"/>
              <w:rPr>
                <w:szCs w:val="21"/>
              </w:rPr>
            </w:pPr>
          </w:p>
        </w:tc>
      </w:tr>
    </w:tbl>
    <w:p w:rsidR="00506AE6" w:rsidRDefault="0072598A">
      <w:pPr>
        <w:pStyle w:val="affb"/>
        <w:ind w:left="180" w:hangingChars="100" w:hanging="180"/>
        <w:jc w:val="both"/>
      </w:pPr>
      <w:r>
        <w:t>填报</w:t>
      </w:r>
      <w:r>
        <w:rPr>
          <w:rFonts w:ascii="Times New Roman" w:hint="eastAsia"/>
        </w:rPr>
        <w:t>说明</w:t>
      </w:r>
      <w:r>
        <w:t>：</w:t>
      </w:r>
    </w:p>
    <w:p w:rsidR="00506AE6" w:rsidRDefault="0072598A">
      <w:pPr>
        <w:pStyle w:val="affb"/>
        <w:ind w:left="180" w:hangingChars="100" w:hanging="180"/>
        <w:jc w:val="both"/>
        <w:rPr>
          <w:rFonts w:ascii="Times New Roman"/>
        </w:rPr>
      </w:pPr>
      <w:r>
        <w:rPr>
          <w:rFonts w:ascii="Times New Roman"/>
          <w:vertAlign w:val="superscript"/>
        </w:rPr>
        <w:t>*1</w:t>
      </w:r>
      <w:r>
        <w:rPr>
          <w:rFonts w:ascii="Times New Roman" w:hint="eastAsia"/>
        </w:rPr>
        <w:t>若生产线多于</w:t>
      </w:r>
      <w:r>
        <w:rPr>
          <w:rFonts w:ascii="Times New Roman"/>
        </w:rPr>
        <w:t>1</w:t>
      </w:r>
      <w:r>
        <w:rPr>
          <w:rFonts w:ascii="Times New Roman" w:hint="eastAsia"/>
        </w:rPr>
        <w:t>条，应分别填报。</w:t>
      </w:r>
    </w:p>
    <w:p w:rsidR="00506AE6" w:rsidRDefault="0072598A">
      <w:pPr>
        <w:pStyle w:val="affb"/>
        <w:widowControl/>
        <w:ind w:left="180" w:hangingChars="100" w:hanging="180"/>
        <w:jc w:val="both"/>
      </w:pPr>
      <w:r>
        <w:rPr>
          <w:rFonts w:ascii="Times New Roman"/>
          <w:kern w:val="0"/>
          <w:vertAlign w:val="superscript"/>
        </w:rPr>
        <w:t>*2</w:t>
      </w:r>
      <w:r>
        <w:rPr>
          <w:rFonts w:ascii="Times New Roman" w:hint="eastAsia"/>
          <w:kern w:val="0"/>
        </w:rPr>
        <w:t>各参数按四舍五入保留小数位如下</w:t>
      </w:r>
      <w:r>
        <w:rPr>
          <w:rFonts w:ascii="Times New Roman" w:hint="eastAsia"/>
        </w:rPr>
        <w:t>：</w:t>
      </w:r>
    </w:p>
    <w:p w:rsidR="00506AE6" w:rsidRDefault="0072598A">
      <w:pPr>
        <w:pStyle w:val="a5"/>
        <w:numPr>
          <w:ilvl w:val="0"/>
          <w:numId w:val="35"/>
        </w:numPr>
        <w:adjustRightInd w:val="0"/>
        <w:rPr>
          <w:sz w:val="18"/>
          <w:szCs w:val="18"/>
        </w:rPr>
      </w:pPr>
      <w:r>
        <w:rPr>
          <w:rFonts w:hint="eastAsia"/>
          <w:sz w:val="18"/>
          <w:szCs w:val="18"/>
        </w:rPr>
        <w:t>熟料产量、熟料总产量保留到小数点后两位；</w:t>
      </w:r>
    </w:p>
    <w:p w:rsidR="00506AE6" w:rsidRDefault="0072598A">
      <w:pPr>
        <w:pStyle w:val="a5"/>
        <w:numPr>
          <w:ilvl w:val="0"/>
          <w:numId w:val="35"/>
        </w:numPr>
        <w:rPr>
          <w:sz w:val="18"/>
          <w:szCs w:val="18"/>
        </w:rPr>
      </w:pPr>
      <w:r>
        <w:rPr>
          <w:rFonts w:hint="eastAsia"/>
          <w:sz w:val="18"/>
          <w:szCs w:val="18"/>
        </w:rPr>
        <w:t>碳排放量、碳排放总量保留到整数位；</w:t>
      </w:r>
    </w:p>
    <w:p w:rsidR="00506AE6" w:rsidRDefault="0072598A">
      <w:pPr>
        <w:pStyle w:val="a5"/>
        <w:numPr>
          <w:ilvl w:val="0"/>
          <w:numId w:val="35"/>
        </w:numPr>
        <w:adjustRightInd w:val="0"/>
        <w:rPr>
          <w:sz w:val="18"/>
          <w:szCs w:val="18"/>
        </w:rPr>
      </w:pPr>
      <w:r>
        <w:rPr>
          <w:rFonts w:hint="eastAsia"/>
          <w:sz w:val="18"/>
          <w:szCs w:val="18"/>
        </w:rPr>
        <w:t>碳排放强度保留到小数点后四位。</w:t>
      </w:r>
    </w:p>
    <w:p w:rsidR="00506AE6" w:rsidRDefault="00506AE6">
      <w:pPr>
        <w:pStyle w:val="affb"/>
        <w:ind w:left="180" w:hangingChars="100" w:hanging="180"/>
        <w:rPr>
          <w:rFonts w:ascii="Times New Roman"/>
        </w:rPr>
      </w:pPr>
    </w:p>
    <w:p w:rsidR="00506AE6" w:rsidRDefault="00506AE6">
      <w:pPr>
        <w:pStyle w:val="affb"/>
        <w:snapToGrid/>
        <w:spacing w:line="240" w:lineRule="exact"/>
        <w:ind w:left="180" w:hangingChars="100" w:hanging="180"/>
        <w:rPr>
          <w:bCs/>
          <w:kern w:val="0"/>
          <w:szCs w:val="21"/>
        </w:rPr>
        <w:sectPr w:rsidR="00506AE6">
          <w:pgSz w:w="16838" w:h="11906" w:orient="landscape"/>
          <w:pgMar w:top="1616" w:right="1814" w:bottom="1616" w:left="1985" w:header="851" w:footer="850" w:gutter="0"/>
          <w:cols w:space="720"/>
          <w:docGrid w:type="lines" w:linePitch="312"/>
        </w:sectPr>
      </w:pPr>
    </w:p>
    <w:p w:rsidR="00506AE6" w:rsidRDefault="0072598A">
      <w:pPr>
        <w:pStyle w:val="afffffe"/>
        <w:spacing w:before="156" w:after="156"/>
        <w:jc w:val="center"/>
        <w:outlineLvl w:val="1"/>
        <w:rPr>
          <w:rFonts w:ascii="Times New Roman"/>
        </w:rPr>
      </w:pPr>
      <w:r>
        <w:rPr>
          <w:rFonts w:ascii="Times New Roman" w:hint="eastAsia"/>
        </w:rPr>
        <w:lastRenderedPageBreak/>
        <w:t>附表</w:t>
      </w:r>
      <w:r>
        <w:rPr>
          <w:rFonts w:ascii="Times New Roman" w:hint="eastAsia"/>
        </w:rPr>
        <w:t>E</w:t>
      </w:r>
      <w:r>
        <w:rPr>
          <w:rFonts w:ascii="Times New Roman"/>
        </w:rPr>
        <w:t>.</w:t>
      </w:r>
      <w:r>
        <w:rPr>
          <w:rFonts w:ascii="Times New Roman" w:hint="eastAsia"/>
        </w:rPr>
        <w:t>8</w:t>
      </w:r>
      <w:r>
        <w:rPr>
          <w:rFonts w:ascii="Times New Roman"/>
        </w:rPr>
        <w:t xml:space="preserve">  </w:t>
      </w:r>
      <w:r>
        <w:rPr>
          <w:rFonts w:ascii="Times New Roman" w:hint="eastAsia"/>
        </w:rPr>
        <w:t>企业层级排放量汇总表</w:t>
      </w:r>
    </w:p>
    <w:tbl>
      <w:tblPr>
        <w:tblW w:w="15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120"/>
        <w:gridCol w:w="17"/>
        <w:gridCol w:w="1562"/>
        <w:gridCol w:w="1276"/>
        <w:gridCol w:w="454"/>
        <w:gridCol w:w="454"/>
        <w:gridCol w:w="454"/>
        <w:gridCol w:w="454"/>
        <w:gridCol w:w="454"/>
        <w:gridCol w:w="454"/>
        <w:gridCol w:w="454"/>
        <w:gridCol w:w="454"/>
        <w:gridCol w:w="454"/>
        <w:gridCol w:w="454"/>
        <w:gridCol w:w="454"/>
        <w:gridCol w:w="454"/>
        <w:gridCol w:w="1304"/>
        <w:gridCol w:w="850"/>
        <w:gridCol w:w="680"/>
        <w:gridCol w:w="680"/>
      </w:tblGrid>
      <w:tr w:rsidR="00506AE6">
        <w:trPr>
          <w:trHeight w:val="283"/>
          <w:jc w:val="center"/>
        </w:trPr>
        <w:tc>
          <w:tcPr>
            <w:tcW w:w="1273"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排放源</w:t>
            </w:r>
          </w:p>
        </w:tc>
        <w:tc>
          <w:tcPr>
            <w:tcW w:w="3699" w:type="dxa"/>
            <w:gridSpan w:val="3"/>
            <w:shd w:val="clear" w:color="auto" w:fill="F2F2F2"/>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信息项</w:t>
            </w:r>
            <w:r>
              <w:rPr>
                <w:szCs w:val="21"/>
                <w:vertAlign w:val="superscript"/>
              </w:rPr>
              <w:t>*1</w:t>
            </w:r>
          </w:p>
        </w:tc>
        <w:tc>
          <w:tcPr>
            <w:tcW w:w="1276"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单位</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2</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3</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4</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5</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6</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7</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8</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9</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10</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11</w:t>
            </w:r>
            <w:r>
              <w:rPr>
                <w:kern w:val="0"/>
                <w:szCs w:val="21"/>
              </w:rPr>
              <w:t>月</w:t>
            </w:r>
          </w:p>
        </w:tc>
        <w:tc>
          <w:tcPr>
            <w:tcW w:w="45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12</w:t>
            </w:r>
            <w:r>
              <w:rPr>
                <w:kern w:val="0"/>
                <w:szCs w:val="21"/>
              </w:rPr>
              <w:t>月</w:t>
            </w:r>
          </w:p>
        </w:tc>
        <w:tc>
          <w:tcPr>
            <w:tcW w:w="1304" w:type="dxa"/>
            <w:shd w:val="clear" w:color="auto" w:fill="F2F2F2"/>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全年</w:t>
            </w:r>
          </w:p>
        </w:tc>
        <w:tc>
          <w:tcPr>
            <w:tcW w:w="85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获取</w:t>
            </w:r>
          </w:p>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方式</w:t>
            </w:r>
          </w:p>
        </w:tc>
        <w:tc>
          <w:tcPr>
            <w:tcW w:w="68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数据来源</w:t>
            </w:r>
          </w:p>
        </w:tc>
        <w:tc>
          <w:tcPr>
            <w:tcW w:w="680" w:type="dxa"/>
            <w:shd w:val="clear" w:color="auto" w:fill="F2F2F2"/>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支撑材料</w:t>
            </w:r>
          </w:p>
        </w:tc>
      </w:tr>
      <w:tr w:rsidR="00506AE6">
        <w:trPr>
          <w:trHeight w:val="283"/>
          <w:jc w:val="center"/>
        </w:trPr>
        <w:tc>
          <w:tcPr>
            <w:tcW w:w="1273" w:type="dxa"/>
            <w:vMerge w:val="restart"/>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szCs w:val="21"/>
              </w:rPr>
              <w:t>化石燃料燃烧排放</w:t>
            </w:r>
          </w:p>
        </w:tc>
        <w:tc>
          <w:tcPr>
            <w:tcW w:w="2120" w:type="dxa"/>
            <w:vAlign w:val="center"/>
          </w:tcPr>
          <w:p w:rsidR="00506AE6" w:rsidRDefault="0072598A">
            <w:pPr>
              <w:adjustRightInd w:val="0"/>
              <w:snapToGrid w:val="0"/>
              <w:spacing w:line="240" w:lineRule="auto"/>
              <w:ind w:firstLineChars="0" w:firstLine="0"/>
              <w:jc w:val="center"/>
              <w:rPr>
                <w:i/>
                <w:kern w:val="0"/>
                <w:szCs w:val="21"/>
              </w:rPr>
            </w:pPr>
            <m:oMathPara>
              <m:oMathParaPr>
                <m:jc m:val="left"/>
              </m:oMathParaPr>
              <m:oMath>
                <m:r>
                  <w:rPr>
                    <w:rFonts w:ascii="Cambria Math" w:hAnsi="Cambria Math"/>
                  </w:rPr>
                  <m:t>F</m:t>
                </m:r>
                <m:sSub>
                  <m:sSubPr>
                    <m:ctrlPr>
                      <w:rPr>
                        <w:rFonts w:ascii="Cambria Math" w:hAnsi="Cambria Math"/>
                        <w:i/>
                      </w:rPr>
                    </m:ctrlPr>
                  </m:sSubPr>
                  <m:e>
                    <m:r>
                      <w:rPr>
                        <w:rFonts w:ascii="Cambria Math" w:hAnsi="Cambria Math"/>
                      </w:rPr>
                      <m:t>C</m:t>
                    </m:r>
                  </m:e>
                  <m:sub>
                    <m:r>
                      <w:rPr>
                        <w:rFonts w:ascii="Cambria Math" w:hAnsi="Cambria Math"/>
                      </w:rPr>
                      <m:t>i</m:t>
                    </m:r>
                  </m:sub>
                </m:sSub>
              </m:oMath>
            </m:oMathPara>
          </w:p>
        </w:tc>
        <w:tc>
          <w:tcPr>
            <w:tcW w:w="1579" w:type="dxa"/>
            <w:gridSpan w:val="2"/>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化石燃料</w:t>
            </w:r>
            <w:r>
              <w:rPr>
                <w:rFonts w:hint="eastAsia"/>
                <w:i/>
                <w:kern w:val="0"/>
                <w:szCs w:val="21"/>
              </w:rPr>
              <w:t>i</w:t>
            </w:r>
            <w:r>
              <w:rPr>
                <w:rFonts w:hint="eastAsia"/>
              </w:rPr>
              <w:t>消耗量</w:t>
            </w:r>
            <w:r>
              <w:rPr>
                <w:szCs w:val="21"/>
                <w:vertAlign w:val="superscript"/>
              </w:rPr>
              <w:t>*2</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t</w:t>
            </w:r>
            <w:r>
              <w:rPr>
                <w:rFonts w:hint="eastAsia"/>
                <w:kern w:val="0"/>
                <w:szCs w:val="21"/>
              </w:rPr>
              <w:t>或</w:t>
            </w:r>
            <w:r>
              <w:rPr>
                <w:szCs w:val="21"/>
              </w:rPr>
              <w:t>10</w:t>
            </w:r>
            <w:r>
              <w:rPr>
                <w:szCs w:val="21"/>
                <w:vertAlign w:val="superscript"/>
              </w:rPr>
              <w:t>4</w:t>
            </w:r>
            <w:r>
              <w:rPr>
                <w:szCs w:val="21"/>
              </w:rPr>
              <w:t>Nm</w:t>
            </w:r>
            <w:r>
              <w:rPr>
                <w:szCs w:val="21"/>
                <w:vertAlign w:val="superscript"/>
              </w:rPr>
              <w:t>3</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20" w:type="dxa"/>
            <w:vAlign w:val="center"/>
          </w:tcPr>
          <w:p w:rsidR="00506AE6" w:rsidRDefault="0072598A">
            <w:pPr>
              <w:adjustRightInd w:val="0"/>
              <w:snapToGrid w:val="0"/>
              <w:spacing w:line="240" w:lineRule="auto"/>
              <w:ind w:firstLineChars="0" w:firstLine="0"/>
              <w:jc w:val="center"/>
              <w:rPr>
                <w:i/>
              </w:rPr>
            </w:pPr>
            <m:oMathPara>
              <m:oMathParaPr>
                <m:jc m:val="left"/>
              </m:oMathParaPr>
              <m:oMath>
                <m:r>
                  <w:rPr>
                    <w:rFonts w:ascii="Cambria Math" w:hAnsi="Cambria Math"/>
                    <w:szCs w:val="21"/>
                  </w:rPr>
                  <m:t>NC</m:t>
                </m:r>
                <m:sSub>
                  <m:sSubPr>
                    <m:ctrlPr>
                      <w:rPr>
                        <w:rFonts w:ascii="Cambria Math" w:hAnsi="Cambria Math"/>
                        <w:i/>
                        <w:szCs w:val="21"/>
                      </w:rPr>
                    </m:ctrlPr>
                  </m:sSubPr>
                  <m:e>
                    <m:r>
                      <w:rPr>
                        <w:rFonts w:ascii="Cambria Math" w:hAnsi="Cambria Math"/>
                        <w:szCs w:val="21"/>
                      </w:rPr>
                      <m:t>V</m:t>
                    </m:r>
                  </m:e>
                  <m:sub>
                    <m:r>
                      <w:rPr>
                        <w:rFonts w:ascii="Cambria Math" w:hAnsi="Cambria Math"/>
                        <w:szCs w:val="21"/>
                      </w:rPr>
                      <m:t>a</m:t>
                    </m:r>
                    <m:r>
                      <w:rPr>
                        <w:rFonts w:ascii="DejaVu Math TeX Gyre" w:hAnsi="DejaVu Math TeX Gyre" w:hint="eastAsia"/>
                        <w:szCs w:val="21"/>
                      </w:rPr>
                      <m:t>r</m:t>
                    </m:r>
                    <m:r>
                      <w:rPr>
                        <w:rFonts w:ascii="Cambria Math" w:hAnsi="Cambria Math"/>
                        <w:szCs w:val="21"/>
                      </w:rPr>
                      <m:t>,</m:t>
                    </m:r>
                    <m:r>
                      <w:rPr>
                        <w:rFonts w:ascii="Cambria Math" w:hAnsi="Cambria Math"/>
                        <w:szCs w:val="21"/>
                      </w:rPr>
                      <m:t>i</m:t>
                    </m:r>
                  </m:sub>
                </m:sSub>
              </m:oMath>
            </m:oMathPara>
          </w:p>
        </w:tc>
        <w:tc>
          <w:tcPr>
            <w:tcW w:w="1579" w:type="dxa"/>
            <w:gridSpan w:val="2"/>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化石燃料</w:t>
            </w:r>
            <w:r>
              <w:rPr>
                <w:rFonts w:hint="eastAsia"/>
                <w:i/>
                <w:kern w:val="0"/>
                <w:szCs w:val="21"/>
              </w:rPr>
              <w:t>i</w:t>
            </w:r>
            <w:r>
              <w:rPr>
                <w:rFonts w:hint="eastAsia"/>
                <w:kern w:val="0"/>
                <w:szCs w:val="21"/>
              </w:rPr>
              <w:t>收到基</w:t>
            </w:r>
            <w:r>
              <w:t>低位发热量</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GJ/t</w:t>
            </w:r>
            <w:r>
              <w:rPr>
                <w:rFonts w:hint="eastAsia"/>
                <w:kern w:val="0"/>
                <w:szCs w:val="21"/>
              </w:rPr>
              <w:t>或</w:t>
            </w:r>
            <w:r>
              <w:rPr>
                <w:szCs w:val="21"/>
              </w:rPr>
              <w:t>GJ/10</w:t>
            </w:r>
            <w:r>
              <w:rPr>
                <w:szCs w:val="21"/>
                <w:vertAlign w:val="superscript"/>
              </w:rPr>
              <w:t>4</w:t>
            </w:r>
            <w:r>
              <w:rPr>
                <w:szCs w:val="21"/>
              </w:rPr>
              <w:t>Nm</w:t>
            </w:r>
            <w:r>
              <w:rPr>
                <w:szCs w:val="21"/>
                <w:vertAlign w:val="superscript"/>
              </w:rPr>
              <w:t>3</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szCs w:val="21"/>
              </w:rPr>
            </w:pP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缺省值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20" w:type="dxa"/>
            <w:vAlign w:val="center"/>
          </w:tcPr>
          <w:p w:rsidR="00506AE6" w:rsidRDefault="0072598A">
            <w:pPr>
              <w:adjustRightInd w:val="0"/>
              <w:snapToGrid w:val="0"/>
              <w:spacing w:line="240" w:lineRule="auto"/>
              <w:ind w:firstLineChars="0" w:firstLine="0"/>
              <w:jc w:val="center"/>
              <w:rPr>
                <w:i/>
                <w:kern w:val="0"/>
                <w:szCs w:val="21"/>
              </w:rPr>
            </w:pPr>
            <m:oMathPara>
              <m:oMathParaPr>
                <m:jc m:val="left"/>
              </m:oMathParaPr>
              <m:oMath>
                <m:r>
                  <w:rPr>
                    <w:rFonts w:ascii="Cambria Math" w:hAnsi="Cambria Math"/>
                    <w:szCs w:val="21"/>
                  </w:rPr>
                  <m:t>C</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i</m:t>
                    </m:r>
                  </m:sub>
                </m:sSub>
              </m:oMath>
            </m:oMathPara>
          </w:p>
        </w:tc>
        <w:tc>
          <w:tcPr>
            <w:tcW w:w="1579" w:type="dxa"/>
            <w:gridSpan w:val="2"/>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化石燃料</w:t>
            </w:r>
            <w:r>
              <w:rPr>
                <w:rFonts w:hint="eastAsia"/>
                <w:i/>
                <w:kern w:val="0"/>
                <w:szCs w:val="21"/>
              </w:rPr>
              <w:t>i</w:t>
            </w:r>
            <w:r>
              <w:rPr>
                <w:kern w:val="0"/>
                <w:szCs w:val="21"/>
              </w:rPr>
              <w:t>单位热值含碳量</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tC/GJ</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szCs w:val="21"/>
              </w:rPr>
            </w:pP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缺省值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20" w:type="dxa"/>
            <w:vAlign w:val="center"/>
          </w:tcPr>
          <w:p w:rsidR="00506AE6" w:rsidRDefault="0072598A">
            <w:pPr>
              <w:adjustRightInd w:val="0"/>
              <w:snapToGrid w:val="0"/>
              <w:spacing w:line="240" w:lineRule="auto"/>
              <w:ind w:firstLineChars="0" w:firstLine="0"/>
              <w:jc w:val="center"/>
              <w:rPr>
                <w:i/>
                <w:kern w:val="0"/>
                <w:szCs w:val="21"/>
              </w:rPr>
            </w:pPr>
            <m:oMathPara>
              <m:oMathParaPr>
                <m:jc m:val="left"/>
              </m:oMathParaPr>
              <m:oMath>
                <m:r>
                  <w:rPr>
                    <w:rFonts w:ascii="Cambria Math" w:hAnsi="Cambria Math"/>
                    <w:szCs w:val="21"/>
                  </w:rPr>
                  <m:t>O</m:t>
                </m:r>
                <m:sSub>
                  <m:sSubPr>
                    <m:ctrlPr>
                      <w:rPr>
                        <w:rFonts w:ascii="Cambria Math" w:hAnsi="Cambria Math"/>
                        <w:i/>
                        <w:szCs w:val="21"/>
                      </w:rPr>
                    </m:ctrlPr>
                  </m:sSubPr>
                  <m:e>
                    <m:r>
                      <w:rPr>
                        <w:rFonts w:ascii="Cambria Math" w:hAnsi="Cambria Math"/>
                        <w:szCs w:val="21"/>
                      </w:rPr>
                      <m:t>F</m:t>
                    </m:r>
                  </m:e>
                  <m:sub>
                    <m:r>
                      <w:rPr>
                        <w:rFonts w:ascii="Cambria Math" w:hAnsi="Cambria Math"/>
                        <w:szCs w:val="21"/>
                      </w:rPr>
                      <m:t>i</m:t>
                    </m:r>
                  </m:sub>
                </m:sSub>
              </m:oMath>
            </m:oMathPara>
          </w:p>
        </w:tc>
        <w:tc>
          <w:tcPr>
            <w:tcW w:w="1579" w:type="dxa"/>
            <w:gridSpan w:val="2"/>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化石燃料</w:t>
            </w:r>
            <w:r>
              <w:rPr>
                <w:rFonts w:hint="eastAsia"/>
                <w:i/>
                <w:kern w:val="0"/>
                <w:szCs w:val="21"/>
              </w:rPr>
              <w:t>i</w:t>
            </w:r>
            <w:r>
              <w:rPr>
                <w:kern w:val="0"/>
                <w:szCs w:val="21"/>
              </w:rPr>
              <w:t>碳氧化率</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szCs w:val="21"/>
              </w:rPr>
              <w:t>%</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szCs w:val="21"/>
              </w:rPr>
            </w:pP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缺省值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20" w:type="dxa"/>
            <w:vAlign w:val="center"/>
          </w:tcPr>
          <w:p w:rsidR="00506AE6" w:rsidRDefault="0072598A">
            <w:pPr>
              <w:widowControl/>
              <w:adjustRightInd w:val="0"/>
              <w:snapToGrid w:val="0"/>
              <w:spacing w:line="240" w:lineRule="auto"/>
              <w:ind w:firstLineChars="0" w:firstLine="0"/>
              <w:jc w:val="center"/>
              <w:textAlignment w:val="center"/>
              <w:rPr>
                <w:rFonts w:ascii="宋体" w:hAnsi="宋体"/>
                <w:kern w:val="0"/>
                <w:szCs w:val="21"/>
              </w:rPr>
            </w:pPr>
            <w:r>
              <w:rPr>
                <w:rFonts w:ascii="宋体" w:hAnsi="宋体"/>
                <w:kern w:val="0"/>
                <w:szCs w:val="21"/>
              </w:rPr>
              <w:t>…</w:t>
            </w:r>
          </w:p>
        </w:tc>
        <w:tc>
          <w:tcPr>
            <w:tcW w:w="1579" w:type="dxa"/>
            <w:gridSpan w:val="2"/>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rFonts w:ascii="宋体" w:hAnsi="宋体"/>
                <w:kern w:val="0"/>
                <w:szCs w:val="21"/>
              </w:rPr>
            </w:pPr>
          </w:p>
        </w:tc>
        <w:tc>
          <w:tcPr>
            <w:tcW w:w="1276"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20" w:type="dxa"/>
            <w:tcBorders>
              <w:bottom w:val="single" w:sz="4" w:space="0" w:color="auto"/>
            </w:tcBorders>
            <w:vAlign w:val="center"/>
          </w:tcPr>
          <w:p w:rsidR="00506AE6" w:rsidRDefault="0072598A">
            <w:pPr>
              <w:adjustRightInd w:val="0"/>
              <w:snapToGrid w:val="0"/>
              <w:spacing w:line="240" w:lineRule="auto"/>
              <w:ind w:firstLineChars="0" w:firstLine="0"/>
              <w:jc w:val="center"/>
              <w:rPr>
                <w:szCs w:val="21"/>
              </w:rP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hint="eastAsia"/>
                      </w:rPr>
                      <m:t>燃烧</m:t>
                    </m:r>
                  </m:sub>
                </m:sSub>
                <m:r>
                  <m:rPr>
                    <m:sty m:val="p"/>
                  </m:rPr>
                  <w:rPr>
                    <w:rFonts w:ascii="Cambria Math" w:hAnsi="Cambria Math"/>
                  </w:rPr>
                  <m:t>=</m:t>
                </m:r>
                <m:nary>
                  <m:naryPr>
                    <m:chr m:val="∑"/>
                    <m:ctrlPr>
                      <w:rPr>
                        <w:rFonts w:ascii="Cambria Math" w:hAnsi="Cambria Math"/>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rPr>
                        </m:ctrlPr>
                      </m:dPr>
                      <m:e>
                        <m:r>
                          <m:rPr>
                            <m:sty m:val="p"/>
                          </m:rPr>
                          <w:rPr>
                            <w:rFonts w:ascii="Cambria Math" w:hAnsi="Cambria Math"/>
                          </w:rPr>
                          <m:t>F</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×NC</m:t>
                        </m:r>
                        <m:sSub>
                          <m:sSubPr>
                            <m:ctrlPr>
                              <w:rPr>
                                <w:rFonts w:ascii="Cambria Math" w:hAnsi="Cambria Math"/>
                                <w:iCs/>
                              </w:rPr>
                            </m:ctrlPr>
                          </m:sSubPr>
                          <m:e>
                            <m:r>
                              <m:rPr>
                                <m:sty m:val="p"/>
                              </m:rPr>
                              <w:rPr>
                                <w:rFonts w:ascii="Cambria Math" w:hAnsi="Cambria Math"/>
                              </w:rPr>
                              <m:t>V</m:t>
                            </m:r>
                          </m:e>
                          <m:sub>
                            <m:r>
                              <m:rPr>
                                <m:sty m:val="p"/>
                              </m:rPr>
                              <w:rPr>
                                <w:rFonts w:ascii="Cambria Math" w:hAnsi="Cambria Math"/>
                              </w:rPr>
                              <m:t>a</m:t>
                            </m:r>
                            <m:r>
                              <m:rPr>
                                <m:sty m:val="p"/>
                              </m:rPr>
                              <w:rPr>
                                <w:rFonts w:ascii="DejaVu Math TeX Gyre" w:hAnsi="DejaVu Math TeX Gyre" w:hint="eastAsia"/>
                              </w:rPr>
                              <m:t>r</m:t>
                            </m:r>
                            <m:r>
                              <m:rPr>
                                <m:sty m:val="p"/>
                              </m:rPr>
                              <w:rPr>
                                <w:rFonts w:ascii="Cambria Math" w:hAnsi="Cambria Math"/>
                              </w:rPr>
                              <m:t>,i</m:t>
                            </m:r>
                          </m:sub>
                        </m:sSub>
                        <m:r>
                          <m:rPr>
                            <m:sty m:val="p"/>
                          </m:rPr>
                          <w:rPr>
                            <w:rFonts w:ascii="Cambria Math" w:hAnsi="Cambria Math"/>
                          </w:rPr>
                          <m:t>×C</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i</m:t>
                            </m:r>
                          </m:sub>
                        </m:sSub>
                        <m:r>
                          <m:rPr>
                            <m:sty m:val="p"/>
                          </m:rPr>
                          <w:rPr>
                            <w:rFonts w:ascii="Cambria Math" w:hAnsi="Cambria Math"/>
                          </w:rPr>
                          <m:t>×O</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i</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44</m:t>
                            </m:r>
                          </m:num>
                          <m:den>
                            <m:r>
                              <m:rPr>
                                <m:sty m:val="p"/>
                              </m:rPr>
                              <w:rPr>
                                <w:rFonts w:ascii="Cambria Math" w:hAnsi="Cambria Math"/>
                              </w:rPr>
                              <m:t>12</m:t>
                            </m:r>
                          </m:den>
                        </m:f>
                      </m:e>
                    </m:d>
                  </m:e>
                </m:nary>
              </m:oMath>
            </m:oMathPara>
          </w:p>
        </w:tc>
        <w:tc>
          <w:tcPr>
            <w:tcW w:w="1579" w:type="dxa"/>
            <w:gridSpan w:val="2"/>
            <w:tcBorders>
              <w:bottom w:val="single" w:sz="4" w:space="0" w:color="auto"/>
            </w:tcBorders>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化石燃料燃烧排放</w:t>
            </w:r>
            <w:r>
              <w:rPr>
                <w:rFonts w:hint="eastAsia"/>
                <w:kern w:val="0"/>
                <w:szCs w:val="21"/>
              </w:rPr>
              <w:t>总</w:t>
            </w:r>
            <w:r>
              <w:rPr>
                <w:kern w:val="0"/>
                <w:szCs w:val="21"/>
              </w:rPr>
              <w:t>量</w:t>
            </w:r>
          </w:p>
        </w:tc>
        <w:tc>
          <w:tcPr>
            <w:tcW w:w="1276" w:type="dxa"/>
            <w:tcBorders>
              <w:bottom w:val="single" w:sz="4" w:space="0" w:color="auto"/>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t</w:t>
            </w:r>
            <w:r>
              <w:t>CO</w:t>
            </w:r>
            <w:r>
              <w:rPr>
                <w:vertAlign w:val="subscript"/>
              </w:rPr>
              <w:t>2</w:t>
            </w:r>
          </w:p>
        </w:tc>
        <w:tc>
          <w:tcPr>
            <w:tcW w:w="454" w:type="dxa"/>
            <w:tcBorders>
              <w:bottom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bottom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bottom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bottom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bottom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bottom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bottom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bottom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bottom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bottom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bottom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bottom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tcBorders>
              <w:bottom w:val="single" w:sz="4" w:space="0" w:color="auto"/>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（合计值）</w:t>
            </w:r>
          </w:p>
        </w:tc>
        <w:tc>
          <w:tcPr>
            <w:tcW w:w="850" w:type="dxa"/>
            <w:tcBorders>
              <w:bottom w:val="single" w:sz="4" w:space="0" w:color="auto"/>
            </w:tcBorders>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计算值</w:t>
            </w:r>
          </w:p>
        </w:tc>
        <w:tc>
          <w:tcPr>
            <w:tcW w:w="680" w:type="dxa"/>
            <w:tcBorders>
              <w:bottom w:val="single" w:sz="4" w:space="0" w:color="auto"/>
            </w:tcBorders>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tcBorders>
              <w:bottom w:val="single" w:sz="4" w:space="0" w:color="auto"/>
            </w:tcBorders>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90"/>
          <w:jc w:val="center"/>
        </w:trPr>
        <w:tc>
          <w:tcPr>
            <w:tcW w:w="1273" w:type="dxa"/>
            <w:vMerge w:val="restart"/>
            <w:tcBorders>
              <w:right w:val="single" w:sz="4" w:space="0" w:color="auto"/>
            </w:tcBorders>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szCs w:val="21"/>
              </w:rPr>
              <w:t>过程排放</w:t>
            </w:r>
          </w:p>
        </w:tc>
        <w:tc>
          <w:tcPr>
            <w:tcW w:w="2137" w:type="dxa"/>
            <w:gridSpan w:val="2"/>
            <w:tcBorders>
              <w:top w:val="single" w:sz="4" w:space="0" w:color="auto"/>
              <w:left w:val="single" w:sz="4" w:space="0" w:color="auto"/>
              <w:bottom w:val="single" w:sz="4" w:space="0" w:color="auto"/>
              <w:right w:val="single" w:sz="4" w:space="0" w:color="auto"/>
            </w:tcBorders>
            <w:vAlign w:val="center"/>
          </w:tcPr>
          <w:p w:rsidR="00506AE6" w:rsidRDefault="0072598A">
            <w:pPr>
              <w:adjustRightInd w:val="0"/>
              <w:snapToGrid w:val="0"/>
              <w:spacing w:line="240" w:lineRule="auto"/>
              <w:ind w:firstLineChars="0" w:firstLine="0"/>
              <w:jc w:val="center"/>
              <w:rPr>
                <w:i/>
                <w:szCs w:val="21"/>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ck</m:t>
                    </m:r>
                    <m:r>
                      <w:rPr>
                        <w:rFonts w:ascii="Cambria Math" w:hAnsi="Cambria Math"/>
                      </w:rPr>
                      <m:t>过程</m:t>
                    </m:r>
                    <m:r>
                      <w:rPr>
                        <w:rFonts w:ascii="Cambria Math" w:hAnsi="Cambria Math"/>
                      </w:rPr>
                      <m:t>,</m:t>
                    </m:r>
                    <m:r>
                      <w:rPr>
                        <w:rFonts w:ascii="Cambria Math" w:hAnsi="Cambria Math"/>
                      </w:rPr>
                      <m:t>j</m:t>
                    </m:r>
                  </m:sub>
                </m:sSub>
              </m:oMath>
            </m:oMathPara>
          </w:p>
        </w:tc>
        <w:tc>
          <w:tcPr>
            <w:tcW w:w="1562" w:type="dxa"/>
            <w:tcBorders>
              <w:top w:val="single" w:sz="4" w:space="0" w:color="auto"/>
              <w:left w:val="single" w:sz="4" w:space="0" w:color="auto"/>
              <w:bottom w:val="single" w:sz="4" w:space="0" w:color="auto"/>
              <w:right w:val="single" w:sz="4" w:space="0" w:color="auto"/>
            </w:tcBorders>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kern w:val="0"/>
                <w:szCs w:val="21"/>
              </w:rPr>
              <w:t>熟料生产</w:t>
            </w:r>
            <w:r>
              <w:rPr>
                <w:rFonts w:hint="eastAsia"/>
                <w:kern w:val="0"/>
                <w:szCs w:val="21"/>
              </w:rPr>
              <w:t>线</w:t>
            </w:r>
            <w:r>
              <w:rPr>
                <w:rFonts w:hint="eastAsia"/>
                <w:i/>
                <w:iCs/>
                <w:kern w:val="0"/>
                <w:szCs w:val="21"/>
              </w:rPr>
              <w:t>j</w:t>
            </w:r>
            <w:r>
              <w:rPr>
                <w:rFonts w:hint="eastAsia"/>
                <w:kern w:val="0"/>
                <w:szCs w:val="21"/>
              </w:rPr>
              <w:t>的</w:t>
            </w:r>
            <w:r>
              <w:rPr>
                <w:rFonts w:hint="eastAsia"/>
                <w:szCs w:val="21"/>
              </w:rPr>
              <w:t>过程</w:t>
            </w:r>
            <w:r>
              <w:rPr>
                <w:rFonts w:hint="eastAsia"/>
              </w:rPr>
              <w:t>排放量</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rFonts w:hint="eastAsia"/>
              </w:rPr>
              <w:t>t</w:t>
            </w:r>
            <w:r>
              <w:t>CO</w:t>
            </w:r>
            <w:r>
              <w:rPr>
                <w:vertAlign w:val="subscript"/>
              </w:rPr>
              <w:t>2</w:t>
            </w: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kern w:val="0"/>
                <w:szCs w:val="21"/>
              </w:rPr>
              <w:t>（合计值）</w:t>
            </w:r>
          </w:p>
        </w:tc>
        <w:tc>
          <w:tcPr>
            <w:tcW w:w="850" w:type="dxa"/>
            <w:tcBorders>
              <w:top w:val="single" w:sz="4" w:space="0" w:color="auto"/>
              <w:left w:val="single" w:sz="4" w:space="0" w:color="auto"/>
              <w:bottom w:val="single" w:sz="4" w:space="0" w:color="auto"/>
              <w:right w:val="single" w:sz="4" w:space="0" w:color="auto"/>
            </w:tcBorders>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计算值</w:t>
            </w:r>
          </w:p>
        </w:tc>
        <w:tc>
          <w:tcPr>
            <w:tcW w:w="680" w:type="dxa"/>
            <w:tcBorders>
              <w:top w:val="single" w:sz="4" w:space="0" w:color="auto"/>
              <w:left w:val="single" w:sz="4" w:space="0" w:color="auto"/>
              <w:bottom w:val="single" w:sz="4" w:space="0" w:color="auto"/>
              <w:right w:val="single" w:sz="4" w:space="0" w:color="auto"/>
            </w:tcBorders>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tcBorders>
              <w:top w:val="single" w:sz="4" w:space="0" w:color="auto"/>
              <w:left w:val="single" w:sz="4" w:space="0" w:color="auto"/>
              <w:bottom w:val="single" w:sz="4" w:space="0" w:color="auto"/>
              <w:right w:val="single" w:sz="4" w:space="0" w:color="auto"/>
            </w:tcBorders>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tcBorders>
              <w:right w:val="single" w:sz="4" w:space="0" w:color="auto"/>
            </w:tcBorders>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37" w:type="dxa"/>
            <w:gridSpan w:val="2"/>
            <w:tcBorders>
              <w:top w:val="single" w:sz="4" w:space="0" w:color="auto"/>
              <w:left w:val="single" w:sz="4" w:space="0" w:color="auto"/>
              <w:bottom w:val="single" w:sz="4" w:space="0" w:color="auto"/>
              <w:right w:val="single" w:sz="4" w:space="0" w:color="auto"/>
            </w:tcBorders>
            <w:vAlign w:val="center"/>
          </w:tcPr>
          <w:p w:rsidR="00506AE6" w:rsidRDefault="00506AE6">
            <w:pPr>
              <w:widowControl/>
              <w:adjustRightInd w:val="0"/>
              <w:snapToGrid w:val="0"/>
              <w:spacing w:line="240" w:lineRule="auto"/>
              <w:ind w:firstLineChars="0" w:firstLine="0"/>
              <w:jc w:val="center"/>
              <w:textAlignment w:val="center"/>
              <w:rPr>
                <w:rFonts w:ascii="宋体" w:hAnsi="宋体"/>
                <w:kern w:val="0"/>
                <w:szCs w:val="21"/>
              </w:rPr>
            </w:pPr>
          </w:p>
        </w:tc>
        <w:tc>
          <w:tcPr>
            <w:tcW w:w="1562" w:type="dxa"/>
            <w:tcBorders>
              <w:top w:val="single" w:sz="4" w:space="0" w:color="auto"/>
              <w:left w:val="single" w:sz="4" w:space="0" w:color="auto"/>
              <w:bottom w:val="single" w:sz="4" w:space="0" w:color="auto"/>
              <w:right w:val="single" w:sz="4" w:space="0" w:color="auto"/>
            </w:tcBorders>
            <w:vAlign w:val="center"/>
          </w:tcPr>
          <w:p w:rsidR="00506AE6" w:rsidRDefault="0072598A">
            <w:pPr>
              <w:widowControl/>
              <w:adjustRightInd w:val="0"/>
              <w:snapToGrid w:val="0"/>
              <w:spacing w:line="240" w:lineRule="auto"/>
              <w:ind w:firstLineChars="0" w:firstLine="0"/>
              <w:jc w:val="center"/>
              <w:textAlignment w:val="center"/>
              <w:rPr>
                <w:rFonts w:ascii="宋体" w:hAnsi="宋体"/>
                <w:kern w:val="0"/>
                <w:szCs w:val="21"/>
              </w:rPr>
            </w:pPr>
            <w:r>
              <w:rPr>
                <w:rFonts w:ascii="宋体" w:hAnsi="宋体"/>
                <w:kern w:val="0"/>
                <w:szCs w:val="21"/>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tcBorders>
              <w:top w:val="single" w:sz="4" w:space="0" w:color="auto"/>
              <w:left w:val="single" w:sz="4" w:space="0" w:color="auto"/>
              <w:bottom w:val="single" w:sz="4" w:space="0" w:color="auto"/>
              <w:right w:val="single" w:sz="4" w:space="0" w:color="auto"/>
            </w:tcBorders>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tcBorders>
              <w:top w:val="single" w:sz="4" w:space="0" w:color="auto"/>
              <w:left w:val="single" w:sz="4" w:space="0" w:color="auto"/>
              <w:bottom w:val="single" w:sz="4" w:space="0" w:color="auto"/>
              <w:right w:val="single" w:sz="4" w:space="0" w:color="auto"/>
            </w:tcBorders>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37" w:type="dxa"/>
            <w:gridSpan w:val="2"/>
            <w:tcBorders>
              <w:top w:val="single" w:sz="4" w:space="0" w:color="auto"/>
            </w:tcBorders>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过程</m:t>
                    </m:r>
                  </m:sub>
                </m:sSub>
                <m:r>
                  <m:rPr>
                    <m:nor/>
                  </m:rPr>
                  <w:rPr>
                    <w:rFonts w:ascii="Cambria Math" w:hAnsi="Cambria Math"/>
                    <w:iCs/>
                  </w:rPr>
                  <m:t>=</m:t>
                </m:r>
                <m:nary>
                  <m:naryPr>
                    <m:chr m:val="∑"/>
                    <m:limLoc m:val="subSup"/>
                    <m:ctrlPr>
                      <w:rPr>
                        <w:rFonts w:ascii="Cambria Math" w:hAnsi="Cambria Math"/>
                        <w:iCs/>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ck</m:t>
                        </m:r>
                        <m:r>
                          <m:rPr>
                            <m:sty m:val="p"/>
                          </m:rPr>
                          <w:rPr>
                            <w:rFonts w:ascii="Cambria Math" w:hAnsi="Cambria Math"/>
                          </w:rPr>
                          <m:t>过程</m:t>
                        </m:r>
                        <m:r>
                          <m:rPr>
                            <m:sty m:val="p"/>
                          </m:rPr>
                          <w:rPr>
                            <w:rFonts w:ascii="Cambria Math" w:hAnsi="Cambria Math"/>
                          </w:rPr>
                          <m:t>,j</m:t>
                        </m:r>
                      </m:sub>
                    </m:sSub>
                  </m:e>
                </m:nary>
              </m:oMath>
            </m:oMathPara>
          </w:p>
        </w:tc>
        <w:tc>
          <w:tcPr>
            <w:tcW w:w="1562" w:type="dxa"/>
            <w:tcBorders>
              <w:top w:val="single" w:sz="4" w:space="0" w:color="auto"/>
            </w:tcBorders>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过程排放</w:t>
            </w:r>
            <w:r>
              <w:rPr>
                <w:rFonts w:hint="eastAsia"/>
              </w:rPr>
              <w:t>总量</w:t>
            </w:r>
          </w:p>
        </w:tc>
        <w:tc>
          <w:tcPr>
            <w:tcW w:w="1276" w:type="dxa"/>
            <w:tcBorders>
              <w:top w:val="single" w:sz="4" w:space="0" w:color="auto"/>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t</w:t>
            </w:r>
            <w:r>
              <w:t>CO</w:t>
            </w:r>
            <w:r>
              <w:rPr>
                <w:vertAlign w:val="subscript"/>
              </w:rPr>
              <w:t>2</w:t>
            </w:r>
          </w:p>
        </w:tc>
        <w:tc>
          <w:tcPr>
            <w:tcW w:w="454" w:type="dxa"/>
            <w:tcBorders>
              <w:top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tcBorders>
              <w:top w:val="single" w:sz="4" w:space="0" w:color="auto"/>
            </w:tcBorders>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tcBorders>
              <w:top w:val="single" w:sz="4" w:space="0" w:color="auto"/>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tcBorders>
              <w:top w:val="single" w:sz="4" w:space="0" w:color="auto"/>
            </w:tcBorders>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计算值</w:t>
            </w:r>
          </w:p>
        </w:tc>
        <w:tc>
          <w:tcPr>
            <w:tcW w:w="680" w:type="dxa"/>
            <w:tcBorders>
              <w:top w:val="single" w:sz="4" w:space="0" w:color="auto"/>
            </w:tcBorders>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tcBorders>
              <w:top w:val="single" w:sz="4" w:space="0" w:color="auto"/>
            </w:tcBorders>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val="restart"/>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lastRenderedPageBreak/>
              <w:t>净购入使用电力</w:t>
            </w:r>
            <w:r>
              <w:rPr>
                <w:rFonts w:hint="eastAsia"/>
              </w:rPr>
              <w:t>产生</w:t>
            </w:r>
            <w:r>
              <w:rPr>
                <w:rFonts w:hint="eastAsia"/>
                <w:kern w:val="0"/>
                <w:szCs w:val="21"/>
              </w:rPr>
              <w:t>的排放</w:t>
            </w:r>
          </w:p>
        </w:tc>
        <w:tc>
          <w:tcPr>
            <w:tcW w:w="2137" w:type="dxa"/>
            <w:gridSpan w:val="2"/>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sSub>
                  <m:sSubPr>
                    <m:ctrlPr>
                      <w:rPr>
                        <w:rFonts w:ascii="Cambria Math" w:hAnsi="Cambria Math"/>
                      </w:rPr>
                    </m:ctrlPr>
                  </m:sSubPr>
                  <m:e>
                    <m:r>
                      <m:rPr>
                        <m:sty m:val="p"/>
                      </m:rPr>
                      <w:rPr>
                        <w:rFonts w:ascii="Cambria Math" w:hAnsi="Cambria Math"/>
                      </w:rPr>
                      <m:t>AD</m:t>
                    </m:r>
                  </m:e>
                  <m:sub>
                    <m:r>
                      <m:rPr>
                        <m:sty m:val="p"/>
                      </m:rPr>
                      <w:rPr>
                        <w:rFonts w:ascii="Cambria Math" w:hAnsi="Cambria Math" w:hint="eastAsia"/>
                      </w:rPr>
                      <m:t>电</m:t>
                    </m:r>
                  </m:sub>
                </m:sSub>
                <m:r>
                  <m:rPr>
                    <m:sty m:val="p"/>
                  </m:rPr>
                  <w:rPr>
                    <w:rFonts w:ascii="Cambria Math" w:hAnsi="Cambria Math"/>
                  </w:rPr>
                  <m:t>=</m:t>
                </m:r>
                <m:d>
                  <m:dPr>
                    <m:ctrlPr>
                      <w:rPr>
                        <w:rFonts w:ascii="Cambria Math" w:hAnsi="Cambria Math"/>
                      </w:rPr>
                    </m:ctrlPr>
                  </m:dPr>
                  <m:e>
                    <m:r>
                      <m:rPr>
                        <m:sty m:val="p"/>
                      </m:rPr>
                      <w:rPr>
                        <w:rFonts w:ascii="Cambria Math" w:hAnsi="Cambria Math"/>
                        <w:szCs w:val="21"/>
                      </w:rPr>
                      <m:t>A</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cs="宋体" w:hint="eastAsia"/>
                            <w:szCs w:val="21"/>
                          </w:rPr>
                          <m:t>购入电</m:t>
                        </m:r>
                      </m:sub>
                    </m:sSub>
                    <m:r>
                      <m:rPr>
                        <m:sty m:val="p"/>
                      </m:rPr>
                      <w:rPr>
                        <w:rFonts w:ascii="Cambria Math" w:hAnsi="Cambria Math"/>
                      </w:rPr>
                      <m:t>-</m:t>
                    </m:r>
                    <m:r>
                      <m:rPr>
                        <m:sty m:val="p"/>
                      </m:rPr>
                      <w:rPr>
                        <w:rFonts w:ascii="Cambria Math" w:hAnsi="Cambria Math"/>
                      </w:rPr>
                      <m:t>A</m:t>
                    </m:r>
                    <m:sSub>
                      <m:sSubPr>
                        <m:ctrlPr>
                          <w:rPr>
                            <w:rFonts w:ascii="Cambria Math" w:hAnsi="Cambria Math" w:hint="eastAsia"/>
                          </w:rPr>
                        </m:ctrlPr>
                      </m:sSubPr>
                      <m:e>
                        <m:r>
                          <m:rPr>
                            <m:sty m:val="p"/>
                          </m:rPr>
                          <w:rPr>
                            <w:rFonts w:ascii="Cambria Math" w:hAnsi="Cambria Math"/>
                          </w:rPr>
                          <m:t>D</m:t>
                        </m:r>
                      </m:e>
                      <m:sub>
                        <m:r>
                          <m:rPr>
                            <m:sty m:val="p"/>
                          </m:rPr>
                          <w:rPr>
                            <w:rFonts w:ascii="Cambria Math" w:hAnsi="Cambria Math" w:hint="eastAsia"/>
                          </w:rPr>
                          <m:t>购入电网非化石电</m:t>
                        </m:r>
                      </m:sub>
                    </m:sSub>
                  </m:e>
                </m:d>
                <m:r>
                  <m:rPr>
                    <m:sty m:val="p"/>
                  </m:rPr>
                  <w:rPr>
                    <w:rFonts w:ascii="Cambria Math" w:hAnsi="Cambria Math"/>
                  </w:rPr>
                  <m:t>-</m:t>
                </m:r>
                <m:d>
                  <m:dPr>
                    <m:ctrlPr>
                      <w:rPr>
                        <w:rFonts w:ascii="Cambria Math" w:hAnsi="Cambria Math"/>
                      </w:rPr>
                    </m:ctrlPr>
                  </m:dPr>
                  <m:e>
                    <m:r>
                      <m:rPr>
                        <m:sty m:val="p"/>
                      </m:rPr>
                      <w:rPr>
                        <w:rFonts w:ascii="Cambria Math" w:hAnsi="Cambria Math"/>
                        <w:szCs w:val="21"/>
                      </w:rPr>
                      <m:t>A</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cs="宋体" w:hint="eastAsia"/>
                            <w:szCs w:val="21"/>
                          </w:rPr>
                          <m:t>输出电</m:t>
                        </m:r>
                      </m:sub>
                    </m:sSub>
                    <m:r>
                      <m:rPr>
                        <m:sty m:val="p"/>
                      </m:rPr>
                      <w:rPr>
                        <w:rFonts w:ascii="Cambria Math" w:hAnsi="Cambria Math"/>
                      </w:rPr>
                      <m:t>-</m:t>
                    </m:r>
                    <m:r>
                      <m:rPr>
                        <m:sty m:val="p"/>
                      </m:rPr>
                      <w:rPr>
                        <w:rFonts w:ascii="Cambria Math" w:hAnsi="Cambria Math"/>
                      </w:rPr>
                      <m:t>A</m:t>
                    </m:r>
                    <m:sSub>
                      <m:sSubPr>
                        <m:ctrlPr>
                          <w:rPr>
                            <w:rFonts w:ascii="Cambria Math" w:hAnsi="Cambria Math" w:hint="eastAsia"/>
                          </w:rPr>
                        </m:ctrlPr>
                      </m:sSubPr>
                      <m:e>
                        <m:r>
                          <m:rPr>
                            <m:sty m:val="p"/>
                          </m:rPr>
                          <w:rPr>
                            <w:rFonts w:ascii="Cambria Math" w:hAnsi="Cambria Math"/>
                          </w:rPr>
                          <m:t>D</m:t>
                        </m:r>
                      </m:e>
                      <m:sub>
                        <m:r>
                          <m:rPr>
                            <m:sty m:val="p"/>
                          </m:rPr>
                          <w:rPr>
                            <w:rFonts w:ascii="Cambria Math" w:hAnsi="Cambria Math" w:hint="eastAsia"/>
                          </w:rPr>
                          <m:t>输出电网非</m:t>
                        </m:r>
                        <m:r>
                          <m:rPr>
                            <m:sty m:val="p"/>
                          </m:rPr>
                          <w:rPr>
                            <w:rFonts w:ascii="Cambria Math" w:hAnsi="Cambria Math" w:hint="eastAsia"/>
                            <w:szCs w:val="21"/>
                          </w:rPr>
                          <m:t>化石</m:t>
                        </m:r>
                        <m:r>
                          <m:rPr>
                            <m:sty m:val="p"/>
                          </m:rPr>
                          <w:rPr>
                            <w:rFonts w:ascii="Cambria Math" w:hAnsi="Cambria Math" w:hint="eastAsia"/>
                          </w:rPr>
                          <m:t>电</m:t>
                        </m:r>
                      </m:sub>
                    </m:sSub>
                  </m:e>
                </m:d>
              </m:oMath>
            </m:oMathPara>
          </w:p>
        </w:tc>
        <w:tc>
          <w:tcPr>
            <w:tcW w:w="1562"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szCs w:val="21"/>
              </w:rPr>
              <w:t>净购入使用电量</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szCs w:val="21"/>
              </w:rPr>
              <w:t>MW</w:t>
            </w:r>
            <w:r>
              <w:t>·</w:t>
            </w:r>
            <w:r>
              <w:rPr>
                <w:szCs w:val="21"/>
              </w:rPr>
              <w:t>h</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计算值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37" w:type="dxa"/>
            <w:gridSpan w:val="2"/>
            <w:vAlign w:val="center"/>
          </w:tcPr>
          <w:p w:rsidR="00506AE6" w:rsidRDefault="0072598A">
            <w:pPr>
              <w:adjustRightInd w:val="0"/>
              <w:snapToGrid w:val="0"/>
              <w:spacing w:line="240" w:lineRule="auto"/>
              <w:ind w:firstLineChars="0" w:firstLine="0"/>
              <w:jc w:val="center"/>
            </w:pPr>
            <m:oMathPara>
              <m:oMath>
                <m:r>
                  <m:rPr>
                    <m:sty m:val="p"/>
                  </m:rPr>
                  <w:rPr>
                    <w:rFonts w:ascii="Cambria Math" w:hAnsi="Cambria Math"/>
                    <w:szCs w:val="21"/>
                  </w:rPr>
                  <m:t>A</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cs="宋体" w:hint="eastAsia"/>
                        <w:szCs w:val="21"/>
                      </w:rPr>
                      <m:t>购入电</m:t>
                    </m:r>
                  </m:sub>
                </m:sSub>
              </m:oMath>
            </m:oMathPara>
          </w:p>
        </w:tc>
        <w:tc>
          <w:tcPr>
            <w:tcW w:w="1562" w:type="dxa"/>
            <w:vAlign w:val="center"/>
          </w:tcPr>
          <w:p w:rsidR="00506AE6" w:rsidRDefault="0072598A">
            <w:pPr>
              <w:widowControl/>
              <w:adjustRightInd w:val="0"/>
              <w:snapToGrid w:val="0"/>
              <w:spacing w:line="240" w:lineRule="auto"/>
              <w:ind w:firstLineChars="0" w:firstLine="0"/>
              <w:jc w:val="center"/>
              <w:textAlignment w:val="center"/>
            </w:pPr>
            <w:r>
              <w:rPr>
                <w:rFonts w:hint="eastAsia"/>
                <w:szCs w:val="21"/>
              </w:rPr>
              <w:t>购入总</w:t>
            </w:r>
            <w:r>
              <w:rPr>
                <w:rFonts w:hint="eastAsia"/>
              </w:rPr>
              <w:t>电量</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szCs w:val="21"/>
              </w:rPr>
            </w:pPr>
            <w:r>
              <w:rPr>
                <w:szCs w:val="21"/>
              </w:rPr>
              <w:t>MW</w:t>
            </w:r>
            <w:r>
              <w:t>·</w:t>
            </w:r>
            <w:r>
              <w:rPr>
                <w:szCs w:val="21"/>
              </w:rPr>
              <w:t>h</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37" w:type="dxa"/>
            <w:gridSpan w:val="2"/>
            <w:vAlign w:val="center"/>
          </w:tcPr>
          <w:p w:rsidR="00506AE6" w:rsidRDefault="0072598A">
            <w:pPr>
              <w:adjustRightInd w:val="0"/>
              <w:snapToGrid w:val="0"/>
              <w:spacing w:line="240" w:lineRule="auto"/>
              <w:ind w:firstLineChars="0" w:firstLine="0"/>
              <w:jc w:val="center"/>
            </w:pPr>
            <m:oMathPara>
              <m:oMathParaPr>
                <m:jc m:val="left"/>
              </m:oMathParaPr>
              <m:oMath>
                <m:r>
                  <m:rPr>
                    <m:sty m:val="p"/>
                  </m:rPr>
                  <w:rPr>
                    <w:rFonts w:ascii="Cambria Math" w:hAnsi="Cambria Math"/>
                  </w:rPr>
                  <m:t>A</m:t>
                </m:r>
                <m:sSub>
                  <m:sSubPr>
                    <m:ctrlPr>
                      <w:rPr>
                        <w:rFonts w:ascii="Cambria Math" w:hAnsi="Cambria Math" w:hint="eastAsia"/>
                      </w:rPr>
                    </m:ctrlPr>
                  </m:sSubPr>
                  <m:e>
                    <m:r>
                      <m:rPr>
                        <m:sty m:val="p"/>
                      </m:rPr>
                      <w:rPr>
                        <w:rFonts w:ascii="Cambria Math" w:hAnsi="Cambria Math"/>
                      </w:rPr>
                      <m:t>D</m:t>
                    </m:r>
                  </m:e>
                  <m:sub>
                    <m:r>
                      <m:rPr>
                        <m:sty m:val="p"/>
                      </m:rPr>
                      <w:rPr>
                        <w:rFonts w:ascii="Cambria Math" w:hAnsi="Cambria Math" w:hint="eastAsia"/>
                      </w:rPr>
                      <m:t>购入电网非化石电</m:t>
                    </m:r>
                  </m:sub>
                </m:sSub>
              </m:oMath>
            </m:oMathPara>
          </w:p>
        </w:tc>
        <w:tc>
          <w:tcPr>
            <w:tcW w:w="1562" w:type="dxa"/>
            <w:vAlign w:val="center"/>
          </w:tcPr>
          <w:p w:rsidR="00506AE6" w:rsidRDefault="0072598A">
            <w:pPr>
              <w:widowControl/>
              <w:adjustRightInd w:val="0"/>
              <w:snapToGrid w:val="0"/>
              <w:spacing w:line="240" w:lineRule="auto"/>
              <w:ind w:firstLineChars="0" w:firstLine="0"/>
              <w:jc w:val="center"/>
              <w:textAlignment w:val="center"/>
            </w:pPr>
            <w:r>
              <w:rPr>
                <w:rFonts w:hint="eastAsia"/>
                <w:szCs w:val="21"/>
              </w:rPr>
              <w:t>通过市场化交易购入使用的非化石能源电力消费量</w:t>
            </w:r>
          </w:p>
        </w:tc>
        <w:tc>
          <w:tcPr>
            <w:tcW w:w="1276"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szCs w:val="21"/>
              </w:rPr>
              <w:t>MW</w:t>
            </w:r>
            <w:r>
              <w:t>·</w:t>
            </w:r>
            <w:r>
              <w:rPr>
                <w:szCs w:val="21"/>
              </w:rPr>
              <w:t>h</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37" w:type="dxa"/>
            <w:gridSpan w:val="2"/>
            <w:vAlign w:val="center"/>
          </w:tcPr>
          <w:p w:rsidR="00506AE6" w:rsidRDefault="0072598A">
            <w:pPr>
              <w:adjustRightInd w:val="0"/>
              <w:snapToGrid w:val="0"/>
              <w:spacing w:line="240" w:lineRule="auto"/>
              <w:ind w:firstLineChars="0" w:firstLine="0"/>
              <w:jc w:val="center"/>
            </w:pPr>
            <m:oMathPara>
              <m:oMathParaPr>
                <m:jc m:val="left"/>
              </m:oMathParaPr>
              <m:oMath>
                <m:r>
                  <m:rPr>
                    <m:sty m:val="p"/>
                  </m:rPr>
                  <w:rPr>
                    <w:rFonts w:ascii="Cambria Math" w:hAnsi="Cambria Math"/>
                    <w:szCs w:val="21"/>
                  </w:rPr>
                  <m:t>A</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cs="宋体" w:hint="eastAsia"/>
                        <w:szCs w:val="21"/>
                      </w:rPr>
                      <m:t>输出电</m:t>
                    </m:r>
                  </m:sub>
                </m:sSub>
              </m:oMath>
            </m:oMathPara>
          </w:p>
        </w:tc>
        <w:tc>
          <w:tcPr>
            <w:tcW w:w="1562" w:type="dxa"/>
            <w:vAlign w:val="center"/>
          </w:tcPr>
          <w:p w:rsidR="00506AE6" w:rsidRDefault="0072598A">
            <w:pPr>
              <w:widowControl/>
              <w:adjustRightInd w:val="0"/>
              <w:snapToGrid w:val="0"/>
              <w:spacing w:line="240" w:lineRule="auto"/>
              <w:ind w:firstLineChars="0" w:firstLine="0"/>
              <w:jc w:val="center"/>
              <w:textAlignment w:val="center"/>
            </w:pPr>
            <w:r>
              <w:rPr>
                <w:rFonts w:hint="eastAsia"/>
                <w:szCs w:val="21"/>
              </w:rPr>
              <w:t>转供输出总电量</w:t>
            </w:r>
          </w:p>
        </w:tc>
        <w:tc>
          <w:tcPr>
            <w:tcW w:w="1276"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szCs w:val="21"/>
              </w:rPr>
              <w:t>MW</w:t>
            </w:r>
            <w:r>
              <w:t>·</w:t>
            </w:r>
            <w:r>
              <w:rPr>
                <w:szCs w:val="21"/>
              </w:rPr>
              <w:t>h</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37" w:type="dxa"/>
            <w:gridSpan w:val="2"/>
            <w:vAlign w:val="center"/>
          </w:tcPr>
          <w:p w:rsidR="00506AE6" w:rsidRDefault="0072598A">
            <w:pPr>
              <w:adjustRightInd w:val="0"/>
              <w:snapToGrid w:val="0"/>
              <w:spacing w:line="240" w:lineRule="auto"/>
              <w:ind w:firstLineChars="0" w:firstLine="0"/>
              <w:jc w:val="center"/>
            </w:pPr>
            <m:oMathPara>
              <m:oMathParaPr>
                <m:jc m:val="left"/>
              </m:oMathParaPr>
              <m:oMath>
                <m:r>
                  <m:rPr>
                    <m:sty m:val="p"/>
                  </m:rPr>
                  <w:rPr>
                    <w:rFonts w:ascii="Cambria Math" w:hAnsi="Cambria Math"/>
                  </w:rPr>
                  <m:t>A</m:t>
                </m:r>
                <m:sSub>
                  <m:sSubPr>
                    <m:ctrlPr>
                      <w:rPr>
                        <w:rFonts w:ascii="Cambria Math" w:hAnsi="Cambria Math" w:hint="eastAsia"/>
                      </w:rPr>
                    </m:ctrlPr>
                  </m:sSubPr>
                  <m:e>
                    <m:r>
                      <m:rPr>
                        <m:sty m:val="p"/>
                      </m:rPr>
                      <w:rPr>
                        <w:rFonts w:ascii="Cambria Math" w:hAnsi="Cambria Math"/>
                      </w:rPr>
                      <m:t>D</m:t>
                    </m:r>
                  </m:e>
                  <m:sub>
                    <m:r>
                      <m:rPr>
                        <m:sty m:val="p"/>
                      </m:rPr>
                      <w:rPr>
                        <w:rFonts w:ascii="Cambria Math" w:hAnsi="Cambria Math" w:hint="eastAsia"/>
                      </w:rPr>
                      <m:t>输出电网非</m:t>
                    </m:r>
                    <m:r>
                      <m:rPr>
                        <m:sty m:val="p"/>
                      </m:rPr>
                      <w:rPr>
                        <w:rFonts w:ascii="Cambria Math" w:hAnsi="Cambria Math" w:hint="eastAsia"/>
                        <w:szCs w:val="21"/>
                      </w:rPr>
                      <m:t>化石</m:t>
                    </m:r>
                    <m:r>
                      <m:rPr>
                        <m:sty m:val="p"/>
                      </m:rPr>
                      <w:rPr>
                        <w:rFonts w:ascii="Cambria Math" w:hAnsi="Cambria Math" w:hint="eastAsia"/>
                      </w:rPr>
                      <m:t>电</m:t>
                    </m:r>
                  </m:sub>
                </m:sSub>
              </m:oMath>
            </m:oMathPara>
          </w:p>
        </w:tc>
        <w:tc>
          <w:tcPr>
            <w:tcW w:w="1562" w:type="dxa"/>
            <w:vAlign w:val="center"/>
          </w:tcPr>
          <w:p w:rsidR="00506AE6" w:rsidRDefault="0072598A">
            <w:pPr>
              <w:widowControl/>
              <w:adjustRightInd w:val="0"/>
              <w:snapToGrid w:val="0"/>
              <w:spacing w:line="240" w:lineRule="auto"/>
              <w:ind w:firstLineChars="0" w:firstLine="0"/>
              <w:jc w:val="center"/>
              <w:textAlignment w:val="center"/>
            </w:pPr>
            <w:r>
              <w:rPr>
                <w:rFonts w:hint="eastAsia"/>
                <w:szCs w:val="21"/>
              </w:rPr>
              <w:t>转供输出通过市场化交易购入使用的非化石能源电力消费量</w:t>
            </w:r>
          </w:p>
        </w:tc>
        <w:tc>
          <w:tcPr>
            <w:tcW w:w="1276" w:type="dxa"/>
            <w:shd w:val="clear" w:color="auto" w:fill="auto"/>
            <w:noWrap/>
            <w:vAlign w:val="center"/>
          </w:tcPr>
          <w:p w:rsidR="00506AE6" w:rsidRDefault="0072598A">
            <w:pPr>
              <w:adjustRightInd w:val="0"/>
              <w:snapToGrid w:val="0"/>
              <w:spacing w:line="240" w:lineRule="auto"/>
              <w:ind w:firstLineChars="0" w:firstLine="0"/>
              <w:jc w:val="center"/>
              <w:rPr>
                <w:szCs w:val="21"/>
              </w:rPr>
            </w:pPr>
            <w:r>
              <w:rPr>
                <w:szCs w:val="21"/>
              </w:rPr>
              <w:t>MW</w:t>
            </w:r>
            <w:r>
              <w:t>·</w:t>
            </w:r>
            <w:r>
              <w:rPr>
                <w:szCs w:val="21"/>
              </w:rPr>
              <w:t>h</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37" w:type="dxa"/>
            <w:gridSpan w:val="2"/>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r>
                  <m:rPr>
                    <m:sty m:val="p"/>
                  </m:rPr>
                  <w:rPr>
                    <w:rFonts w:ascii="Cambria Math" w:hAnsi="Cambria Math"/>
                  </w:rPr>
                  <m:t>E</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电</m:t>
                    </m:r>
                  </m:sub>
                </m:sSub>
              </m:oMath>
            </m:oMathPara>
          </w:p>
        </w:tc>
        <w:tc>
          <w:tcPr>
            <w:tcW w:w="1562"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电力排放因子</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t</w:t>
            </w:r>
            <w:r>
              <w:t>CO</w:t>
            </w:r>
            <w:r>
              <w:rPr>
                <w:vertAlign w:val="subscript"/>
              </w:rPr>
              <w:t>2</w:t>
            </w:r>
            <w:r>
              <w:rPr>
                <w:kern w:val="0"/>
                <w:szCs w:val="21"/>
              </w:rPr>
              <w:t>/MW·h</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缺省值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37" w:type="dxa"/>
            <w:gridSpan w:val="2"/>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电</m:t>
                    </m:r>
                  </m:sub>
                </m:sSub>
                <m:r>
                  <m:rPr>
                    <m:sty m:val="p"/>
                  </m:rPr>
                  <w:rPr>
                    <w:rFonts w:ascii="Cambria Math" w:hAnsi="Cambria Math"/>
                  </w:rPr>
                  <m:t>=A</m:t>
                </m:r>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电</m:t>
                    </m:r>
                  </m:sub>
                </m:sSub>
                <m:r>
                  <m:rPr>
                    <m:sty m:val="p"/>
                  </m:rPr>
                  <w:rPr>
                    <w:rFonts w:ascii="Cambria Math" w:hAnsi="Cambria Math"/>
                  </w:rPr>
                  <m:t>×E</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电</m:t>
                    </m:r>
                  </m:sub>
                </m:sSub>
              </m:oMath>
            </m:oMathPara>
          </w:p>
        </w:tc>
        <w:tc>
          <w:tcPr>
            <w:tcW w:w="1562"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净购入使用电力产生的排放量</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t</w:t>
            </w:r>
            <w:r>
              <w:t>CO</w:t>
            </w:r>
            <w:r>
              <w:rPr>
                <w:vertAlign w:val="subscript"/>
              </w:rPr>
              <w:t>2</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计算值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val="restart"/>
            <w:shd w:val="clear" w:color="auto" w:fill="auto"/>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净购入使用热力产生的排放</w:t>
            </w:r>
          </w:p>
        </w:tc>
        <w:tc>
          <w:tcPr>
            <w:tcW w:w="2137" w:type="dxa"/>
            <w:gridSpan w:val="2"/>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sSub>
                  <m:sSubPr>
                    <m:ctrlPr>
                      <w:rPr>
                        <w:rFonts w:ascii="Cambria Math" w:hAnsi="Cambria Math"/>
                      </w:rPr>
                    </m:ctrlPr>
                  </m:sSubPr>
                  <m:e>
                    <m:r>
                      <m:rPr>
                        <m:sty m:val="p"/>
                      </m:rPr>
                      <w:rPr>
                        <w:rFonts w:ascii="Cambria Math" w:hAnsi="Cambria Math"/>
                      </w:rPr>
                      <m:t>AD</m:t>
                    </m:r>
                  </m:e>
                  <m:sub>
                    <m:r>
                      <m:rPr>
                        <m:sty m:val="p"/>
                      </m:rPr>
                      <w:rPr>
                        <w:rFonts w:ascii="Cambria Math" w:hAnsi="Cambria Math" w:hint="eastAsia"/>
                      </w:rPr>
                      <m:t>热</m:t>
                    </m:r>
                  </m:sub>
                </m:sSub>
                <m:r>
                  <m:rPr>
                    <m:sty m:val="p"/>
                  </m:rPr>
                  <w:rPr>
                    <w:rFonts w:ascii="Cambria Math" w:hAnsi="Cambria Math"/>
                  </w:rPr>
                  <m:t>=</m:t>
                </m:r>
                <m:r>
                  <m:rPr>
                    <m:sty m:val="p"/>
                  </m:rPr>
                  <w:rPr>
                    <w:rFonts w:ascii="Cambria Math" w:hAnsi="Cambria Math"/>
                    <w:szCs w:val="21"/>
                  </w:rPr>
                  <m:t>A</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cs="宋体" w:hint="eastAsia"/>
                        <w:szCs w:val="21"/>
                      </w:rPr>
                      <m:t>购入热</m:t>
                    </m:r>
                  </m:sub>
                </m:sSub>
                <m:r>
                  <m:rPr>
                    <m:sty m:val="p"/>
                  </m:rPr>
                  <w:rPr>
                    <w:rFonts w:ascii="Cambria Math" w:hAnsi="Cambria Math"/>
                    <w:szCs w:val="21"/>
                  </w:rPr>
                  <m:t>-</m:t>
                </m:r>
                <m:r>
                  <m:rPr>
                    <m:sty m:val="p"/>
                  </m:rPr>
                  <w:rPr>
                    <w:rFonts w:ascii="Cambria Math" w:hAnsi="Cambria Math"/>
                    <w:szCs w:val="21"/>
                  </w:rPr>
                  <m:t>A</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cs="宋体" w:hint="eastAsia"/>
                        <w:szCs w:val="21"/>
                      </w:rPr>
                      <m:t>输出热</m:t>
                    </m:r>
                  </m:sub>
                </m:sSub>
              </m:oMath>
            </m:oMathPara>
          </w:p>
        </w:tc>
        <w:tc>
          <w:tcPr>
            <w:tcW w:w="1562"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净购入使用热</w:t>
            </w:r>
            <w:r>
              <w:rPr>
                <w:rFonts w:hint="eastAsia"/>
              </w:rPr>
              <w:t>量</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G</w:t>
            </w:r>
            <w:r>
              <w:rPr>
                <w:kern w:val="0"/>
                <w:szCs w:val="21"/>
              </w:rPr>
              <w:t>J</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计算值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37" w:type="dxa"/>
            <w:gridSpan w:val="2"/>
            <w:vAlign w:val="center"/>
          </w:tcPr>
          <w:p w:rsidR="00506AE6" w:rsidRDefault="0072598A">
            <w:pPr>
              <w:adjustRightInd w:val="0"/>
              <w:snapToGrid w:val="0"/>
              <w:spacing w:line="240" w:lineRule="auto"/>
              <w:ind w:firstLineChars="0" w:firstLine="0"/>
              <w:jc w:val="center"/>
            </w:pPr>
            <m:oMathPara>
              <m:oMathParaPr>
                <m:jc m:val="left"/>
              </m:oMathParaPr>
              <m:oMath>
                <m:r>
                  <m:rPr>
                    <m:sty m:val="p"/>
                  </m:rPr>
                  <w:rPr>
                    <w:rFonts w:ascii="Cambria Math" w:hAnsi="Cambria Math"/>
                    <w:szCs w:val="21"/>
                  </w:rPr>
                  <m:t>A</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hint="eastAsia"/>
                      </w:rPr>
                      <m:t>购入</m:t>
                    </m:r>
                    <m:r>
                      <m:rPr>
                        <m:sty m:val="p"/>
                      </m:rPr>
                      <w:rPr>
                        <w:rFonts w:ascii="Cambria Math" w:hAnsi="Cambria Math" w:cs="宋体" w:hint="eastAsia"/>
                        <w:szCs w:val="21"/>
                      </w:rPr>
                      <m:t>热</m:t>
                    </m:r>
                  </m:sub>
                </m:sSub>
              </m:oMath>
            </m:oMathPara>
          </w:p>
        </w:tc>
        <w:tc>
          <w:tcPr>
            <w:tcW w:w="1562" w:type="dxa"/>
            <w:vAlign w:val="center"/>
          </w:tcPr>
          <w:p w:rsidR="00506AE6" w:rsidRDefault="0072598A">
            <w:pPr>
              <w:widowControl/>
              <w:adjustRightInd w:val="0"/>
              <w:snapToGrid w:val="0"/>
              <w:spacing w:line="240" w:lineRule="auto"/>
              <w:ind w:firstLineChars="0" w:firstLine="0"/>
              <w:jc w:val="center"/>
              <w:textAlignment w:val="center"/>
            </w:pPr>
            <w:r>
              <w:rPr>
                <w:rFonts w:hint="eastAsia"/>
              </w:rPr>
              <w:t>购入总热量</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G</w:t>
            </w:r>
            <w:r>
              <w:rPr>
                <w:kern w:val="0"/>
                <w:szCs w:val="21"/>
              </w:rPr>
              <w:t>J</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37" w:type="dxa"/>
            <w:gridSpan w:val="2"/>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r>
                  <m:rPr>
                    <m:sty m:val="p"/>
                  </m:rPr>
                  <w:rPr>
                    <w:rFonts w:ascii="Cambria Math" w:hAnsi="Cambria Math"/>
                    <w:szCs w:val="21"/>
                  </w:rPr>
                  <m:t>A</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hint="eastAsia"/>
                      </w:rPr>
                      <m:t>输出</m:t>
                    </m:r>
                    <m:r>
                      <m:rPr>
                        <m:sty m:val="p"/>
                      </m:rPr>
                      <w:rPr>
                        <w:rFonts w:ascii="Cambria Math" w:hAnsi="Cambria Math" w:cs="宋体" w:hint="eastAsia"/>
                        <w:szCs w:val="21"/>
                      </w:rPr>
                      <m:t>热</m:t>
                    </m:r>
                  </m:sub>
                </m:sSub>
              </m:oMath>
            </m:oMathPara>
          </w:p>
        </w:tc>
        <w:tc>
          <w:tcPr>
            <w:tcW w:w="1562"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输出总热量</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G</w:t>
            </w:r>
            <w:r>
              <w:rPr>
                <w:kern w:val="0"/>
                <w:szCs w:val="21"/>
              </w:rPr>
              <w:t>J</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37" w:type="dxa"/>
            <w:gridSpan w:val="2"/>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r>
                  <m:rPr>
                    <m:sty m:val="p"/>
                  </m:rPr>
                  <w:rPr>
                    <w:rFonts w:ascii="Cambria Math" w:hAnsi="Cambria Math"/>
                  </w:rPr>
                  <m:t>E</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热</m:t>
                    </m:r>
                  </m:sub>
                </m:sSub>
              </m:oMath>
            </m:oMathPara>
          </w:p>
        </w:tc>
        <w:tc>
          <w:tcPr>
            <w:tcW w:w="1562"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热力排放因子</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t</w:t>
            </w:r>
            <w:r>
              <w:t>CO</w:t>
            </w:r>
            <w:r>
              <w:rPr>
                <w:vertAlign w:val="subscript"/>
              </w:rPr>
              <w:t>2</w:t>
            </w:r>
            <w:r>
              <w:rPr>
                <w:kern w:val="0"/>
                <w:szCs w:val="21"/>
              </w:rPr>
              <w:t>/GJ</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缺省值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2137" w:type="dxa"/>
            <w:gridSpan w:val="2"/>
            <w:vAlign w:val="center"/>
          </w:tcPr>
          <w:p w:rsidR="00506AE6" w:rsidRDefault="0072598A">
            <w:pPr>
              <w:adjustRightInd w:val="0"/>
              <w:snapToGrid w:val="0"/>
              <w:spacing w:line="240" w:lineRule="auto"/>
              <w:ind w:firstLineChars="0" w:firstLine="0"/>
              <w:jc w:val="center"/>
              <w:rPr>
                <w:kern w:val="0"/>
                <w:szCs w:val="21"/>
              </w:rP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热</m:t>
                    </m:r>
                  </m:sub>
                </m:sSub>
                <m:r>
                  <m:rPr>
                    <m:sty m:val="p"/>
                  </m:rPr>
                  <w:rPr>
                    <w:rFonts w:ascii="Cambria Math" w:hAnsi="Cambria Math"/>
                  </w:rPr>
                  <m:t>=A</m:t>
                </m:r>
                <m:sSub>
                  <m:sSubPr>
                    <m:ctrlPr>
                      <w:rPr>
                        <w:rFonts w:ascii="Cambria Math" w:hAnsi="Cambria Math"/>
                        <w:iCs/>
                      </w:rPr>
                    </m:ctrlPr>
                  </m:sSubPr>
                  <m:e>
                    <m:r>
                      <m:rPr>
                        <m:sty m:val="p"/>
                      </m:rPr>
                      <w:rPr>
                        <w:rFonts w:ascii="Cambria Math" w:hAnsi="Cambria Math"/>
                      </w:rPr>
                      <m:t>D</m:t>
                    </m:r>
                  </m:e>
                  <m:sub>
                    <m:r>
                      <m:rPr>
                        <m:sty m:val="p"/>
                      </m:rPr>
                      <w:rPr>
                        <w:rFonts w:ascii="Cambria Math" w:hAnsi="Cambria Math"/>
                      </w:rPr>
                      <m:t>热</m:t>
                    </m:r>
                  </m:sub>
                </m:sSub>
                <m:r>
                  <m:rPr>
                    <m:sty m:val="p"/>
                  </m:rPr>
                  <w:rPr>
                    <w:rFonts w:ascii="Cambria Math" w:hAnsi="Cambria Math"/>
                  </w:rPr>
                  <m:t>×E</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热</m:t>
                    </m:r>
                  </m:sub>
                </m:sSub>
              </m:oMath>
            </m:oMathPara>
          </w:p>
        </w:tc>
        <w:tc>
          <w:tcPr>
            <w:tcW w:w="1562" w:type="dxa"/>
            <w:vAlign w:val="center"/>
          </w:tcPr>
          <w:p w:rsidR="00506AE6" w:rsidRDefault="0072598A">
            <w:pPr>
              <w:widowControl/>
              <w:adjustRightInd w:val="0"/>
              <w:snapToGrid w:val="0"/>
              <w:spacing w:line="240" w:lineRule="auto"/>
              <w:ind w:firstLineChars="0" w:firstLine="0"/>
              <w:jc w:val="center"/>
              <w:textAlignment w:val="center"/>
              <w:rPr>
                <w:spacing w:val="-11"/>
                <w:kern w:val="0"/>
                <w:szCs w:val="21"/>
              </w:rPr>
            </w:pPr>
            <w:r>
              <w:rPr>
                <w:rFonts w:hint="eastAsia"/>
                <w:spacing w:val="-11"/>
              </w:rPr>
              <w:t>净购入使用热力</w:t>
            </w:r>
            <w:r>
              <w:rPr>
                <w:rFonts w:hint="eastAsia"/>
                <w:spacing w:val="-11"/>
              </w:rPr>
              <w:lastRenderedPageBreak/>
              <w:t>产生的排放量</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lastRenderedPageBreak/>
              <w:t>t</w:t>
            </w:r>
            <w:r>
              <w:t>CO</w:t>
            </w:r>
            <w:r>
              <w:rPr>
                <w:vertAlign w:val="subscript"/>
              </w:rPr>
              <w:t>2</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计算值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val="restart"/>
            <w:shd w:val="clear" w:color="auto" w:fill="auto"/>
            <w:vAlign w:val="center"/>
          </w:tcPr>
          <w:p w:rsidR="00506AE6" w:rsidRDefault="0072598A">
            <w:pPr>
              <w:adjustRightInd w:val="0"/>
              <w:snapToGrid w:val="0"/>
              <w:spacing w:line="240" w:lineRule="auto"/>
              <w:ind w:firstLineChars="0" w:firstLine="0"/>
              <w:jc w:val="center"/>
            </w:pPr>
            <w:r>
              <w:rPr>
                <w:rFonts w:hint="eastAsia"/>
              </w:rPr>
              <w:lastRenderedPageBreak/>
              <w:t>企业层级</w:t>
            </w:r>
          </w:p>
        </w:tc>
        <w:tc>
          <w:tcPr>
            <w:tcW w:w="2137" w:type="dxa"/>
            <w:gridSpan w:val="2"/>
            <w:shd w:val="clear" w:color="auto" w:fill="auto"/>
            <w:vAlign w:val="center"/>
          </w:tcPr>
          <w:p w:rsidR="00506AE6" w:rsidRDefault="0072598A">
            <w:pPr>
              <w:adjustRightInd w:val="0"/>
              <w:snapToGrid w:val="0"/>
              <w:spacing w:line="240" w:lineRule="auto"/>
              <w:ind w:firstLineChars="0" w:firstLine="0"/>
              <w:jc w:val="center"/>
            </w:pPr>
            <w:r>
              <w:rPr>
                <w:rFonts w:hint="eastAsia"/>
              </w:rPr>
              <w:t>—</w:t>
            </w:r>
          </w:p>
        </w:tc>
        <w:tc>
          <w:tcPr>
            <w:tcW w:w="1562" w:type="dxa"/>
            <w:shd w:val="clear" w:color="auto" w:fill="auto"/>
            <w:vAlign w:val="center"/>
          </w:tcPr>
          <w:p w:rsidR="00506AE6" w:rsidRDefault="0072598A">
            <w:pPr>
              <w:widowControl/>
              <w:adjustRightInd w:val="0"/>
              <w:snapToGrid w:val="0"/>
              <w:spacing w:line="240" w:lineRule="auto"/>
              <w:ind w:firstLineChars="0" w:firstLine="0"/>
              <w:jc w:val="center"/>
              <w:textAlignment w:val="center"/>
            </w:pPr>
            <w:r>
              <w:rPr>
                <w:rFonts w:hint="eastAsia"/>
              </w:rPr>
              <w:t>自备电厂排放量</w:t>
            </w:r>
            <w:r>
              <w:rPr>
                <w:szCs w:val="21"/>
                <w:vertAlign w:val="superscript"/>
              </w:rPr>
              <w:t>*4</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t</w:t>
            </w:r>
            <w:r>
              <w:rPr>
                <w:kern w:val="0"/>
                <w:szCs w:val="21"/>
              </w:rPr>
              <w:t>CO</w:t>
            </w:r>
            <w:r>
              <w:rPr>
                <w:kern w:val="0"/>
                <w:szCs w:val="21"/>
                <w:vertAlign w:val="subscript"/>
              </w:rPr>
              <w:t>2</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adjustRightInd w:val="0"/>
              <w:snapToGrid w:val="0"/>
              <w:spacing w:line="240" w:lineRule="auto"/>
              <w:ind w:firstLineChars="0" w:firstLine="0"/>
              <w:jc w:val="center"/>
            </w:pPr>
          </w:p>
        </w:tc>
        <w:tc>
          <w:tcPr>
            <w:tcW w:w="2137" w:type="dxa"/>
            <w:gridSpan w:val="2"/>
            <w:shd w:val="clear" w:color="auto" w:fill="auto"/>
            <w:vAlign w:val="center"/>
          </w:tcPr>
          <w:p w:rsidR="00506AE6" w:rsidRDefault="0072598A">
            <w:pPr>
              <w:adjustRightInd w:val="0"/>
              <w:snapToGrid w:val="0"/>
              <w:spacing w:line="240" w:lineRule="auto"/>
              <w:ind w:firstLineChars="0" w:firstLine="0"/>
              <w:jc w:val="cente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企业层级</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燃烧</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过程</m:t>
                    </m:r>
                  </m:sub>
                </m:sSub>
              </m:oMath>
            </m:oMathPara>
          </w:p>
        </w:tc>
        <w:tc>
          <w:tcPr>
            <w:tcW w:w="1562" w:type="dxa"/>
            <w:shd w:val="clear" w:color="auto" w:fill="auto"/>
            <w:vAlign w:val="center"/>
          </w:tcPr>
          <w:p w:rsidR="00506AE6" w:rsidRDefault="0072598A">
            <w:pPr>
              <w:widowControl/>
              <w:adjustRightInd w:val="0"/>
              <w:snapToGrid w:val="0"/>
              <w:spacing w:line="240" w:lineRule="auto"/>
              <w:ind w:firstLineChars="0" w:firstLine="0"/>
              <w:jc w:val="center"/>
              <w:textAlignment w:val="center"/>
            </w:pPr>
            <w:r>
              <w:rPr>
                <w:rFonts w:hint="eastAsia"/>
              </w:rPr>
              <w:t>碳排放总量（不包括净购入使用电力和热力产生的排放）</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t</w:t>
            </w:r>
            <w:r>
              <w:t>CO</w:t>
            </w:r>
            <w:r>
              <w:rPr>
                <w:vertAlign w:val="subscript"/>
              </w:rPr>
              <w:t>2</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计算值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r w:rsidR="00506AE6">
        <w:trPr>
          <w:trHeight w:val="283"/>
          <w:jc w:val="center"/>
        </w:trPr>
        <w:tc>
          <w:tcPr>
            <w:tcW w:w="1273" w:type="dxa"/>
            <w:vMerge/>
            <w:shd w:val="clear" w:color="auto" w:fill="auto"/>
            <w:vAlign w:val="center"/>
          </w:tcPr>
          <w:p w:rsidR="00506AE6" w:rsidRDefault="00506AE6">
            <w:pPr>
              <w:adjustRightInd w:val="0"/>
              <w:snapToGrid w:val="0"/>
              <w:spacing w:line="240" w:lineRule="auto"/>
              <w:ind w:firstLineChars="0" w:firstLine="0"/>
              <w:jc w:val="center"/>
            </w:pPr>
          </w:p>
        </w:tc>
        <w:tc>
          <w:tcPr>
            <w:tcW w:w="2137" w:type="dxa"/>
            <w:gridSpan w:val="2"/>
            <w:shd w:val="clear" w:color="auto" w:fill="auto"/>
            <w:vAlign w:val="center"/>
          </w:tcPr>
          <w:p w:rsidR="00506AE6" w:rsidRDefault="0072598A">
            <w:pPr>
              <w:adjustRightInd w:val="0"/>
              <w:snapToGrid w:val="0"/>
              <w:spacing w:line="240" w:lineRule="auto"/>
              <w:ind w:firstLineChars="0" w:firstLine="0"/>
              <w:jc w:val="center"/>
            </w:pPr>
            <m:oMathPara>
              <m:oMathParaPr>
                <m:jc m:val="left"/>
              </m:oMathParaP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企业层级</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燃烧</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过程</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电</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热</m:t>
                    </m:r>
                  </m:sub>
                </m:sSub>
              </m:oMath>
            </m:oMathPara>
          </w:p>
        </w:tc>
        <w:tc>
          <w:tcPr>
            <w:tcW w:w="1562" w:type="dxa"/>
            <w:shd w:val="clear" w:color="auto" w:fill="auto"/>
            <w:vAlign w:val="center"/>
          </w:tcPr>
          <w:p w:rsidR="00506AE6" w:rsidRDefault="0072598A">
            <w:pPr>
              <w:widowControl/>
              <w:adjustRightInd w:val="0"/>
              <w:snapToGrid w:val="0"/>
              <w:spacing w:line="240" w:lineRule="auto"/>
              <w:ind w:firstLineChars="0" w:firstLine="0"/>
              <w:jc w:val="center"/>
              <w:textAlignment w:val="center"/>
            </w:pPr>
            <w:r>
              <w:rPr>
                <w:rFonts w:hint="eastAsia"/>
              </w:rPr>
              <w:t>碳排放总量（包括净购入使用电力和热力产生的排放）</w:t>
            </w:r>
          </w:p>
        </w:tc>
        <w:tc>
          <w:tcPr>
            <w:tcW w:w="1276"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rPr>
              <w:t>t</w:t>
            </w:r>
            <w:r>
              <w:t>CO</w:t>
            </w:r>
            <w:r>
              <w:rPr>
                <w:vertAlign w:val="subscript"/>
              </w:rPr>
              <w:t>2</w:t>
            </w: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454" w:type="dxa"/>
            <w:shd w:val="clear" w:color="auto" w:fill="auto"/>
            <w:noWrap/>
            <w:vAlign w:val="center"/>
          </w:tcPr>
          <w:p w:rsidR="00506AE6" w:rsidRDefault="00506AE6">
            <w:pPr>
              <w:adjustRightInd w:val="0"/>
              <w:snapToGrid w:val="0"/>
              <w:spacing w:line="240" w:lineRule="auto"/>
              <w:ind w:firstLineChars="0" w:firstLine="0"/>
              <w:jc w:val="center"/>
              <w:rPr>
                <w:szCs w:val="21"/>
              </w:rPr>
            </w:pPr>
          </w:p>
        </w:tc>
        <w:tc>
          <w:tcPr>
            <w:tcW w:w="1304" w:type="dxa"/>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kern w:val="0"/>
                <w:szCs w:val="21"/>
              </w:rPr>
              <w:t>（合计值）</w:t>
            </w:r>
          </w:p>
        </w:tc>
        <w:tc>
          <w:tcPr>
            <w:tcW w:w="850" w:type="dxa"/>
            <w:vAlign w:val="center"/>
          </w:tcPr>
          <w:p w:rsidR="00506AE6" w:rsidRDefault="0072598A">
            <w:pPr>
              <w:widowControl/>
              <w:adjustRightInd w:val="0"/>
              <w:snapToGrid w:val="0"/>
              <w:spacing w:line="240" w:lineRule="auto"/>
              <w:ind w:firstLineChars="0" w:firstLine="0"/>
              <w:jc w:val="center"/>
              <w:textAlignment w:val="center"/>
              <w:rPr>
                <w:kern w:val="0"/>
                <w:szCs w:val="21"/>
              </w:rPr>
            </w:pPr>
            <w:r>
              <w:rPr>
                <w:rFonts w:hint="eastAsia"/>
                <w:kern w:val="0"/>
                <w:szCs w:val="21"/>
              </w:rPr>
              <w:t>计算值</w:t>
            </w: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c>
          <w:tcPr>
            <w:tcW w:w="680" w:type="dxa"/>
            <w:vAlign w:val="center"/>
          </w:tcPr>
          <w:p w:rsidR="00506AE6" w:rsidRDefault="00506AE6">
            <w:pPr>
              <w:widowControl/>
              <w:adjustRightInd w:val="0"/>
              <w:snapToGrid w:val="0"/>
              <w:spacing w:line="240" w:lineRule="auto"/>
              <w:ind w:firstLineChars="0" w:firstLine="0"/>
              <w:jc w:val="center"/>
              <w:textAlignment w:val="center"/>
              <w:rPr>
                <w:kern w:val="0"/>
                <w:szCs w:val="21"/>
              </w:rPr>
            </w:pPr>
          </w:p>
        </w:tc>
      </w:tr>
    </w:tbl>
    <w:p w:rsidR="00506AE6" w:rsidRDefault="0072598A">
      <w:pPr>
        <w:widowControl/>
        <w:ind w:left="180" w:hangingChars="100" w:hanging="180"/>
        <w:jc w:val="left"/>
        <w:rPr>
          <w:sz w:val="18"/>
          <w:szCs w:val="18"/>
        </w:rPr>
      </w:pPr>
      <w:r>
        <w:rPr>
          <w:rFonts w:hint="eastAsia"/>
          <w:sz w:val="18"/>
          <w:szCs w:val="18"/>
        </w:rPr>
        <w:t>填报说明：</w:t>
      </w:r>
    </w:p>
    <w:p w:rsidR="00506AE6" w:rsidRDefault="0072598A">
      <w:pPr>
        <w:widowControl/>
        <w:ind w:left="180" w:hangingChars="100" w:hanging="180"/>
        <w:jc w:val="left"/>
        <w:rPr>
          <w:kern w:val="0"/>
          <w:sz w:val="18"/>
          <w:szCs w:val="18"/>
        </w:rPr>
      </w:pPr>
      <w:r>
        <w:rPr>
          <w:kern w:val="0"/>
          <w:sz w:val="18"/>
          <w:szCs w:val="18"/>
          <w:vertAlign w:val="superscript"/>
        </w:rPr>
        <w:t>*1</w:t>
      </w:r>
      <w:r>
        <w:rPr>
          <w:rFonts w:hint="eastAsia"/>
          <w:kern w:val="0"/>
          <w:sz w:val="18"/>
          <w:szCs w:val="18"/>
        </w:rPr>
        <w:t>企业层级数据项按企业层级核算边界填报，无需分生产线填报。数据项参数</w:t>
      </w:r>
      <w:r>
        <w:rPr>
          <w:kern w:val="0"/>
          <w:sz w:val="18"/>
          <w:szCs w:val="18"/>
        </w:rPr>
        <w:t>按四舍五入保留小数位如下：</w:t>
      </w:r>
    </w:p>
    <w:p w:rsidR="00506AE6" w:rsidRDefault="0072598A">
      <w:pPr>
        <w:pStyle w:val="a5"/>
        <w:numPr>
          <w:ilvl w:val="0"/>
          <w:numId w:val="36"/>
        </w:numPr>
        <w:adjustRightInd w:val="0"/>
        <w:rPr>
          <w:sz w:val="18"/>
          <w:szCs w:val="18"/>
        </w:rPr>
      </w:pPr>
      <w:r>
        <w:rPr>
          <w:rFonts w:hint="eastAsia"/>
          <w:sz w:val="18"/>
          <w:szCs w:val="18"/>
        </w:rPr>
        <w:t>化石燃料消耗量保留到小数点后两位；</w:t>
      </w:r>
    </w:p>
    <w:p w:rsidR="00506AE6" w:rsidRDefault="0072598A">
      <w:pPr>
        <w:pStyle w:val="a5"/>
        <w:numPr>
          <w:ilvl w:val="0"/>
          <w:numId w:val="36"/>
        </w:numPr>
        <w:adjustRightInd w:val="0"/>
        <w:rPr>
          <w:sz w:val="18"/>
          <w:szCs w:val="18"/>
        </w:rPr>
      </w:pPr>
      <w:r>
        <w:rPr>
          <w:rFonts w:hint="eastAsia"/>
          <w:sz w:val="18"/>
          <w:szCs w:val="18"/>
        </w:rPr>
        <w:t>收到基低位发热量保留到小数点后三位；</w:t>
      </w:r>
    </w:p>
    <w:p w:rsidR="00506AE6" w:rsidRDefault="0072598A">
      <w:pPr>
        <w:pStyle w:val="a5"/>
        <w:numPr>
          <w:ilvl w:val="0"/>
          <w:numId w:val="36"/>
        </w:numPr>
        <w:adjustRightInd w:val="0"/>
        <w:rPr>
          <w:sz w:val="18"/>
          <w:szCs w:val="18"/>
        </w:rPr>
      </w:pPr>
      <w:r>
        <w:rPr>
          <w:rFonts w:hint="eastAsia"/>
          <w:sz w:val="18"/>
          <w:szCs w:val="18"/>
        </w:rPr>
        <w:t>单位热值含碳量保留到小数点后五位；</w:t>
      </w:r>
    </w:p>
    <w:p w:rsidR="00506AE6" w:rsidRDefault="0072598A">
      <w:pPr>
        <w:pStyle w:val="a5"/>
        <w:numPr>
          <w:ilvl w:val="0"/>
          <w:numId w:val="36"/>
        </w:numPr>
        <w:adjustRightInd w:val="0"/>
        <w:rPr>
          <w:sz w:val="18"/>
          <w:szCs w:val="18"/>
        </w:rPr>
      </w:pPr>
      <w:r>
        <w:rPr>
          <w:rFonts w:hint="eastAsia"/>
          <w:sz w:val="18"/>
          <w:szCs w:val="18"/>
        </w:rPr>
        <w:t>各类电量保留到小数点后三位；</w:t>
      </w:r>
    </w:p>
    <w:p w:rsidR="00506AE6" w:rsidRDefault="0072598A">
      <w:pPr>
        <w:pStyle w:val="a5"/>
        <w:numPr>
          <w:ilvl w:val="0"/>
          <w:numId w:val="36"/>
        </w:numPr>
        <w:adjustRightInd w:val="0"/>
        <w:rPr>
          <w:sz w:val="18"/>
          <w:szCs w:val="18"/>
        </w:rPr>
      </w:pPr>
      <w:r>
        <w:rPr>
          <w:rFonts w:hint="eastAsia"/>
          <w:sz w:val="18"/>
          <w:szCs w:val="18"/>
        </w:rPr>
        <w:t>各类热量保留到小数点后两位；</w:t>
      </w:r>
    </w:p>
    <w:p w:rsidR="00506AE6" w:rsidRDefault="0072598A">
      <w:pPr>
        <w:pStyle w:val="a5"/>
        <w:numPr>
          <w:ilvl w:val="0"/>
          <w:numId w:val="36"/>
        </w:numPr>
        <w:adjustRightInd w:val="0"/>
        <w:rPr>
          <w:sz w:val="18"/>
          <w:szCs w:val="18"/>
        </w:rPr>
      </w:pPr>
      <w:r>
        <w:rPr>
          <w:rFonts w:hint="eastAsia"/>
          <w:sz w:val="18"/>
          <w:szCs w:val="18"/>
        </w:rPr>
        <w:t>除自备电厂排放量和碳排放总量保留到整数位外，其他各类排放量保留到小数点后两位。</w:t>
      </w:r>
    </w:p>
    <w:p w:rsidR="00506AE6" w:rsidRDefault="0072598A">
      <w:pPr>
        <w:pStyle w:val="affb"/>
        <w:ind w:left="180" w:hangingChars="100" w:hanging="180"/>
        <w:jc w:val="both"/>
        <w:rPr>
          <w:rFonts w:ascii="Times New Roman"/>
        </w:rPr>
      </w:pPr>
      <w:r>
        <w:rPr>
          <w:rFonts w:ascii="Times New Roman"/>
          <w:vertAlign w:val="superscript"/>
        </w:rPr>
        <w:t>*2</w:t>
      </w:r>
      <w:r>
        <w:rPr>
          <w:rFonts w:hint="eastAsia"/>
        </w:rPr>
        <w:t>填写具体的化石燃料名称。</w:t>
      </w:r>
      <w:r>
        <w:rPr>
          <w:rFonts w:ascii="Times New Roman" w:hint="eastAsia"/>
        </w:rPr>
        <w:t>若消耗的化石燃料多于</w:t>
      </w:r>
      <w:r>
        <w:rPr>
          <w:rFonts w:ascii="Times New Roman" w:hint="eastAsia"/>
        </w:rPr>
        <w:t>1</w:t>
      </w:r>
      <w:r>
        <w:rPr>
          <w:rFonts w:ascii="Times New Roman" w:hint="eastAsia"/>
        </w:rPr>
        <w:t>种，应分别填报。</w:t>
      </w:r>
    </w:p>
    <w:p w:rsidR="00506AE6" w:rsidRDefault="0072598A">
      <w:pPr>
        <w:tabs>
          <w:tab w:val="center" w:pos="4201"/>
          <w:tab w:val="right" w:leader="dot" w:pos="9298"/>
        </w:tabs>
        <w:autoSpaceDE w:val="0"/>
        <w:autoSpaceDN w:val="0"/>
        <w:ind w:left="180" w:hangingChars="100" w:hanging="180"/>
        <w:rPr>
          <w:sz w:val="18"/>
          <w:szCs w:val="18"/>
        </w:rPr>
      </w:pPr>
      <w:r>
        <w:rPr>
          <w:sz w:val="18"/>
          <w:szCs w:val="18"/>
          <w:vertAlign w:val="superscript"/>
        </w:rPr>
        <w:t>*3</w:t>
      </w:r>
      <w:r>
        <w:rPr>
          <w:rFonts w:hint="eastAsia"/>
          <w:sz w:val="18"/>
          <w:szCs w:val="18"/>
        </w:rPr>
        <w:t>若生产水泥熟料以外的其他产品也存在过程排放，应分别填写具体的产品名称，并分别填报相应的过程排放量。</w:t>
      </w:r>
    </w:p>
    <w:p w:rsidR="00506AE6" w:rsidRDefault="0072598A">
      <w:pPr>
        <w:tabs>
          <w:tab w:val="center" w:pos="4201"/>
          <w:tab w:val="right" w:leader="dot" w:pos="9298"/>
        </w:tabs>
        <w:autoSpaceDE w:val="0"/>
        <w:autoSpaceDN w:val="0"/>
        <w:ind w:left="180" w:hangingChars="100" w:hanging="180"/>
        <w:rPr>
          <w:sz w:val="18"/>
          <w:szCs w:val="18"/>
        </w:rPr>
      </w:pPr>
      <w:r>
        <w:rPr>
          <w:kern w:val="0"/>
          <w:sz w:val="18"/>
          <w:szCs w:val="18"/>
          <w:vertAlign w:val="superscript"/>
        </w:rPr>
        <w:t>*4</w:t>
      </w:r>
      <w:r>
        <w:rPr>
          <w:rFonts w:hint="eastAsia"/>
          <w:kern w:val="0"/>
          <w:sz w:val="18"/>
          <w:szCs w:val="18"/>
        </w:rPr>
        <w:t>依据《企业温室气体排放核算与报告指南</w:t>
      </w:r>
      <w:r>
        <w:rPr>
          <w:rFonts w:hint="eastAsia"/>
          <w:kern w:val="0"/>
          <w:sz w:val="18"/>
          <w:szCs w:val="18"/>
        </w:rPr>
        <w:t xml:space="preserve"> </w:t>
      </w:r>
      <w:r>
        <w:rPr>
          <w:rFonts w:hint="eastAsia"/>
          <w:kern w:val="0"/>
          <w:sz w:val="18"/>
          <w:szCs w:val="18"/>
        </w:rPr>
        <w:t>发电设施》中的核算方法标准进行核算；对于已完成年度发电行业碳排放核查的自备电厂，应直接引用经核查的碳排放量。</w:t>
      </w:r>
    </w:p>
    <w:p w:rsidR="00506AE6" w:rsidRDefault="00506AE6">
      <w:pPr>
        <w:tabs>
          <w:tab w:val="center" w:pos="4201"/>
          <w:tab w:val="right" w:leader="dot" w:pos="9298"/>
        </w:tabs>
        <w:autoSpaceDE w:val="0"/>
        <w:autoSpaceDN w:val="0"/>
        <w:ind w:firstLine="360"/>
        <w:rPr>
          <w:sz w:val="18"/>
          <w:szCs w:val="18"/>
        </w:rPr>
        <w:sectPr w:rsidR="00506AE6">
          <w:pgSz w:w="16838" w:h="11906" w:orient="landscape"/>
          <w:pgMar w:top="1616" w:right="1814" w:bottom="1616" w:left="1985" w:header="851" w:footer="850" w:gutter="0"/>
          <w:cols w:space="720"/>
          <w:docGrid w:type="lines" w:linePitch="312"/>
        </w:sectPr>
      </w:pPr>
    </w:p>
    <w:p w:rsidR="00506AE6" w:rsidRDefault="0072598A">
      <w:pPr>
        <w:pStyle w:val="afffffe"/>
        <w:spacing w:before="156" w:after="156"/>
        <w:jc w:val="center"/>
        <w:outlineLvl w:val="1"/>
        <w:rPr>
          <w:rFonts w:ascii="Times New Roman"/>
        </w:rPr>
      </w:pPr>
      <w:r>
        <w:rPr>
          <w:rFonts w:ascii="Times New Roman" w:hint="eastAsia"/>
        </w:rPr>
        <w:lastRenderedPageBreak/>
        <w:t>附表</w:t>
      </w:r>
      <w:r>
        <w:rPr>
          <w:rFonts w:ascii="Times New Roman" w:hint="eastAsia"/>
        </w:rPr>
        <w:t xml:space="preserve">E.9  </w:t>
      </w:r>
      <w:r>
        <w:rPr>
          <w:rFonts w:ascii="Times New Roman" w:hint="eastAsia"/>
        </w:rPr>
        <w:t>其他信息</w:t>
      </w:r>
    </w:p>
    <w:tbl>
      <w:tblPr>
        <w:tblStyle w:val="afff"/>
        <w:tblW w:w="5000" w:type="pct"/>
        <w:tblLook w:val="04A0" w:firstRow="1" w:lastRow="0" w:firstColumn="1" w:lastColumn="0" w:noHBand="0" w:noVBand="1"/>
      </w:tblPr>
      <w:tblGrid>
        <w:gridCol w:w="2277"/>
        <w:gridCol w:w="2277"/>
        <w:gridCol w:w="2277"/>
        <w:gridCol w:w="2280"/>
        <w:gridCol w:w="2272"/>
        <w:gridCol w:w="2269"/>
      </w:tblGrid>
      <w:tr w:rsidR="00506AE6">
        <w:trPr>
          <w:trHeight w:val="340"/>
        </w:trPr>
        <w:tc>
          <w:tcPr>
            <w:tcW w:w="5000" w:type="pct"/>
            <w:gridSpan w:val="6"/>
            <w:shd w:val="clear" w:color="auto" w:fill="F1F1F1"/>
            <w:vAlign w:val="center"/>
          </w:tcPr>
          <w:p w:rsidR="00506AE6" w:rsidRDefault="0072598A">
            <w:pPr>
              <w:pStyle w:val="affa"/>
              <w:adjustRightInd w:val="0"/>
              <w:snapToGrid w:val="0"/>
              <w:ind w:firstLineChars="0" w:firstLine="0"/>
              <w:jc w:val="left"/>
              <w:rPr>
                <w:rFonts w:ascii="宋体"/>
                <w:color w:val="000000"/>
                <w:szCs w:val="21"/>
              </w:rPr>
            </w:pPr>
            <w:r>
              <w:rPr>
                <w:rFonts w:ascii="宋体" w:hint="eastAsia"/>
                <w:color w:val="000000"/>
                <w:szCs w:val="21"/>
              </w:rPr>
              <w:t>企业通过市场化交易购入使用非化石能源电力消费</w:t>
            </w:r>
            <w:r>
              <w:rPr>
                <w:rFonts w:ascii="宋体" w:hint="eastAsia"/>
                <w:szCs w:val="21"/>
              </w:rPr>
              <w:t>量</w:t>
            </w:r>
            <w:r>
              <w:rPr>
                <w:color w:val="000000"/>
                <w:szCs w:val="21"/>
                <w:vertAlign w:val="superscript"/>
              </w:rPr>
              <w:t>*1</w:t>
            </w:r>
          </w:p>
        </w:tc>
      </w:tr>
      <w:tr w:rsidR="00506AE6">
        <w:tc>
          <w:tcPr>
            <w:tcW w:w="834" w:type="pct"/>
            <w:vAlign w:val="center"/>
          </w:tcPr>
          <w:p w:rsidR="00506AE6" w:rsidRDefault="0072598A">
            <w:pPr>
              <w:pStyle w:val="affa"/>
              <w:adjustRightInd w:val="0"/>
              <w:snapToGrid w:val="0"/>
              <w:ind w:firstLineChars="0" w:firstLine="0"/>
              <w:jc w:val="center"/>
              <w:rPr>
                <w:rFonts w:ascii="宋体"/>
                <w:color w:val="000000"/>
                <w:szCs w:val="21"/>
              </w:rPr>
            </w:pPr>
            <w:r>
              <w:rPr>
                <w:rFonts w:ascii="宋体" w:hint="eastAsia"/>
                <w:color w:val="000000"/>
                <w:szCs w:val="21"/>
              </w:rPr>
              <w:t>序号</w:t>
            </w:r>
          </w:p>
        </w:tc>
        <w:tc>
          <w:tcPr>
            <w:tcW w:w="834" w:type="pct"/>
            <w:vAlign w:val="center"/>
          </w:tcPr>
          <w:p w:rsidR="00506AE6" w:rsidRDefault="0072598A">
            <w:pPr>
              <w:pStyle w:val="affa"/>
              <w:adjustRightInd w:val="0"/>
              <w:snapToGrid w:val="0"/>
              <w:ind w:firstLineChars="0" w:firstLine="0"/>
              <w:jc w:val="center"/>
              <w:rPr>
                <w:rFonts w:ascii="宋体"/>
                <w:szCs w:val="21"/>
              </w:rPr>
            </w:pPr>
            <w:r>
              <w:rPr>
                <w:rFonts w:ascii="宋体" w:hint="eastAsia"/>
                <w:szCs w:val="21"/>
              </w:rPr>
              <w:t>项目名称</w:t>
            </w:r>
            <w:r>
              <w:rPr>
                <w:color w:val="000000"/>
                <w:szCs w:val="21"/>
                <w:vertAlign w:val="superscript"/>
              </w:rPr>
              <w:t>*2</w:t>
            </w:r>
          </w:p>
        </w:tc>
        <w:tc>
          <w:tcPr>
            <w:tcW w:w="834" w:type="pct"/>
            <w:vAlign w:val="center"/>
          </w:tcPr>
          <w:p w:rsidR="00506AE6" w:rsidRDefault="0072598A">
            <w:pPr>
              <w:pStyle w:val="affa"/>
              <w:adjustRightInd w:val="0"/>
              <w:snapToGrid w:val="0"/>
              <w:ind w:firstLineChars="0" w:firstLine="0"/>
              <w:jc w:val="center"/>
              <w:rPr>
                <w:rFonts w:ascii="宋体"/>
                <w:szCs w:val="21"/>
              </w:rPr>
            </w:pPr>
            <w:r>
              <w:rPr>
                <w:rFonts w:ascii="宋体" w:hint="eastAsia"/>
                <w:szCs w:val="21"/>
              </w:rPr>
              <w:t>项目代码</w:t>
            </w:r>
          </w:p>
        </w:tc>
        <w:tc>
          <w:tcPr>
            <w:tcW w:w="835" w:type="pct"/>
            <w:tcBorders>
              <w:right w:val="single" w:sz="4" w:space="0" w:color="auto"/>
            </w:tcBorders>
            <w:vAlign w:val="center"/>
          </w:tcPr>
          <w:p w:rsidR="00506AE6" w:rsidRDefault="0072598A">
            <w:pPr>
              <w:pStyle w:val="affa"/>
              <w:adjustRightInd w:val="0"/>
              <w:snapToGrid w:val="0"/>
              <w:ind w:firstLineChars="0" w:firstLine="0"/>
              <w:jc w:val="center"/>
              <w:rPr>
                <w:rFonts w:ascii="宋体"/>
                <w:szCs w:val="21"/>
              </w:rPr>
            </w:pPr>
            <w:r>
              <w:rPr>
                <w:rFonts w:ascii="宋体" w:hint="eastAsia"/>
                <w:szCs w:val="21"/>
              </w:rPr>
              <w:t>项目类型</w:t>
            </w:r>
          </w:p>
        </w:tc>
        <w:tc>
          <w:tcPr>
            <w:tcW w:w="832" w:type="pct"/>
            <w:tcBorders>
              <w:left w:val="single" w:sz="4" w:space="0" w:color="auto"/>
            </w:tcBorders>
            <w:vAlign w:val="center"/>
          </w:tcPr>
          <w:p w:rsidR="00506AE6" w:rsidRDefault="0072598A">
            <w:pPr>
              <w:pStyle w:val="affa"/>
              <w:adjustRightInd w:val="0"/>
              <w:snapToGrid w:val="0"/>
              <w:ind w:firstLineChars="0" w:firstLine="0"/>
              <w:jc w:val="center"/>
              <w:rPr>
                <w:rFonts w:ascii="宋体"/>
                <w:szCs w:val="21"/>
              </w:rPr>
            </w:pPr>
            <w:r>
              <w:rPr>
                <w:rFonts w:ascii="宋体" w:hint="eastAsia"/>
                <w:szCs w:val="21"/>
              </w:rPr>
              <w:t>项目所在地</w:t>
            </w:r>
          </w:p>
        </w:tc>
        <w:tc>
          <w:tcPr>
            <w:tcW w:w="831" w:type="pct"/>
            <w:tcBorders>
              <w:left w:val="single" w:sz="4" w:space="0" w:color="auto"/>
            </w:tcBorders>
          </w:tcPr>
          <w:p w:rsidR="00506AE6" w:rsidRDefault="0072598A">
            <w:pPr>
              <w:pStyle w:val="affa"/>
              <w:adjustRightInd w:val="0"/>
              <w:snapToGrid w:val="0"/>
              <w:ind w:firstLineChars="0" w:firstLine="0"/>
              <w:jc w:val="center"/>
              <w:rPr>
                <w:rFonts w:ascii="宋体"/>
                <w:szCs w:val="21"/>
              </w:rPr>
            </w:pPr>
            <w:r>
              <w:rPr>
                <w:rFonts w:ascii="宋体" w:hint="eastAsia"/>
                <w:szCs w:val="21"/>
              </w:rPr>
              <w:t>电量生产日期</w:t>
            </w:r>
          </w:p>
        </w:tc>
      </w:tr>
      <w:tr w:rsidR="00506AE6">
        <w:tc>
          <w:tcPr>
            <w:tcW w:w="834" w:type="pct"/>
            <w:vAlign w:val="center"/>
          </w:tcPr>
          <w:p w:rsidR="00506AE6" w:rsidRDefault="0072598A">
            <w:pPr>
              <w:pStyle w:val="affa"/>
              <w:adjustRightInd w:val="0"/>
              <w:snapToGrid w:val="0"/>
              <w:ind w:firstLineChars="0" w:firstLine="0"/>
              <w:jc w:val="center"/>
              <w:rPr>
                <w:color w:val="000000"/>
              </w:rPr>
            </w:pPr>
            <w:r>
              <w:rPr>
                <w:color w:val="000000"/>
                <w:szCs w:val="21"/>
              </w:rPr>
              <w:t>1</w:t>
            </w:r>
          </w:p>
        </w:tc>
        <w:tc>
          <w:tcPr>
            <w:tcW w:w="834" w:type="pct"/>
            <w:vAlign w:val="center"/>
          </w:tcPr>
          <w:p w:rsidR="00506AE6" w:rsidRDefault="00506AE6">
            <w:pPr>
              <w:pStyle w:val="affa"/>
              <w:adjustRightInd w:val="0"/>
              <w:snapToGrid w:val="0"/>
              <w:ind w:firstLineChars="0" w:firstLine="0"/>
              <w:jc w:val="center"/>
              <w:rPr>
                <w:rFonts w:ascii="宋体"/>
                <w:szCs w:val="21"/>
              </w:rPr>
            </w:pPr>
          </w:p>
        </w:tc>
        <w:tc>
          <w:tcPr>
            <w:tcW w:w="834" w:type="pct"/>
            <w:vAlign w:val="center"/>
          </w:tcPr>
          <w:p w:rsidR="00506AE6" w:rsidRDefault="00506AE6">
            <w:pPr>
              <w:pStyle w:val="affa"/>
              <w:adjustRightInd w:val="0"/>
              <w:snapToGrid w:val="0"/>
              <w:ind w:firstLineChars="0" w:firstLine="0"/>
              <w:jc w:val="center"/>
              <w:rPr>
                <w:rFonts w:ascii="宋体"/>
                <w:szCs w:val="21"/>
              </w:rPr>
            </w:pPr>
          </w:p>
        </w:tc>
        <w:tc>
          <w:tcPr>
            <w:tcW w:w="835" w:type="pct"/>
            <w:tcBorders>
              <w:right w:val="single" w:sz="4" w:space="0" w:color="auto"/>
            </w:tcBorders>
            <w:vAlign w:val="center"/>
          </w:tcPr>
          <w:p w:rsidR="00506AE6" w:rsidRDefault="00506AE6">
            <w:pPr>
              <w:pStyle w:val="affa"/>
              <w:adjustRightInd w:val="0"/>
              <w:snapToGrid w:val="0"/>
              <w:ind w:firstLineChars="0" w:firstLine="0"/>
              <w:jc w:val="center"/>
              <w:rPr>
                <w:rFonts w:ascii="宋体"/>
                <w:szCs w:val="21"/>
              </w:rPr>
            </w:pPr>
          </w:p>
        </w:tc>
        <w:tc>
          <w:tcPr>
            <w:tcW w:w="832" w:type="pct"/>
            <w:tcBorders>
              <w:left w:val="single" w:sz="4" w:space="0" w:color="auto"/>
            </w:tcBorders>
            <w:vAlign w:val="center"/>
          </w:tcPr>
          <w:p w:rsidR="00506AE6" w:rsidRDefault="00506AE6">
            <w:pPr>
              <w:pStyle w:val="affa"/>
              <w:adjustRightInd w:val="0"/>
              <w:snapToGrid w:val="0"/>
              <w:ind w:firstLineChars="0" w:firstLine="0"/>
              <w:jc w:val="center"/>
              <w:rPr>
                <w:rFonts w:ascii="宋体"/>
                <w:szCs w:val="21"/>
              </w:rPr>
            </w:pPr>
          </w:p>
        </w:tc>
        <w:tc>
          <w:tcPr>
            <w:tcW w:w="831" w:type="pct"/>
            <w:tcBorders>
              <w:left w:val="single" w:sz="4" w:space="0" w:color="auto"/>
            </w:tcBorders>
          </w:tcPr>
          <w:p w:rsidR="00506AE6" w:rsidRDefault="00506AE6">
            <w:pPr>
              <w:pStyle w:val="affa"/>
              <w:adjustRightInd w:val="0"/>
              <w:snapToGrid w:val="0"/>
              <w:ind w:firstLineChars="0" w:firstLine="0"/>
              <w:jc w:val="center"/>
              <w:rPr>
                <w:rFonts w:ascii="宋体"/>
                <w:szCs w:val="21"/>
              </w:rPr>
            </w:pPr>
          </w:p>
        </w:tc>
      </w:tr>
      <w:tr w:rsidR="00506AE6">
        <w:tc>
          <w:tcPr>
            <w:tcW w:w="834" w:type="pct"/>
            <w:vAlign w:val="center"/>
          </w:tcPr>
          <w:p w:rsidR="00506AE6" w:rsidRDefault="0072598A">
            <w:pPr>
              <w:pStyle w:val="affa"/>
              <w:adjustRightInd w:val="0"/>
              <w:snapToGrid w:val="0"/>
              <w:ind w:firstLineChars="0" w:firstLine="0"/>
              <w:jc w:val="center"/>
              <w:rPr>
                <w:color w:val="000000"/>
              </w:rPr>
            </w:pPr>
            <w:r>
              <w:rPr>
                <w:color w:val="000000"/>
                <w:szCs w:val="21"/>
              </w:rPr>
              <w:t>2</w:t>
            </w:r>
          </w:p>
        </w:tc>
        <w:tc>
          <w:tcPr>
            <w:tcW w:w="834" w:type="pct"/>
            <w:vAlign w:val="center"/>
          </w:tcPr>
          <w:p w:rsidR="00506AE6" w:rsidRDefault="00506AE6">
            <w:pPr>
              <w:pStyle w:val="affa"/>
              <w:adjustRightInd w:val="0"/>
              <w:snapToGrid w:val="0"/>
              <w:ind w:firstLineChars="0" w:firstLine="0"/>
              <w:jc w:val="center"/>
              <w:rPr>
                <w:rFonts w:ascii="宋体"/>
                <w:szCs w:val="21"/>
              </w:rPr>
            </w:pPr>
          </w:p>
        </w:tc>
        <w:tc>
          <w:tcPr>
            <w:tcW w:w="834" w:type="pct"/>
            <w:vAlign w:val="center"/>
          </w:tcPr>
          <w:p w:rsidR="00506AE6" w:rsidRDefault="00506AE6">
            <w:pPr>
              <w:pStyle w:val="affa"/>
              <w:adjustRightInd w:val="0"/>
              <w:snapToGrid w:val="0"/>
              <w:ind w:firstLineChars="0" w:firstLine="0"/>
              <w:jc w:val="center"/>
              <w:rPr>
                <w:rFonts w:ascii="宋体"/>
                <w:szCs w:val="21"/>
              </w:rPr>
            </w:pPr>
          </w:p>
        </w:tc>
        <w:tc>
          <w:tcPr>
            <w:tcW w:w="835" w:type="pct"/>
            <w:tcBorders>
              <w:right w:val="single" w:sz="4" w:space="0" w:color="auto"/>
            </w:tcBorders>
            <w:vAlign w:val="center"/>
          </w:tcPr>
          <w:p w:rsidR="00506AE6" w:rsidRDefault="00506AE6">
            <w:pPr>
              <w:pStyle w:val="affa"/>
              <w:adjustRightInd w:val="0"/>
              <w:snapToGrid w:val="0"/>
              <w:ind w:firstLineChars="0" w:firstLine="0"/>
              <w:jc w:val="center"/>
              <w:rPr>
                <w:rFonts w:ascii="宋体"/>
                <w:szCs w:val="21"/>
              </w:rPr>
            </w:pPr>
          </w:p>
        </w:tc>
        <w:tc>
          <w:tcPr>
            <w:tcW w:w="832" w:type="pct"/>
            <w:tcBorders>
              <w:left w:val="single" w:sz="4" w:space="0" w:color="auto"/>
            </w:tcBorders>
            <w:vAlign w:val="center"/>
          </w:tcPr>
          <w:p w:rsidR="00506AE6" w:rsidRDefault="00506AE6">
            <w:pPr>
              <w:pStyle w:val="affa"/>
              <w:adjustRightInd w:val="0"/>
              <w:snapToGrid w:val="0"/>
              <w:ind w:firstLineChars="0" w:firstLine="0"/>
              <w:jc w:val="center"/>
              <w:rPr>
                <w:rFonts w:ascii="宋体"/>
                <w:szCs w:val="21"/>
              </w:rPr>
            </w:pPr>
          </w:p>
        </w:tc>
        <w:tc>
          <w:tcPr>
            <w:tcW w:w="831" w:type="pct"/>
            <w:tcBorders>
              <w:left w:val="single" w:sz="4" w:space="0" w:color="auto"/>
            </w:tcBorders>
          </w:tcPr>
          <w:p w:rsidR="00506AE6" w:rsidRDefault="00506AE6">
            <w:pPr>
              <w:pStyle w:val="affa"/>
              <w:adjustRightInd w:val="0"/>
              <w:snapToGrid w:val="0"/>
              <w:ind w:firstLineChars="0" w:firstLine="0"/>
              <w:jc w:val="center"/>
              <w:rPr>
                <w:rFonts w:ascii="宋体"/>
                <w:szCs w:val="21"/>
              </w:rPr>
            </w:pPr>
          </w:p>
        </w:tc>
      </w:tr>
      <w:tr w:rsidR="00506AE6">
        <w:tc>
          <w:tcPr>
            <w:tcW w:w="834" w:type="pct"/>
            <w:vAlign w:val="center"/>
          </w:tcPr>
          <w:p w:rsidR="00506AE6" w:rsidRDefault="0072598A">
            <w:pPr>
              <w:pStyle w:val="affa"/>
              <w:adjustRightInd w:val="0"/>
              <w:snapToGrid w:val="0"/>
              <w:ind w:firstLineChars="0" w:firstLine="0"/>
              <w:jc w:val="center"/>
              <w:rPr>
                <w:color w:val="000000"/>
              </w:rPr>
            </w:pPr>
            <w:r>
              <w:rPr>
                <w:szCs w:val="21"/>
              </w:rPr>
              <w:t>…</w:t>
            </w:r>
          </w:p>
        </w:tc>
        <w:tc>
          <w:tcPr>
            <w:tcW w:w="834" w:type="pct"/>
            <w:vAlign w:val="center"/>
          </w:tcPr>
          <w:p w:rsidR="00506AE6" w:rsidRDefault="00506AE6">
            <w:pPr>
              <w:pStyle w:val="affa"/>
              <w:adjustRightInd w:val="0"/>
              <w:snapToGrid w:val="0"/>
              <w:ind w:firstLineChars="0" w:firstLine="0"/>
              <w:jc w:val="center"/>
              <w:rPr>
                <w:rFonts w:ascii="宋体"/>
                <w:szCs w:val="21"/>
              </w:rPr>
            </w:pPr>
          </w:p>
        </w:tc>
        <w:tc>
          <w:tcPr>
            <w:tcW w:w="834" w:type="pct"/>
            <w:vAlign w:val="center"/>
          </w:tcPr>
          <w:p w:rsidR="00506AE6" w:rsidRDefault="00506AE6">
            <w:pPr>
              <w:pStyle w:val="affa"/>
              <w:adjustRightInd w:val="0"/>
              <w:snapToGrid w:val="0"/>
              <w:ind w:firstLineChars="0" w:firstLine="0"/>
              <w:jc w:val="center"/>
              <w:rPr>
                <w:rFonts w:ascii="宋体"/>
                <w:szCs w:val="21"/>
              </w:rPr>
            </w:pPr>
          </w:p>
        </w:tc>
        <w:tc>
          <w:tcPr>
            <w:tcW w:w="835" w:type="pct"/>
            <w:tcBorders>
              <w:right w:val="single" w:sz="4" w:space="0" w:color="auto"/>
            </w:tcBorders>
            <w:vAlign w:val="center"/>
          </w:tcPr>
          <w:p w:rsidR="00506AE6" w:rsidRDefault="00506AE6">
            <w:pPr>
              <w:pStyle w:val="affa"/>
              <w:adjustRightInd w:val="0"/>
              <w:snapToGrid w:val="0"/>
              <w:ind w:firstLineChars="0" w:firstLine="0"/>
              <w:jc w:val="center"/>
              <w:rPr>
                <w:rFonts w:ascii="宋体"/>
                <w:szCs w:val="21"/>
              </w:rPr>
            </w:pPr>
          </w:p>
        </w:tc>
        <w:tc>
          <w:tcPr>
            <w:tcW w:w="832" w:type="pct"/>
            <w:tcBorders>
              <w:left w:val="single" w:sz="4" w:space="0" w:color="auto"/>
            </w:tcBorders>
            <w:vAlign w:val="center"/>
          </w:tcPr>
          <w:p w:rsidR="00506AE6" w:rsidRDefault="00506AE6">
            <w:pPr>
              <w:pStyle w:val="affa"/>
              <w:adjustRightInd w:val="0"/>
              <w:snapToGrid w:val="0"/>
              <w:ind w:firstLineChars="0" w:firstLine="0"/>
              <w:jc w:val="center"/>
              <w:rPr>
                <w:rFonts w:ascii="宋体"/>
                <w:szCs w:val="21"/>
              </w:rPr>
            </w:pPr>
          </w:p>
        </w:tc>
        <w:tc>
          <w:tcPr>
            <w:tcW w:w="831" w:type="pct"/>
            <w:tcBorders>
              <w:left w:val="single" w:sz="4" w:space="0" w:color="auto"/>
            </w:tcBorders>
          </w:tcPr>
          <w:p w:rsidR="00506AE6" w:rsidRDefault="00506AE6">
            <w:pPr>
              <w:pStyle w:val="affa"/>
              <w:adjustRightInd w:val="0"/>
              <w:snapToGrid w:val="0"/>
              <w:ind w:firstLineChars="0" w:firstLine="0"/>
              <w:jc w:val="center"/>
              <w:rPr>
                <w:rFonts w:ascii="宋体"/>
                <w:szCs w:val="21"/>
              </w:rPr>
            </w:pPr>
          </w:p>
        </w:tc>
      </w:tr>
    </w:tbl>
    <w:p w:rsidR="00506AE6" w:rsidRDefault="0072598A">
      <w:pPr>
        <w:widowControl/>
        <w:ind w:left="180" w:hangingChars="100" w:hanging="180"/>
        <w:jc w:val="left"/>
        <w:rPr>
          <w:color w:val="000000"/>
          <w:sz w:val="18"/>
          <w:szCs w:val="18"/>
        </w:rPr>
      </w:pPr>
      <w:r>
        <w:rPr>
          <w:rFonts w:hint="eastAsia"/>
          <w:color w:val="000000"/>
          <w:sz w:val="18"/>
          <w:szCs w:val="18"/>
        </w:rPr>
        <w:t>填报</w:t>
      </w:r>
      <w:r>
        <w:rPr>
          <w:rFonts w:hint="eastAsia"/>
          <w:kern w:val="0"/>
          <w:sz w:val="18"/>
          <w:szCs w:val="18"/>
        </w:rPr>
        <w:t>说明</w:t>
      </w:r>
      <w:r>
        <w:rPr>
          <w:rFonts w:hint="eastAsia"/>
          <w:color w:val="000000"/>
          <w:sz w:val="18"/>
          <w:szCs w:val="18"/>
        </w:rPr>
        <w:t>：</w:t>
      </w:r>
    </w:p>
    <w:p w:rsidR="00506AE6" w:rsidRDefault="0072598A">
      <w:pPr>
        <w:widowControl/>
        <w:ind w:left="180" w:hangingChars="100" w:hanging="180"/>
        <w:jc w:val="left"/>
        <w:rPr>
          <w:sz w:val="18"/>
          <w:szCs w:val="18"/>
        </w:rPr>
      </w:pPr>
      <w:r>
        <w:rPr>
          <w:color w:val="000000"/>
          <w:sz w:val="18"/>
          <w:szCs w:val="18"/>
          <w:vertAlign w:val="superscript"/>
        </w:rPr>
        <w:t>*1</w:t>
      </w:r>
      <w:bookmarkStart w:id="429" w:name="_Hlk146880020"/>
      <w:r>
        <w:rPr>
          <w:rFonts w:hint="eastAsia"/>
          <w:sz w:val="18"/>
          <w:szCs w:val="18"/>
        </w:rPr>
        <w:t>绿色电力证书交易凭证应载明的内容包括项目名称、项目代码、项目类型、项目所在地、电量生产日期等。存量常规水电和核电可不提供绿色电力证书交易凭证</w:t>
      </w:r>
      <w:bookmarkEnd w:id="429"/>
      <w:r>
        <w:rPr>
          <w:rFonts w:hint="eastAsia"/>
          <w:sz w:val="18"/>
          <w:szCs w:val="18"/>
        </w:rPr>
        <w:t>。</w:t>
      </w:r>
    </w:p>
    <w:p w:rsidR="00506AE6" w:rsidRDefault="0072598A">
      <w:pPr>
        <w:pStyle w:val="affb"/>
        <w:ind w:left="180" w:hangingChars="100" w:hanging="180"/>
        <w:jc w:val="both"/>
        <w:rPr>
          <w:rFonts w:ascii="Times New Roman"/>
        </w:rPr>
      </w:pPr>
      <w:r>
        <w:rPr>
          <w:rFonts w:ascii="Times New Roman" w:eastAsia="宋体堲..鰔."/>
          <w:color w:val="000000"/>
          <w:kern w:val="0"/>
          <w:vertAlign w:val="superscript"/>
        </w:rPr>
        <w:t>*2</w:t>
      </w:r>
      <w:r>
        <w:rPr>
          <w:rFonts w:ascii="Times New Roman" w:hint="eastAsia"/>
          <w:color w:val="000000"/>
          <w:kern w:val="0"/>
        </w:rPr>
        <w:t>若项目多于</w:t>
      </w:r>
      <w:r>
        <w:rPr>
          <w:rFonts w:ascii="Times New Roman" w:eastAsia="宋体堲..鰔."/>
          <w:color w:val="000000"/>
          <w:kern w:val="0"/>
        </w:rPr>
        <w:t>1</w:t>
      </w:r>
      <w:r>
        <w:rPr>
          <w:rFonts w:ascii="Times New Roman" w:hint="eastAsia"/>
          <w:color w:val="000000"/>
          <w:kern w:val="0"/>
        </w:rPr>
        <w:t>个，应分别填报</w:t>
      </w:r>
      <w:r>
        <w:rPr>
          <w:rFonts w:ascii="Times New Roman" w:hint="eastAsia"/>
        </w:rPr>
        <w:t>。</w:t>
      </w:r>
    </w:p>
    <w:p w:rsidR="00506AE6" w:rsidRDefault="0072598A">
      <w:pPr>
        <w:widowControl/>
        <w:tabs>
          <w:tab w:val="clear" w:pos="4338"/>
          <w:tab w:val="clear" w:pos="8675"/>
        </w:tabs>
        <w:spacing w:line="240" w:lineRule="auto"/>
        <w:ind w:firstLineChars="0" w:firstLine="0"/>
        <w:jc w:val="left"/>
        <w:rPr>
          <w:sz w:val="18"/>
          <w:szCs w:val="18"/>
        </w:rPr>
      </w:pPr>
      <w:r>
        <w:br w:type="page"/>
      </w:r>
    </w:p>
    <w:p w:rsidR="00506AE6" w:rsidRDefault="0072598A">
      <w:pPr>
        <w:pStyle w:val="afffffe"/>
        <w:spacing w:before="156" w:after="156"/>
        <w:jc w:val="center"/>
        <w:outlineLvl w:val="1"/>
        <w:rPr>
          <w:rFonts w:ascii="Times New Roman"/>
        </w:rPr>
      </w:pPr>
      <w:r>
        <w:rPr>
          <w:rFonts w:ascii="Times New Roman" w:hint="eastAsia"/>
        </w:rPr>
        <w:lastRenderedPageBreak/>
        <w:t>附表</w:t>
      </w:r>
      <w:r>
        <w:rPr>
          <w:rFonts w:ascii="Times New Roman" w:hint="eastAsia"/>
        </w:rPr>
        <w:t xml:space="preserve">E.10  </w:t>
      </w:r>
      <w:r>
        <w:rPr>
          <w:rFonts w:ascii="Times New Roman" w:hint="eastAsia"/>
        </w:rPr>
        <w:t>烟气二氧化碳排放在线监测日平均值月报表</w:t>
      </w:r>
    </w:p>
    <w:tbl>
      <w:tblPr>
        <w:tblW w:w="5000" w:type="pct"/>
        <w:tblLayout w:type="fixed"/>
        <w:tblLook w:val="04A0" w:firstRow="1" w:lastRow="0" w:firstColumn="1" w:lastColumn="0" w:noHBand="0" w:noVBand="1"/>
      </w:tblPr>
      <w:tblGrid>
        <w:gridCol w:w="2733"/>
        <w:gridCol w:w="1540"/>
        <w:gridCol w:w="1922"/>
        <w:gridCol w:w="1813"/>
        <w:gridCol w:w="1352"/>
        <w:gridCol w:w="1158"/>
        <w:gridCol w:w="1152"/>
        <w:gridCol w:w="1065"/>
        <w:gridCol w:w="917"/>
      </w:tblGrid>
      <w:tr w:rsidR="00506AE6">
        <w:trPr>
          <w:trHeight w:val="283"/>
        </w:trPr>
        <w:tc>
          <w:tcPr>
            <w:tcW w:w="10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hint="eastAsia"/>
                <w:color w:val="000000"/>
                <w:kern w:val="0"/>
                <w:szCs w:val="21"/>
              </w:rPr>
              <w:t>排放源名称（生产线</w:t>
            </w:r>
            <w:r>
              <w:rPr>
                <w:i/>
                <w:iCs/>
                <w:color w:val="000000"/>
                <w:kern w:val="0"/>
                <w:szCs w:val="21"/>
              </w:rPr>
              <w:t>j</w:t>
            </w:r>
            <w:r>
              <w:rPr>
                <w:rFonts w:hint="eastAsia"/>
                <w:color w:val="000000"/>
                <w:kern w:val="0"/>
                <w:szCs w:val="21"/>
              </w:rPr>
              <w:t>）</w:t>
            </w:r>
            <w:r>
              <w:rPr>
                <w:color w:val="000000"/>
                <w:kern w:val="0"/>
                <w:szCs w:val="21"/>
                <w:vertAlign w:val="superscript"/>
              </w:rPr>
              <w:t>*1</w:t>
            </w:r>
          </w:p>
        </w:tc>
        <w:tc>
          <w:tcPr>
            <w:tcW w:w="3999" w:type="pct"/>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r>
      <w:tr w:rsidR="00506AE6">
        <w:trPr>
          <w:trHeight w:val="283"/>
        </w:trPr>
        <w:tc>
          <w:tcPr>
            <w:tcW w:w="10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hint="eastAsia"/>
                <w:color w:val="000000"/>
                <w:kern w:val="0"/>
                <w:szCs w:val="21"/>
              </w:rPr>
              <w:t>排放源编号</w:t>
            </w:r>
          </w:p>
        </w:tc>
        <w:tc>
          <w:tcPr>
            <w:tcW w:w="3999" w:type="pct"/>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r>
      <w:tr w:rsidR="00506AE6">
        <w:trPr>
          <w:trHeight w:val="283"/>
        </w:trPr>
        <w:tc>
          <w:tcPr>
            <w:tcW w:w="10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kern w:val="0"/>
                <w:szCs w:val="21"/>
              </w:rPr>
            </w:pPr>
            <w:r>
              <w:rPr>
                <w:rFonts w:hint="eastAsia"/>
                <w:color w:val="000000"/>
                <w:kern w:val="0"/>
                <w:szCs w:val="21"/>
              </w:rPr>
              <w:t>报告月份</w:t>
            </w:r>
          </w:p>
        </w:tc>
        <w:tc>
          <w:tcPr>
            <w:tcW w:w="3999"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color w:val="000000"/>
                <w:szCs w:val="21"/>
              </w:rPr>
            </w:pPr>
          </w:p>
        </w:tc>
      </w:tr>
      <w:tr w:rsidR="00506AE6">
        <w:trPr>
          <w:trHeight w:val="283"/>
        </w:trPr>
        <w:tc>
          <w:tcPr>
            <w:tcW w:w="10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hint="eastAsia"/>
                <w:color w:val="000000"/>
                <w:kern w:val="0"/>
                <w:szCs w:val="21"/>
              </w:rPr>
              <w:t>厂家名称</w:t>
            </w:r>
          </w:p>
        </w:tc>
        <w:tc>
          <w:tcPr>
            <w:tcW w:w="12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color w:val="000000"/>
                <w:szCs w:val="21"/>
              </w:rPr>
            </w:pPr>
          </w:p>
        </w:tc>
        <w:tc>
          <w:tcPr>
            <w:tcW w:w="11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Style w:val="font51"/>
                <w:rFonts w:ascii="Times New Roman" w:hAnsi="Times New Roman" w:cs="Times New Roman" w:hint="default"/>
                <w:sz w:val="21"/>
                <w:szCs w:val="21"/>
              </w:rPr>
              <w:t>设备型号</w:t>
            </w:r>
          </w:p>
        </w:tc>
        <w:tc>
          <w:tcPr>
            <w:tcW w:w="157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color w:val="000000"/>
                <w:szCs w:val="21"/>
              </w:rPr>
            </w:pPr>
          </w:p>
        </w:tc>
      </w:tr>
      <w:tr w:rsidR="00506AE6">
        <w:trPr>
          <w:trHeight w:val="283"/>
        </w:trPr>
        <w:tc>
          <w:tcPr>
            <w:tcW w:w="10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hint="eastAsia"/>
                <w:color w:val="000000"/>
                <w:kern w:val="0"/>
                <w:szCs w:val="21"/>
              </w:rPr>
              <w:t>二氧化碳气体浓度准确度</w:t>
            </w:r>
          </w:p>
        </w:tc>
        <w:tc>
          <w:tcPr>
            <w:tcW w:w="12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506AE6">
            <w:pPr>
              <w:adjustRightInd w:val="0"/>
              <w:snapToGrid w:val="0"/>
              <w:spacing w:line="240" w:lineRule="auto"/>
              <w:ind w:firstLineChars="0" w:firstLine="0"/>
              <w:jc w:val="center"/>
              <w:rPr>
                <w:color w:val="000000"/>
                <w:szCs w:val="21"/>
              </w:rPr>
            </w:pPr>
          </w:p>
        </w:tc>
        <w:tc>
          <w:tcPr>
            <w:tcW w:w="11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Style w:val="font51"/>
                <w:rFonts w:ascii="Times New Roman" w:hAnsi="Times New Roman" w:cs="Times New Roman" w:hint="default"/>
                <w:sz w:val="21"/>
                <w:szCs w:val="21"/>
              </w:rPr>
              <w:t>烟气流速准确度</w:t>
            </w:r>
          </w:p>
        </w:tc>
        <w:tc>
          <w:tcPr>
            <w:tcW w:w="157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r>
      <w:tr w:rsidR="00506AE6">
        <w:trPr>
          <w:trHeight w:val="283"/>
        </w:trPr>
        <w:tc>
          <w:tcPr>
            <w:tcW w:w="10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hint="eastAsia"/>
                <w:color w:val="000000"/>
                <w:kern w:val="0"/>
                <w:szCs w:val="21"/>
              </w:rPr>
              <w:t>日期</w:t>
            </w:r>
          </w:p>
        </w:tc>
        <w:tc>
          <w:tcPr>
            <w:tcW w:w="564" w:type="pct"/>
            <w:tcBorders>
              <w:top w:val="nil"/>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hint="eastAsia"/>
                <w:color w:val="000000"/>
                <w:kern w:val="0"/>
                <w:szCs w:val="21"/>
              </w:rPr>
              <w:t>二氧化碳体积浓度</w:t>
            </w:r>
            <w:r>
              <w:rPr>
                <w:rFonts w:hint="eastAsia"/>
                <w:color w:val="000000"/>
                <w:kern w:val="0"/>
                <w:szCs w:val="21"/>
                <w:vertAlign w:val="superscript"/>
              </w:rPr>
              <w:t>*3</w:t>
            </w:r>
            <w:r>
              <w:rPr>
                <w:rFonts w:hint="eastAsia"/>
                <w:color w:val="000000"/>
                <w:kern w:val="0"/>
                <w:szCs w:val="21"/>
              </w:rPr>
              <w:t>（</w:t>
            </w:r>
            <w:r>
              <w:rPr>
                <w:color w:val="000000"/>
                <w:kern w:val="0"/>
                <w:szCs w:val="21"/>
              </w:rPr>
              <w:t>%</w:t>
            </w:r>
            <w:r>
              <w:rPr>
                <w:rFonts w:hint="eastAsia"/>
                <w:color w:val="000000"/>
                <w:kern w:val="0"/>
                <w:szCs w:val="21"/>
              </w:rPr>
              <w:t>）</w:t>
            </w:r>
          </w:p>
        </w:tc>
        <w:tc>
          <w:tcPr>
            <w:tcW w:w="704" w:type="pct"/>
            <w:tcBorders>
              <w:top w:val="nil"/>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hint="eastAsia"/>
                <w:color w:val="000000"/>
                <w:kern w:val="0"/>
                <w:szCs w:val="21"/>
              </w:rPr>
              <w:t>标准状态下干基二氧化碳质量浓度</w:t>
            </w:r>
            <w:r>
              <w:rPr>
                <w:rFonts w:hint="eastAsia"/>
                <w:color w:val="000000"/>
                <w:kern w:val="0"/>
                <w:szCs w:val="21"/>
                <w:vertAlign w:val="superscript"/>
              </w:rPr>
              <w:t>*3</w:t>
            </w:r>
            <w:r>
              <w:rPr>
                <w:rFonts w:hint="eastAsia"/>
                <w:color w:val="000000"/>
                <w:kern w:val="0"/>
                <w:szCs w:val="21"/>
              </w:rPr>
              <w:t>（</w:t>
            </w:r>
            <w:r>
              <w:rPr>
                <w:color w:val="000000"/>
                <w:kern w:val="0"/>
                <w:szCs w:val="21"/>
              </w:rPr>
              <w:t>g/m</w:t>
            </w:r>
            <w:r>
              <w:rPr>
                <w:color w:val="000000"/>
                <w:kern w:val="0"/>
                <w:szCs w:val="21"/>
                <w:vertAlign w:val="superscript"/>
              </w:rPr>
              <w:t>3</w:t>
            </w:r>
            <w:r>
              <w:rPr>
                <w:rFonts w:hint="eastAsia"/>
                <w:color w:val="000000"/>
                <w:kern w:val="0"/>
                <w:szCs w:val="21"/>
              </w:rPr>
              <w:t>）</w:t>
            </w:r>
          </w:p>
        </w:tc>
        <w:tc>
          <w:tcPr>
            <w:tcW w:w="664" w:type="pct"/>
            <w:tcBorders>
              <w:top w:val="nil"/>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hint="eastAsia"/>
                <w:color w:val="000000"/>
                <w:kern w:val="0"/>
                <w:szCs w:val="21"/>
              </w:rPr>
              <w:t>标准状态下干烟气体积流量</w:t>
            </w:r>
            <w:r>
              <w:rPr>
                <w:rFonts w:hint="eastAsia"/>
                <w:color w:val="000000"/>
                <w:kern w:val="0"/>
                <w:szCs w:val="21"/>
                <w:vertAlign w:val="superscript"/>
              </w:rPr>
              <w:t>*3</w:t>
            </w:r>
            <w:r>
              <w:rPr>
                <w:rFonts w:hint="eastAsia"/>
                <w:color w:val="000000"/>
                <w:kern w:val="0"/>
                <w:szCs w:val="21"/>
              </w:rPr>
              <w:t>（</w:t>
            </w:r>
            <w:r>
              <w:rPr>
                <w:color w:val="000000"/>
                <w:kern w:val="0"/>
                <w:szCs w:val="21"/>
              </w:rPr>
              <w:t>10</w:t>
            </w:r>
            <w:r>
              <w:rPr>
                <w:color w:val="000000"/>
                <w:kern w:val="0"/>
                <w:szCs w:val="21"/>
                <w:vertAlign w:val="superscript"/>
              </w:rPr>
              <w:t>4</w:t>
            </w:r>
            <w:r>
              <w:rPr>
                <w:rFonts w:hint="eastAsia"/>
                <w:color w:val="000000"/>
                <w:kern w:val="0"/>
                <w:szCs w:val="21"/>
              </w:rPr>
              <w:t>N</w:t>
            </w:r>
            <w:r>
              <w:rPr>
                <w:color w:val="000000"/>
                <w:kern w:val="0"/>
                <w:szCs w:val="21"/>
              </w:rPr>
              <w:t>m</w:t>
            </w:r>
            <w:r>
              <w:rPr>
                <w:color w:val="000000"/>
                <w:kern w:val="0"/>
                <w:szCs w:val="21"/>
                <w:vertAlign w:val="superscript"/>
              </w:rPr>
              <w:t>3</w:t>
            </w:r>
            <w:r>
              <w:rPr>
                <w:color w:val="000000"/>
                <w:kern w:val="0"/>
                <w:szCs w:val="21"/>
              </w:rPr>
              <w:t>/d</w:t>
            </w:r>
            <w:r>
              <w:rPr>
                <w:rFonts w:hint="eastAsia"/>
                <w:color w:val="000000"/>
                <w:kern w:val="0"/>
                <w:szCs w:val="21"/>
              </w:rPr>
              <w:t>）</w:t>
            </w:r>
          </w:p>
        </w:tc>
        <w:tc>
          <w:tcPr>
            <w:tcW w:w="495" w:type="pct"/>
            <w:tcBorders>
              <w:top w:val="nil"/>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hint="eastAsia"/>
                <w:color w:val="000000"/>
                <w:kern w:val="0"/>
                <w:szCs w:val="21"/>
              </w:rPr>
              <w:t>二氧化碳排放量</w:t>
            </w:r>
            <w:r>
              <w:rPr>
                <w:rFonts w:hint="eastAsia"/>
                <w:color w:val="000000"/>
                <w:kern w:val="0"/>
                <w:szCs w:val="21"/>
                <w:vertAlign w:val="superscript"/>
              </w:rPr>
              <w:t>*3</w:t>
            </w:r>
            <w:r>
              <w:rPr>
                <w:rFonts w:hint="eastAsia"/>
                <w:color w:val="000000"/>
                <w:kern w:val="0"/>
                <w:szCs w:val="21"/>
              </w:rPr>
              <w:t>（</w:t>
            </w:r>
            <w:r>
              <w:rPr>
                <w:color w:val="000000"/>
                <w:kern w:val="0"/>
                <w:szCs w:val="21"/>
              </w:rPr>
              <w:t>t/d</w:t>
            </w:r>
            <w:r>
              <w:rPr>
                <w:rFonts w:hint="eastAsia"/>
                <w:color w:val="000000"/>
                <w:kern w:val="0"/>
                <w:szCs w:val="21"/>
              </w:rPr>
              <w:t>）</w:t>
            </w:r>
          </w:p>
        </w:tc>
        <w:tc>
          <w:tcPr>
            <w:tcW w:w="424" w:type="pct"/>
            <w:tcBorders>
              <w:top w:val="nil"/>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hint="eastAsia"/>
                <w:color w:val="000000"/>
                <w:kern w:val="0"/>
                <w:szCs w:val="21"/>
              </w:rPr>
              <w:t>烟气温度</w:t>
            </w:r>
            <w:r>
              <w:rPr>
                <w:rFonts w:hint="eastAsia"/>
                <w:color w:val="000000"/>
                <w:kern w:val="0"/>
                <w:szCs w:val="21"/>
                <w:vertAlign w:val="superscript"/>
              </w:rPr>
              <w:t>*3</w:t>
            </w:r>
            <w:r>
              <w:rPr>
                <w:rFonts w:hint="eastAsia"/>
                <w:color w:val="000000"/>
                <w:kern w:val="0"/>
                <w:szCs w:val="21"/>
              </w:rPr>
              <w:t>（℃）</w:t>
            </w:r>
          </w:p>
        </w:tc>
        <w:tc>
          <w:tcPr>
            <w:tcW w:w="422" w:type="pct"/>
            <w:tcBorders>
              <w:top w:val="nil"/>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hint="eastAsia"/>
                <w:color w:val="000000"/>
                <w:kern w:val="0"/>
                <w:szCs w:val="21"/>
              </w:rPr>
              <w:t>烟气静压</w:t>
            </w:r>
            <w:r>
              <w:rPr>
                <w:rFonts w:hint="eastAsia"/>
                <w:color w:val="000000"/>
                <w:kern w:val="0"/>
                <w:szCs w:val="21"/>
                <w:vertAlign w:val="superscript"/>
              </w:rPr>
              <w:t>*3</w:t>
            </w:r>
            <w:r>
              <w:rPr>
                <w:rFonts w:hint="eastAsia"/>
                <w:color w:val="000000"/>
                <w:kern w:val="0"/>
                <w:szCs w:val="21"/>
              </w:rPr>
              <w:t>（</w:t>
            </w:r>
            <w:r>
              <w:rPr>
                <w:color w:val="000000"/>
                <w:kern w:val="0"/>
                <w:szCs w:val="21"/>
              </w:rPr>
              <w:t>Pa</w:t>
            </w:r>
            <w:r>
              <w:rPr>
                <w:rFonts w:hint="eastAsia"/>
                <w:color w:val="000000"/>
                <w:kern w:val="0"/>
                <w:szCs w:val="21"/>
              </w:rPr>
              <w:t>）</w:t>
            </w:r>
          </w:p>
        </w:tc>
        <w:tc>
          <w:tcPr>
            <w:tcW w:w="390" w:type="pct"/>
            <w:tcBorders>
              <w:top w:val="nil"/>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hint="eastAsia"/>
                <w:color w:val="000000"/>
                <w:kern w:val="0"/>
                <w:szCs w:val="21"/>
              </w:rPr>
              <w:t>烟气湿度</w:t>
            </w:r>
            <w:r>
              <w:rPr>
                <w:rFonts w:hint="eastAsia"/>
                <w:color w:val="000000"/>
                <w:kern w:val="0"/>
                <w:szCs w:val="21"/>
                <w:vertAlign w:val="superscript"/>
              </w:rPr>
              <w:t>*3</w:t>
            </w:r>
            <w:r>
              <w:rPr>
                <w:rFonts w:hint="eastAsia"/>
                <w:color w:val="000000"/>
                <w:kern w:val="0"/>
                <w:szCs w:val="21"/>
              </w:rPr>
              <w:t>（</w:t>
            </w:r>
            <w:r>
              <w:rPr>
                <w:color w:val="000000"/>
                <w:kern w:val="0"/>
                <w:szCs w:val="21"/>
              </w:rPr>
              <w:t>%</w:t>
            </w:r>
            <w:r>
              <w:rPr>
                <w:rFonts w:hint="eastAsia"/>
                <w:color w:val="000000"/>
                <w:kern w:val="0"/>
                <w:szCs w:val="21"/>
              </w:rPr>
              <w:t>）</w:t>
            </w:r>
          </w:p>
        </w:tc>
        <w:tc>
          <w:tcPr>
            <w:tcW w:w="336" w:type="pct"/>
            <w:tcBorders>
              <w:top w:val="nil"/>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hint="eastAsia"/>
                <w:color w:val="000000"/>
                <w:kern w:val="0"/>
                <w:szCs w:val="21"/>
              </w:rPr>
              <w:t>固定源</w:t>
            </w:r>
            <w:r>
              <w:rPr>
                <w:rFonts w:hint="eastAsia"/>
                <w:color w:val="000000"/>
                <w:kern w:val="0"/>
                <w:szCs w:val="21"/>
              </w:rPr>
              <w:t>负荷</w:t>
            </w:r>
            <w:r>
              <w:rPr>
                <w:rFonts w:hint="eastAsia"/>
                <w:color w:val="000000"/>
                <w:kern w:val="0"/>
                <w:szCs w:val="21"/>
                <w:vertAlign w:val="superscript"/>
              </w:rPr>
              <w:t>*3</w:t>
            </w:r>
            <w:r>
              <w:rPr>
                <w:rFonts w:hint="eastAsia"/>
                <w:color w:val="000000"/>
                <w:kern w:val="0"/>
                <w:szCs w:val="21"/>
              </w:rPr>
              <w:t>（</w:t>
            </w:r>
            <w:r>
              <w:rPr>
                <w:color w:val="000000"/>
                <w:kern w:val="0"/>
                <w:szCs w:val="21"/>
              </w:rPr>
              <w:t>%</w:t>
            </w:r>
            <w:r>
              <w:rPr>
                <w:rFonts w:hint="eastAsia"/>
                <w:color w:val="000000"/>
                <w:kern w:val="0"/>
                <w:szCs w:val="21"/>
              </w:rPr>
              <w:t>）</w:t>
            </w:r>
          </w:p>
        </w:tc>
      </w:tr>
      <w:tr w:rsidR="00506AE6">
        <w:trPr>
          <w:trHeight w:val="283"/>
        </w:trPr>
        <w:tc>
          <w:tcPr>
            <w:tcW w:w="10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top"/>
              <w:rPr>
                <w:color w:val="000000"/>
                <w:szCs w:val="21"/>
              </w:rPr>
            </w:pPr>
            <w:r>
              <w:rPr>
                <w:rFonts w:hint="eastAsia"/>
                <w:color w:val="000000"/>
                <w:kern w:val="0"/>
                <w:szCs w:val="21"/>
              </w:rPr>
              <w:t>202XXXXX</w:t>
            </w:r>
            <w:r>
              <w:rPr>
                <w:rFonts w:hint="eastAsia"/>
                <w:color w:val="000000"/>
                <w:kern w:val="0"/>
                <w:szCs w:val="21"/>
                <w:vertAlign w:val="superscript"/>
              </w:rPr>
              <w:t>*2</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r>
      <w:tr w:rsidR="00506AE6">
        <w:trPr>
          <w:trHeight w:val="283"/>
        </w:trPr>
        <w:tc>
          <w:tcPr>
            <w:tcW w:w="10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top"/>
              <w:rPr>
                <w:color w:val="000000"/>
                <w:kern w:val="0"/>
                <w:szCs w:val="21"/>
              </w:rPr>
            </w:pPr>
            <w:r>
              <w:rPr>
                <w:rFonts w:hAnsi="宋体"/>
                <w:szCs w:val="21"/>
              </w:rPr>
              <w:t>…</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r>
      <w:tr w:rsidR="00506AE6">
        <w:trPr>
          <w:trHeight w:val="283"/>
        </w:trPr>
        <w:tc>
          <w:tcPr>
            <w:tcW w:w="10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rFonts w:hAnsi="宋体"/>
                <w:szCs w:val="21"/>
              </w:rPr>
            </w:pPr>
            <w:r>
              <w:rPr>
                <w:rFonts w:ascii="宋体" w:hAnsi="宋体" w:cs="宋体" w:hint="eastAsia"/>
                <w:color w:val="000000"/>
                <w:kern w:val="0"/>
                <w:szCs w:val="21"/>
              </w:rPr>
              <w:t>平均值</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r>
      <w:tr w:rsidR="00506AE6">
        <w:trPr>
          <w:trHeight w:val="283"/>
        </w:trPr>
        <w:tc>
          <w:tcPr>
            <w:tcW w:w="10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rFonts w:hAnsi="宋体"/>
                <w:szCs w:val="21"/>
              </w:rPr>
            </w:pPr>
            <w:r>
              <w:rPr>
                <w:rFonts w:ascii="宋体" w:hAnsi="宋体" w:cs="宋体" w:hint="eastAsia"/>
                <w:color w:val="000000"/>
                <w:kern w:val="0"/>
                <w:szCs w:val="21"/>
              </w:rPr>
              <w:t>最大值</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r>
      <w:tr w:rsidR="00506AE6">
        <w:trPr>
          <w:trHeight w:val="283"/>
        </w:trPr>
        <w:tc>
          <w:tcPr>
            <w:tcW w:w="10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rFonts w:hAnsi="宋体"/>
                <w:szCs w:val="21"/>
              </w:rPr>
            </w:pPr>
            <w:r>
              <w:rPr>
                <w:rFonts w:ascii="宋体" w:hAnsi="宋体" w:cs="宋体" w:hint="eastAsia"/>
                <w:color w:val="000000"/>
                <w:kern w:val="0"/>
                <w:szCs w:val="21"/>
              </w:rPr>
              <w:t>最小值</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r>
      <w:tr w:rsidR="00506AE6">
        <w:trPr>
          <w:trHeight w:val="283"/>
        </w:trPr>
        <w:tc>
          <w:tcPr>
            <w:tcW w:w="10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color w:val="000000"/>
                <w:szCs w:val="21"/>
              </w:rPr>
            </w:pPr>
            <w:r>
              <w:rPr>
                <w:rFonts w:ascii="宋体" w:hAnsi="宋体" w:cs="宋体" w:hint="eastAsia"/>
                <w:color w:val="000000"/>
                <w:kern w:val="0"/>
                <w:szCs w:val="21"/>
              </w:rPr>
              <w:t>样本数</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r>
      <w:tr w:rsidR="00506AE6">
        <w:trPr>
          <w:trHeight w:val="283"/>
        </w:trPr>
        <w:tc>
          <w:tcPr>
            <w:tcW w:w="10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72598A">
            <w:pPr>
              <w:widowControl/>
              <w:adjustRightInd w:val="0"/>
              <w:snapToGrid w:val="0"/>
              <w:spacing w:line="240" w:lineRule="auto"/>
              <w:ind w:firstLineChars="0" w:firstLine="0"/>
              <w:jc w:val="center"/>
              <w:textAlignment w:val="center"/>
              <w:rPr>
                <w:rFonts w:hAnsi="宋体"/>
                <w:szCs w:val="21"/>
              </w:rPr>
            </w:pPr>
            <w:r>
              <w:rPr>
                <w:rFonts w:ascii="宋体" w:hAnsi="宋体" w:cs="宋体" w:hint="eastAsia"/>
                <w:color w:val="000000"/>
                <w:kern w:val="0"/>
                <w:szCs w:val="21"/>
              </w:rPr>
              <w:t>总量</w:t>
            </w:r>
          </w:p>
        </w:tc>
        <w:tc>
          <w:tcPr>
            <w:tcW w:w="5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7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6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9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4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c>
          <w:tcPr>
            <w:tcW w:w="33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506AE6" w:rsidRDefault="00506AE6">
            <w:pPr>
              <w:adjustRightInd w:val="0"/>
              <w:snapToGrid w:val="0"/>
              <w:spacing w:line="240" w:lineRule="auto"/>
              <w:ind w:firstLineChars="0" w:firstLine="0"/>
              <w:jc w:val="center"/>
              <w:rPr>
                <w:color w:val="000000"/>
                <w:szCs w:val="21"/>
              </w:rPr>
            </w:pPr>
          </w:p>
        </w:tc>
      </w:tr>
    </w:tbl>
    <w:p w:rsidR="00506AE6" w:rsidRDefault="0072598A">
      <w:pPr>
        <w:pStyle w:val="affb"/>
        <w:snapToGrid/>
        <w:ind w:left="180" w:hangingChars="100" w:hanging="180"/>
        <w:jc w:val="both"/>
        <w:rPr>
          <w:rFonts w:hAnsi="宋体" w:cs="宋体"/>
        </w:rPr>
      </w:pPr>
      <w:r>
        <w:rPr>
          <w:rFonts w:hAnsi="宋体" w:cs="宋体" w:hint="eastAsia"/>
        </w:rPr>
        <w:t>填报说明：</w:t>
      </w:r>
    </w:p>
    <w:p w:rsidR="00506AE6" w:rsidRDefault="0072598A">
      <w:pPr>
        <w:pStyle w:val="affb"/>
        <w:snapToGrid/>
        <w:ind w:left="180" w:hangingChars="100" w:hanging="180"/>
        <w:jc w:val="both"/>
        <w:rPr>
          <w:rFonts w:ascii="Times New Roman"/>
        </w:rPr>
      </w:pPr>
      <w:r>
        <w:rPr>
          <w:rFonts w:ascii="Times New Roman" w:eastAsia="宋体堲..鰔."/>
          <w:kern w:val="0"/>
          <w:vertAlign w:val="superscript"/>
        </w:rPr>
        <w:t>*1</w:t>
      </w:r>
      <w:r>
        <w:rPr>
          <w:rFonts w:ascii="Times New Roman" w:hint="eastAsia"/>
        </w:rPr>
        <w:t>若生产线多于</w:t>
      </w:r>
      <w:r>
        <w:rPr>
          <w:rFonts w:ascii="Times New Roman"/>
        </w:rPr>
        <w:t>1</w:t>
      </w:r>
      <w:r>
        <w:rPr>
          <w:rFonts w:ascii="Times New Roman" w:hint="eastAsia"/>
        </w:rPr>
        <w:t>条，应分别填报。</w:t>
      </w:r>
    </w:p>
    <w:p w:rsidR="00506AE6" w:rsidRDefault="0072598A">
      <w:pPr>
        <w:pStyle w:val="affb"/>
        <w:snapToGrid/>
        <w:ind w:left="180" w:hangingChars="100" w:hanging="180"/>
        <w:jc w:val="both"/>
        <w:rPr>
          <w:rFonts w:ascii="Times New Roman"/>
        </w:rPr>
      </w:pPr>
      <w:r>
        <w:rPr>
          <w:rFonts w:ascii="Times New Roman" w:eastAsia="宋体堲..鰔."/>
          <w:kern w:val="0"/>
          <w:vertAlign w:val="superscript"/>
        </w:rPr>
        <w:t>*2</w:t>
      </w:r>
      <w:r>
        <w:rPr>
          <w:rFonts w:ascii="Times New Roman" w:hint="eastAsia"/>
        </w:rPr>
        <w:t>若日期为</w:t>
      </w:r>
      <w:r>
        <w:rPr>
          <w:rFonts w:ascii="Times New Roman"/>
        </w:rPr>
        <w:t>2024</w:t>
      </w:r>
      <w:r>
        <w:rPr>
          <w:rFonts w:ascii="Times New Roman" w:hint="eastAsia"/>
        </w:rPr>
        <w:t>年</w:t>
      </w:r>
      <w:r>
        <w:rPr>
          <w:rFonts w:ascii="Times New Roman"/>
        </w:rPr>
        <w:t>01</w:t>
      </w:r>
      <w:r>
        <w:rPr>
          <w:rFonts w:ascii="Times New Roman" w:hint="eastAsia"/>
        </w:rPr>
        <w:t>月</w:t>
      </w:r>
      <w:r>
        <w:rPr>
          <w:rFonts w:ascii="Times New Roman"/>
        </w:rPr>
        <w:t>01</w:t>
      </w:r>
      <w:r>
        <w:rPr>
          <w:rFonts w:ascii="Times New Roman" w:hint="eastAsia"/>
        </w:rPr>
        <w:t>日，则填报为</w:t>
      </w:r>
      <w:r>
        <w:rPr>
          <w:rFonts w:ascii="Times New Roman"/>
        </w:rPr>
        <w:t>20240101</w:t>
      </w:r>
      <w:r>
        <w:rPr>
          <w:rFonts w:ascii="Times New Roman" w:hint="eastAsia"/>
        </w:rPr>
        <w:t>。</w:t>
      </w:r>
    </w:p>
    <w:p w:rsidR="00506AE6" w:rsidRDefault="0072598A">
      <w:pPr>
        <w:ind w:left="180" w:hangingChars="100" w:hanging="180"/>
        <w:rPr>
          <w:bCs/>
          <w:kern w:val="0"/>
          <w:sz w:val="18"/>
          <w:szCs w:val="18"/>
        </w:rPr>
      </w:pPr>
      <w:r>
        <w:rPr>
          <w:rFonts w:eastAsia="宋体堲..鰔."/>
          <w:kern w:val="0"/>
          <w:sz w:val="18"/>
          <w:szCs w:val="18"/>
          <w:vertAlign w:val="superscript"/>
        </w:rPr>
        <w:t>*3</w:t>
      </w:r>
      <w:r>
        <w:rPr>
          <w:rFonts w:hint="eastAsia"/>
          <w:bCs/>
          <w:kern w:val="0"/>
          <w:sz w:val="18"/>
          <w:szCs w:val="18"/>
        </w:rPr>
        <w:t>各参数按四舍五入保留小数位如下：</w:t>
      </w:r>
    </w:p>
    <w:p w:rsidR="00506AE6" w:rsidRDefault="0072598A">
      <w:pPr>
        <w:pStyle w:val="a5"/>
        <w:numPr>
          <w:ilvl w:val="0"/>
          <w:numId w:val="37"/>
        </w:numPr>
        <w:adjustRightInd w:val="0"/>
        <w:rPr>
          <w:sz w:val="18"/>
          <w:szCs w:val="18"/>
        </w:rPr>
      </w:pPr>
      <w:r>
        <w:rPr>
          <w:rFonts w:hint="eastAsia"/>
          <w:sz w:val="18"/>
          <w:szCs w:val="18"/>
        </w:rPr>
        <w:t>二氧化碳体积浓度、烟气温度、烟气静压、烟气湿度等保留到小数点后两位数；</w:t>
      </w:r>
    </w:p>
    <w:p w:rsidR="00506AE6" w:rsidRDefault="0072598A">
      <w:pPr>
        <w:pStyle w:val="a5"/>
        <w:numPr>
          <w:ilvl w:val="0"/>
          <w:numId w:val="37"/>
        </w:numPr>
        <w:adjustRightInd w:val="0"/>
        <w:rPr>
          <w:sz w:val="18"/>
          <w:szCs w:val="18"/>
        </w:rPr>
      </w:pPr>
      <w:r>
        <w:rPr>
          <w:rFonts w:hint="eastAsia"/>
          <w:sz w:val="18"/>
          <w:szCs w:val="18"/>
        </w:rPr>
        <w:t>标准状态下二氧化碳质量浓度、标准状态下干烟气体积流量、二氧化碳排放量等保留到小数点后三位数；</w:t>
      </w:r>
    </w:p>
    <w:p w:rsidR="00506AE6" w:rsidRDefault="0072598A">
      <w:pPr>
        <w:pStyle w:val="a5"/>
        <w:numPr>
          <w:ilvl w:val="0"/>
          <w:numId w:val="37"/>
        </w:numPr>
        <w:adjustRightInd w:val="0"/>
        <w:rPr>
          <w:sz w:val="18"/>
          <w:szCs w:val="18"/>
        </w:rPr>
      </w:pPr>
      <w:r>
        <w:rPr>
          <w:rFonts w:hint="eastAsia"/>
          <w:sz w:val="18"/>
          <w:szCs w:val="18"/>
        </w:rPr>
        <w:t>固定源负荷保留到小数点后一位数。</w:t>
      </w:r>
    </w:p>
    <w:p w:rsidR="00506AE6" w:rsidRDefault="0072598A">
      <w:pPr>
        <w:widowControl/>
        <w:tabs>
          <w:tab w:val="clear" w:pos="4338"/>
          <w:tab w:val="clear" w:pos="8675"/>
        </w:tabs>
        <w:ind w:firstLine="360"/>
        <w:jc w:val="left"/>
        <w:rPr>
          <w:sz w:val="18"/>
          <w:szCs w:val="18"/>
        </w:rPr>
        <w:sectPr w:rsidR="00506AE6">
          <w:footnotePr>
            <w:numRestart w:val="eachSect"/>
          </w:footnotePr>
          <w:pgSz w:w="16838" w:h="11906" w:orient="landscape"/>
          <w:pgMar w:top="1616" w:right="1474" w:bottom="1616" w:left="1928" w:header="851" w:footer="992" w:gutter="0"/>
          <w:cols w:space="425"/>
          <w:docGrid w:type="linesAndChars" w:linePitch="312"/>
        </w:sectPr>
      </w:pPr>
      <w:r>
        <w:rPr>
          <w:sz w:val="18"/>
          <w:szCs w:val="18"/>
        </w:rPr>
        <w:br w:type="page"/>
      </w:r>
    </w:p>
    <w:p w:rsidR="00506AE6" w:rsidRDefault="0072598A">
      <w:pPr>
        <w:pStyle w:val="af3"/>
      </w:pPr>
      <w:bookmarkStart w:id="430" w:name="_Toc1434787654"/>
      <w:r>
        <w:lastRenderedPageBreak/>
        <w:br/>
      </w:r>
      <w:bookmarkStart w:id="431" w:name="_Hlk161142582"/>
      <w:bookmarkStart w:id="432" w:name="_Toc140045495"/>
      <w:bookmarkStart w:id="433" w:name="_Toc143457026"/>
      <w:bookmarkStart w:id="434" w:name="_Toc140003060"/>
      <w:bookmarkStart w:id="435" w:name="_Toc159419096"/>
      <w:r>
        <w:rPr>
          <w:rFonts w:hint="eastAsia"/>
        </w:rPr>
        <w:t>企业温室气体排放报告</w:t>
      </w:r>
      <w:bookmarkEnd w:id="431"/>
      <w:r>
        <w:rPr>
          <w:rFonts w:hint="eastAsia"/>
        </w:rPr>
        <w:t>信息公开格式</w:t>
      </w:r>
      <w:bookmarkEnd w:id="430"/>
      <w:bookmarkEnd w:id="432"/>
      <w:bookmarkEnd w:id="433"/>
      <w:bookmarkEnd w:id="434"/>
      <w:bookmarkEnd w:id="435"/>
    </w:p>
    <w:tbl>
      <w:tblPr>
        <w:tblStyle w:val="afff"/>
        <w:tblW w:w="5000" w:type="pct"/>
        <w:jc w:val="center"/>
        <w:tblLook w:val="04A0" w:firstRow="1" w:lastRow="0" w:firstColumn="1" w:lastColumn="0" w:noHBand="0" w:noVBand="1"/>
      </w:tblPr>
      <w:tblGrid>
        <w:gridCol w:w="1433"/>
        <w:gridCol w:w="1586"/>
        <w:gridCol w:w="1152"/>
        <w:gridCol w:w="1876"/>
        <w:gridCol w:w="2018"/>
        <w:gridCol w:w="385"/>
        <w:gridCol w:w="1494"/>
        <w:gridCol w:w="1876"/>
        <w:gridCol w:w="1832"/>
      </w:tblGrid>
      <w:tr w:rsidR="00506AE6">
        <w:trPr>
          <w:trHeight w:val="283"/>
          <w:jc w:val="center"/>
        </w:trPr>
        <w:tc>
          <w:tcPr>
            <w:tcW w:w="5000" w:type="pct"/>
            <w:gridSpan w:val="9"/>
            <w:vAlign w:val="center"/>
          </w:tcPr>
          <w:p w:rsidR="00506AE6" w:rsidRDefault="0072598A">
            <w:pPr>
              <w:widowControl/>
              <w:tabs>
                <w:tab w:val="center" w:pos="4201"/>
                <w:tab w:val="right" w:leader="dot" w:pos="9298"/>
              </w:tabs>
              <w:adjustRightInd w:val="0"/>
              <w:snapToGrid w:val="0"/>
              <w:spacing w:line="240" w:lineRule="auto"/>
              <w:ind w:firstLineChars="0" w:firstLine="0"/>
              <w:jc w:val="left"/>
              <w:rPr>
                <w:b/>
                <w:bCs/>
                <w:kern w:val="0"/>
                <w:szCs w:val="21"/>
              </w:rPr>
            </w:pPr>
            <w:r>
              <w:rPr>
                <w:b/>
                <w:bCs/>
                <w:kern w:val="0"/>
                <w:szCs w:val="21"/>
              </w:rPr>
              <w:t xml:space="preserve">F.1  </w:t>
            </w:r>
            <w:r>
              <w:rPr>
                <w:b/>
                <w:bCs/>
                <w:kern w:val="0"/>
                <w:szCs w:val="21"/>
              </w:rPr>
              <w:t>基本信息</w:t>
            </w:r>
          </w:p>
        </w:tc>
      </w:tr>
      <w:tr w:rsidR="00506AE6">
        <w:trPr>
          <w:trHeight w:val="283"/>
          <w:jc w:val="center"/>
        </w:trPr>
        <w:tc>
          <w:tcPr>
            <w:tcW w:w="1528"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kern w:val="0"/>
                <w:szCs w:val="21"/>
              </w:rPr>
              <w:t>企业名称</w:t>
            </w:r>
          </w:p>
        </w:tc>
        <w:tc>
          <w:tcPr>
            <w:tcW w:w="3472" w:type="pct"/>
            <w:gridSpan w:val="6"/>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r>
      <w:tr w:rsidR="00506AE6">
        <w:trPr>
          <w:trHeight w:val="283"/>
          <w:jc w:val="center"/>
        </w:trPr>
        <w:tc>
          <w:tcPr>
            <w:tcW w:w="1528"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kern w:val="0"/>
                <w:szCs w:val="21"/>
              </w:rPr>
              <w:t>统一社会信用代码</w:t>
            </w:r>
          </w:p>
        </w:tc>
        <w:tc>
          <w:tcPr>
            <w:tcW w:w="3472" w:type="pct"/>
            <w:gridSpan w:val="6"/>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r>
      <w:tr w:rsidR="00506AE6">
        <w:trPr>
          <w:trHeight w:val="283"/>
          <w:jc w:val="center"/>
        </w:trPr>
        <w:tc>
          <w:tcPr>
            <w:tcW w:w="1528"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kern w:val="0"/>
                <w:szCs w:val="21"/>
              </w:rPr>
              <w:t>法定代表人姓名</w:t>
            </w:r>
          </w:p>
        </w:tc>
        <w:tc>
          <w:tcPr>
            <w:tcW w:w="3472" w:type="pct"/>
            <w:gridSpan w:val="6"/>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r>
      <w:tr w:rsidR="00506AE6">
        <w:trPr>
          <w:trHeight w:val="283"/>
          <w:jc w:val="center"/>
        </w:trPr>
        <w:tc>
          <w:tcPr>
            <w:tcW w:w="1528"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kern w:val="0"/>
                <w:szCs w:val="21"/>
              </w:rPr>
              <w:t>生产经营场所地址及邮政编码（省、市、县、详细地址）</w:t>
            </w:r>
          </w:p>
        </w:tc>
        <w:tc>
          <w:tcPr>
            <w:tcW w:w="3472" w:type="pct"/>
            <w:gridSpan w:val="6"/>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r>
      <w:tr w:rsidR="00506AE6">
        <w:trPr>
          <w:trHeight w:val="283"/>
          <w:jc w:val="center"/>
        </w:trPr>
        <w:tc>
          <w:tcPr>
            <w:tcW w:w="1528"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kern w:val="0"/>
                <w:szCs w:val="21"/>
              </w:rPr>
              <w:t>行业分类及代码</w:t>
            </w:r>
          </w:p>
        </w:tc>
        <w:tc>
          <w:tcPr>
            <w:tcW w:w="3472" w:type="pct"/>
            <w:gridSpan w:val="6"/>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r>
      <w:tr w:rsidR="00506AE6">
        <w:trPr>
          <w:trHeight w:val="283"/>
          <w:jc w:val="center"/>
        </w:trPr>
        <w:tc>
          <w:tcPr>
            <w:tcW w:w="1528"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kern w:val="0"/>
                <w:szCs w:val="21"/>
              </w:rPr>
              <w:t>纳入全国碳市场的行业子类</w:t>
            </w:r>
          </w:p>
        </w:tc>
        <w:tc>
          <w:tcPr>
            <w:tcW w:w="3472" w:type="pct"/>
            <w:gridSpan w:val="6"/>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r>
      <w:tr w:rsidR="00506AE6">
        <w:trPr>
          <w:trHeight w:val="283"/>
          <w:jc w:val="center"/>
        </w:trPr>
        <w:tc>
          <w:tcPr>
            <w:tcW w:w="5000" w:type="pct"/>
            <w:gridSpan w:val="9"/>
            <w:vAlign w:val="center"/>
          </w:tcPr>
          <w:p w:rsidR="00506AE6" w:rsidRDefault="0072598A">
            <w:pPr>
              <w:widowControl/>
              <w:tabs>
                <w:tab w:val="center" w:pos="4201"/>
                <w:tab w:val="right" w:leader="dot" w:pos="9298"/>
              </w:tabs>
              <w:adjustRightInd w:val="0"/>
              <w:snapToGrid w:val="0"/>
              <w:spacing w:line="240" w:lineRule="auto"/>
              <w:ind w:firstLineChars="0" w:firstLine="0"/>
              <w:jc w:val="left"/>
              <w:rPr>
                <w:b/>
                <w:bCs/>
                <w:kern w:val="0"/>
                <w:szCs w:val="21"/>
              </w:rPr>
            </w:pPr>
            <w:r>
              <w:rPr>
                <w:b/>
                <w:bCs/>
                <w:kern w:val="0"/>
                <w:szCs w:val="21"/>
              </w:rPr>
              <w:t xml:space="preserve">F.2  </w:t>
            </w:r>
            <w:r>
              <w:rPr>
                <w:b/>
                <w:bCs/>
                <w:kern w:val="0"/>
                <w:szCs w:val="21"/>
              </w:rPr>
              <w:t>生产线及排放设施信息</w:t>
            </w:r>
          </w:p>
        </w:tc>
      </w:tr>
      <w:tr w:rsidR="00506AE6">
        <w:trPr>
          <w:trHeight w:val="283"/>
          <w:jc w:val="center"/>
        </w:trPr>
        <w:tc>
          <w:tcPr>
            <w:tcW w:w="1528"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kern w:val="0"/>
                <w:szCs w:val="21"/>
              </w:rPr>
              <w:t>生产线名称</w:t>
            </w:r>
            <w:r>
              <w:rPr>
                <w:kern w:val="0"/>
                <w:szCs w:val="21"/>
                <w:vertAlign w:val="superscript"/>
              </w:rPr>
              <w:t>*1</w:t>
            </w:r>
          </w:p>
        </w:tc>
        <w:tc>
          <w:tcPr>
            <w:tcW w:w="1567"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kern w:val="0"/>
                <w:szCs w:val="21"/>
              </w:rPr>
              <w:t>信息项</w:t>
            </w:r>
          </w:p>
        </w:tc>
        <w:tc>
          <w:tcPr>
            <w:tcW w:w="1905"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kern w:val="0"/>
                <w:szCs w:val="21"/>
              </w:rPr>
              <w:t>内容</w:t>
            </w:r>
          </w:p>
        </w:tc>
      </w:tr>
      <w:tr w:rsidR="00506AE6">
        <w:trPr>
          <w:trHeight w:val="283"/>
          <w:jc w:val="center"/>
        </w:trPr>
        <w:tc>
          <w:tcPr>
            <w:tcW w:w="1528" w:type="pct"/>
            <w:gridSpan w:val="3"/>
            <w:vMerge w:val="restart"/>
            <w:vAlign w:val="center"/>
          </w:tcPr>
          <w:p w:rsidR="00506AE6" w:rsidRDefault="0072598A">
            <w:pPr>
              <w:tabs>
                <w:tab w:val="center" w:pos="4201"/>
                <w:tab w:val="right" w:leader="dot" w:pos="9298"/>
              </w:tabs>
              <w:adjustRightInd w:val="0"/>
              <w:snapToGrid w:val="0"/>
              <w:spacing w:line="240" w:lineRule="auto"/>
              <w:ind w:firstLineChars="0" w:firstLine="0"/>
              <w:jc w:val="center"/>
              <w:rPr>
                <w:kern w:val="0"/>
                <w:szCs w:val="21"/>
              </w:rPr>
            </w:pPr>
            <w:r>
              <w:rPr>
                <w:kern w:val="0"/>
                <w:szCs w:val="21"/>
              </w:rPr>
              <w:t>生产线</w:t>
            </w:r>
            <w:r>
              <w:rPr>
                <w:i/>
                <w:iCs/>
                <w:kern w:val="0"/>
                <w:szCs w:val="21"/>
              </w:rPr>
              <w:t>j</w:t>
            </w:r>
          </w:p>
        </w:tc>
        <w:tc>
          <w:tcPr>
            <w:tcW w:w="1567"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kern w:val="0"/>
                <w:szCs w:val="21"/>
              </w:rPr>
              <w:t>批复的设计能力（</w:t>
            </w:r>
            <w:r>
              <w:rPr>
                <w:kern w:val="0"/>
                <w:szCs w:val="21"/>
              </w:rPr>
              <w:t>t/d</w:t>
            </w:r>
            <w:r>
              <w:rPr>
                <w:kern w:val="0"/>
                <w:szCs w:val="21"/>
              </w:rPr>
              <w:t>）</w:t>
            </w:r>
          </w:p>
        </w:tc>
        <w:tc>
          <w:tcPr>
            <w:tcW w:w="1905" w:type="pct"/>
            <w:gridSpan w:val="3"/>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r>
      <w:tr w:rsidR="00506AE6">
        <w:trPr>
          <w:trHeight w:val="283"/>
          <w:jc w:val="center"/>
        </w:trPr>
        <w:tc>
          <w:tcPr>
            <w:tcW w:w="1528" w:type="pct"/>
            <w:gridSpan w:val="3"/>
            <w:vMerge/>
            <w:vAlign w:val="center"/>
          </w:tcPr>
          <w:p w:rsidR="00506AE6" w:rsidRDefault="00506AE6">
            <w:pPr>
              <w:tabs>
                <w:tab w:val="center" w:pos="4201"/>
                <w:tab w:val="right" w:leader="dot" w:pos="9298"/>
              </w:tabs>
              <w:adjustRightInd w:val="0"/>
              <w:snapToGrid w:val="0"/>
              <w:spacing w:line="240" w:lineRule="auto"/>
              <w:ind w:firstLineChars="0" w:firstLine="0"/>
              <w:jc w:val="center"/>
              <w:rPr>
                <w:kern w:val="0"/>
                <w:szCs w:val="21"/>
              </w:rPr>
            </w:pPr>
          </w:p>
        </w:tc>
        <w:tc>
          <w:tcPr>
            <w:tcW w:w="1567"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kern w:val="0"/>
                <w:szCs w:val="21"/>
              </w:rPr>
              <w:t>窑规格（</w:t>
            </w:r>
            <w:r>
              <w:rPr>
                <w:kern w:val="0"/>
                <w:szCs w:val="21"/>
              </w:rPr>
              <w:t>Ø×L</w:t>
            </w:r>
            <w:r>
              <w:rPr>
                <w:kern w:val="0"/>
                <w:szCs w:val="21"/>
              </w:rPr>
              <w:t>）（</w:t>
            </w:r>
            <w:r>
              <w:rPr>
                <w:kern w:val="0"/>
                <w:szCs w:val="21"/>
              </w:rPr>
              <w:t>m</w:t>
            </w:r>
            <w:r>
              <w:rPr>
                <w:kern w:val="0"/>
                <w:szCs w:val="21"/>
              </w:rPr>
              <w:t>）</w:t>
            </w:r>
          </w:p>
        </w:tc>
        <w:tc>
          <w:tcPr>
            <w:tcW w:w="1905" w:type="pct"/>
            <w:gridSpan w:val="3"/>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r>
      <w:tr w:rsidR="00506AE6">
        <w:trPr>
          <w:trHeight w:val="283"/>
          <w:jc w:val="center"/>
        </w:trPr>
        <w:tc>
          <w:tcPr>
            <w:tcW w:w="1528" w:type="pct"/>
            <w:gridSpan w:val="3"/>
            <w:vMerge/>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c>
          <w:tcPr>
            <w:tcW w:w="1567"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szCs w:val="21"/>
              </w:rPr>
              <w:t>海拔高度（</w:t>
            </w:r>
            <w:r>
              <w:rPr>
                <w:szCs w:val="21"/>
              </w:rPr>
              <w:t>m</w:t>
            </w:r>
            <w:r>
              <w:rPr>
                <w:szCs w:val="21"/>
              </w:rPr>
              <w:t>）</w:t>
            </w:r>
          </w:p>
        </w:tc>
        <w:tc>
          <w:tcPr>
            <w:tcW w:w="1905" w:type="pct"/>
            <w:gridSpan w:val="3"/>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r>
      <w:tr w:rsidR="00506AE6">
        <w:trPr>
          <w:trHeight w:val="283"/>
          <w:jc w:val="center"/>
        </w:trPr>
        <w:tc>
          <w:tcPr>
            <w:tcW w:w="1528" w:type="pct"/>
            <w:gridSpan w:val="3"/>
            <w:vMerge/>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c>
          <w:tcPr>
            <w:tcW w:w="1567"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szCs w:val="21"/>
              </w:rPr>
            </w:pPr>
            <w:r>
              <w:rPr>
                <w:rFonts w:hint="eastAsia"/>
                <w:szCs w:val="21"/>
              </w:rPr>
              <w:t>熟料类别</w:t>
            </w:r>
          </w:p>
        </w:tc>
        <w:tc>
          <w:tcPr>
            <w:tcW w:w="1905" w:type="pct"/>
            <w:gridSpan w:val="3"/>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r>
      <w:tr w:rsidR="00506AE6">
        <w:trPr>
          <w:trHeight w:val="283"/>
          <w:jc w:val="center"/>
        </w:trPr>
        <w:tc>
          <w:tcPr>
            <w:tcW w:w="1528" w:type="pct"/>
            <w:gridSpan w:val="3"/>
            <w:vMerge/>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c>
          <w:tcPr>
            <w:tcW w:w="1567"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kern w:val="0"/>
                <w:szCs w:val="21"/>
              </w:rPr>
              <w:t>熟料品种</w:t>
            </w:r>
          </w:p>
        </w:tc>
        <w:tc>
          <w:tcPr>
            <w:tcW w:w="1905" w:type="pct"/>
            <w:gridSpan w:val="3"/>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r>
      <w:tr w:rsidR="00506AE6">
        <w:trPr>
          <w:trHeight w:val="283"/>
          <w:jc w:val="center"/>
        </w:trPr>
        <w:tc>
          <w:tcPr>
            <w:tcW w:w="1528" w:type="pct"/>
            <w:gridSpan w:val="3"/>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kern w:val="0"/>
                <w:szCs w:val="21"/>
              </w:rPr>
            </w:pPr>
            <w:r>
              <w:rPr>
                <w:kern w:val="0"/>
                <w:szCs w:val="21"/>
              </w:rPr>
              <w:t>…</w:t>
            </w:r>
          </w:p>
        </w:tc>
        <w:tc>
          <w:tcPr>
            <w:tcW w:w="1567" w:type="pct"/>
            <w:gridSpan w:val="3"/>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c>
          <w:tcPr>
            <w:tcW w:w="1905" w:type="pct"/>
            <w:gridSpan w:val="3"/>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r>
      <w:tr w:rsidR="00506AE6">
        <w:trPr>
          <w:trHeight w:val="283"/>
          <w:jc w:val="center"/>
        </w:trPr>
        <w:tc>
          <w:tcPr>
            <w:tcW w:w="5000" w:type="pct"/>
            <w:gridSpan w:val="9"/>
            <w:vAlign w:val="center"/>
          </w:tcPr>
          <w:p w:rsidR="00506AE6" w:rsidRDefault="0072598A">
            <w:pPr>
              <w:widowControl/>
              <w:tabs>
                <w:tab w:val="center" w:pos="4201"/>
                <w:tab w:val="right" w:leader="dot" w:pos="9298"/>
              </w:tabs>
              <w:adjustRightInd w:val="0"/>
              <w:snapToGrid w:val="0"/>
              <w:spacing w:line="240" w:lineRule="auto"/>
              <w:ind w:firstLineChars="0" w:firstLine="0"/>
              <w:jc w:val="left"/>
              <w:rPr>
                <w:b/>
                <w:bCs/>
                <w:color w:val="000000"/>
                <w:kern w:val="0"/>
                <w:szCs w:val="21"/>
              </w:rPr>
            </w:pPr>
            <w:r>
              <w:rPr>
                <w:b/>
                <w:bCs/>
                <w:color w:val="000000"/>
                <w:kern w:val="0"/>
                <w:szCs w:val="21"/>
              </w:rPr>
              <w:t xml:space="preserve">F.3  </w:t>
            </w:r>
            <w:r>
              <w:rPr>
                <w:b/>
                <w:bCs/>
                <w:color w:val="000000"/>
                <w:kern w:val="0"/>
                <w:szCs w:val="21"/>
              </w:rPr>
              <w:t>收到基</w:t>
            </w:r>
            <w:r>
              <w:rPr>
                <w:b/>
                <w:bCs/>
                <w:kern w:val="0"/>
                <w:szCs w:val="21"/>
              </w:rPr>
              <w:t>低位发热量</w:t>
            </w:r>
            <w:r>
              <w:rPr>
                <w:b/>
                <w:bCs/>
                <w:color w:val="000000"/>
                <w:kern w:val="0"/>
                <w:szCs w:val="21"/>
              </w:rPr>
              <w:t>的确定方式</w:t>
            </w:r>
          </w:p>
        </w:tc>
      </w:tr>
      <w:tr w:rsidR="00506AE6">
        <w:trPr>
          <w:trHeight w:val="283"/>
          <w:jc w:val="center"/>
        </w:trPr>
        <w:tc>
          <w:tcPr>
            <w:tcW w:w="525" w:type="pct"/>
            <w:vMerge w:val="restar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生产线名称</w:t>
            </w:r>
          </w:p>
        </w:tc>
        <w:tc>
          <w:tcPr>
            <w:tcW w:w="581" w:type="pct"/>
            <w:vMerge w:val="restar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参数</w:t>
            </w:r>
          </w:p>
        </w:tc>
        <w:tc>
          <w:tcPr>
            <w:tcW w:w="422" w:type="pct"/>
            <w:vMerge w:val="restar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月份</w:t>
            </w:r>
          </w:p>
        </w:tc>
        <w:tc>
          <w:tcPr>
            <w:tcW w:w="2801" w:type="pct"/>
            <w:gridSpan w:val="5"/>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自行检测（实测时适用）</w:t>
            </w:r>
          </w:p>
        </w:tc>
        <w:tc>
          <w:tcPr>
            <w:tcW w:w="671"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未实测</w:t>
            </w:r>
          </w:p>
        </w:tc>
      </w:tr>
      <w:tr w:rsidR="00506AE6">
        <w:trPr>
          <w:trHeight w:val="283"/>
          <w:jc w:val="center"/>
        </w:trPr>
        <w:tc>
          <w:tcPr>
            <w:tcW w:w="525"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581"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422" w:type="pct"/>
            <w:vMerge/>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7" w:type="pc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检测设备</w:t>
            </w:r>
          </w:p>
        </w:tc>
        <w:tc>
          <w:tcPr>
            <w:tcW w:w="739" w:type="pc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检测频次</w:t>
            </w:r>
          </w:p>
        </w:tc>
        <w:tc>
          <w:tcPr>
            <w:tcW w:w="688" w:type="pct"/>
            <w:gridSpan w:val="2"/>
            <w:tcBorders>
              <w:left w:val="single" w:sz="4" w:space="0" w:color="auto"/>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设备校准频次</w:t>
            </w:r>
          </w:p>
        </w:tc>
        <w:tc>
          <w:tcPr>
            <w:tcW w:w="687" w:type="pct"/>
            <w:tcBorders>
              <w:left w:val="single" w:sz="4" w:space="0" w:color="auto"/>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测定方法标准</w:t>
            </w:r>
          </w:p>
        </w:tc>
        <w:tc>
          <w:tcPr>
            <w:tcW w:w="671"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缺省值</w:t>
            </w:r>
          </w:p>
        </w:tc>
      </w:tr>
      <w:tr w:rsidR="00506AE6">
        <w:trPr>
          <w:trHeight w:val="283"/>
          <w:jc w:val="center"/>
        </w:trPr>
        <w:tc>
          <w:tcPr>
            <w:tcW w:w="525" w:type="pct"/>
            <w:vMerge w:val="restar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生产线</w:t>
            </w:r>
            <w:r>
              <w:rPr>
                <w:i/>
                <w:iCs/>
                <w:color w:val="000000"/>
                <w:kern w:val="0"/>
                <w:szCs w:val="21"/>
              </w:rPr>
              <w:t>j</w:t>
            </w:r>
          </w:p>
        </w:tc>
        <w:tc>
          <w:tcPr>
            <w:tcW w:w="581" w:type="pct"/>
            <w:vMerge w:val="restar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燃煤</w:t>
            </w:r>
          </w:p>
        </w:tc>
        <w:tc>
          <w:tcPr>
            <w:tcW w:w="422"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1</w:t>
            </w:r>
            <w:r>
              <w:rPr>
                <w:color w:val="000000"/>
                <w:kern w:val="0"/>
                <w:szCs w:val="21"/>
              </w:rPr>
              <w:t>月</w:t>
            </w: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7"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71" w:type="pct"/>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25"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581"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422"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2</w:t>
            </w:r>
            <w:r>
              <w:rPr>
                <w:color w:val="000000"/>
                <w:kern w:val="0"/>
                <w:szCs w:val="21"/>
              </w:rPr>
              <w:t>月</w:t>
            </w: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7"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71" w:type="pct"/>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25"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581"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422"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3</w:t>
            </w:r>
            <w:r>
              <w:rPr>
                <w:color w:val="000000"/>
                <w:kern w:val="0"/>
                <w:szCs w:val="21"/>
              </w:rPr>
              <w:t>月</w:t>
            </w: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7"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71" w:type="pct"/>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25"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581"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422"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w:t>
            </w: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7"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71" w:type="pct"/>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25" w:type="pc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w:t>
            </w:r>
          </w:p>
        </w:tc>
        <w:tc>
          <w:tcPr>
            <w:tcW w:w="581"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422" w:type="pct"/>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7"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71" w:type="pct"/>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000" w:type="pct"/>
            <w:gridSpan w:val="9"/>
            <w:vAlign w:val="center"/>
          </w:tcPr>
          <w:p w:rsidR="00506AE6" w:rsidRDefault="0072598A">
            <w:pPr>
              <w:widowControl/>
              <w:tabs>
                <w:tab w:val="center" w:pos="4201"/>
                <w:tab w:val="right" w:leader="dot" w:pos="9298"/>
              </w:tabs>
              <w:adjustRightInd w:val="0"/>
              <w:snapToGrid w:val="0"/>
              <w:spacing w:line="240" w:lineRule="auto"/>
              <w:ind w:firstLineChars="0" w:firstLine="0"/>
              <w:jc w:val="left"/>
              <w:rPr>
                <w:b/>
                <w:bCs/>
                <w:color w:val="000000"/>
                <w:kern w:val="0"/>
                <w:szCs w:val="21"/>
              </w:rPr>
            </w:pPr>
            <w:r>
              <w:rPr>
                <w:b/>
                <w:bCs/>
                <w:color w:val="000000"/>
                <w:kern w:val="0"/>
                <w:szCs w:val="21"/>
              </w:rPr>
              <w:t>F.4</w:t>
            </w:r>
            <w:bookmarkStart w:id="436" w:name="_Hlk140614758"/>
            <w:r>
              <w:rPr>
                <w:b/>
                <w:bCs/>
                <w:color w:val="000000"/>
                <w:kern w:val="0"/>
                <w:szCs w:val="21"/>
              </w:rPr>
              <w:t xml:space="preserve">  </w:t>
            </w:r>
            <w:r>
              <w:rPr>
                <w:b/>
                <w:bCs/>
                <w:color w:val="000000"/>
                <w:kern w:val="0"/>
                <w:szCs w:val="21"/>
              </w:rPr>
              <w:t>氧化钙含量和</w:t>
            </w:r>
            <w:r>
              <w:rPr>
                <w:b/>
                <w:bCs/>
                <w:kern w:val="0"/>
                <w:szCs w:val="21"/>
              </w:rPr>
              <w:t>氧化镁</w:t>
            </w:r>
            <w:r>
              <w:rPr>
                <w:b/>
                <w:bCs/>
                <w:color w:val="000000"/>
                <w:kern w:val="0"/>
                <w:szCs w:val="21"/>
              </w:rPr>
              <w:t>含量的确定方式</w:t>
            </w:r>
            <w:bookmarkEnd w:id="436"/>
            <w:r>
              <w:rPr>
                <w:b/>
                <w:bCs/>
                <w:color w:val="000000"/>
                <w:kern w:val="0"/>
                <w:szCs w:val="21"/>
              </w:rPr>
              <w:t>（实测时适用）</w:t>
            </w:r>
          </w:p>
        </w:tc>
      </w:tr>
      <w:tr w:rsidR="00506AE6">
        <w:trPr>
          <w:trHeight w:val="283"/>
          <w:jc w:val="center"/>
        </w:trPr>
        <w:tc>
          <w:tcPr>
            <w:tcW w:w="525" w:type="pct"/>
            <w:vMerge w:val="restar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lastRenderedPageBreak/>
              <w:t>生产线名称</w:t>
            </w:r>
          </w:p>
        </w:tc>
        <w:tc>
          <w:tcPr>
            <w:tcW w:w="581" w:type="pct"/>
            <w:vMerge w:val="restar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参数</w:t>
            </w:r>
          </w:p>
        </w:tc>
        <w:tc>
          <w:tcPr>
            <w:tcW w:w="422" w:type="pct"/>
            <w:vMerge w:val="restar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月份</w:t>
            </w:r>
          </w:p>
        </w:tc>
        <w:tc>
          <w:tcPr>
            <w:tcW w:w="3472" w:type="pct"/>
            <w:gridSpan w:val="6"/>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自行检测</w:t>
            </w:r>
          </w:p>
        </w:tc>
      </w:tr>
      <w:tr w:rsidR="00506AE6">
        <w:trPr>
          <w:trHeight w:val="283"/>
          <w:jc w:val="center"/>
        </w:trPr>
        <w:tc>
          <w:tcPr>
            <w:tcW w:w="525"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581" w:type="pct"/>
            <w:vMerge/>
            <w:tcBorders>
              <w:right w:val="single" w:sz="4" w:space="0" w:color="auto"/>
            </w:tcBorders>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422" w:type="pct"/>
            <w:vMerge/>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7" w:type="pc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检测设备</w:t>
            </w:r>
          </w:p>
        </w:tc>
        <w:tc>
          <w:tcPr>
            <w:tcW w:w="739" w:type="pct"/>
            <w:tcBorders>
              <w:left w:val="single" w:sz="4" w:space="0" w:color="auto"/>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检测频次</w:t>
            </w:r>
          </w:p>
        </w:tc>
        <w:tc>
          <w:tcPr>
            <w:tcW w:w="688" w:type="pct"/>
            <w:gridSpan w:val="2"/>
            <w:tcBorders>
              <w:left w:val="single" w:sz="4" w:space="0" w:color="auto"/>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设备校准频次</w:t>
            </w:r>
          </w:p>
        </w:tc>
        <w:tc>
          <w:tcPr>
            <w:tcW w:w="1358" w:type="pct"/>
            <w:gridSpan w:val="2"/>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测定方法标准</w:t>
            </w:r>
          </w:p>
        </w:tc>
      </w:tr>
      <w:tr w:rsidR="00506AE6">
        <w:trPr>
          <w:trHeight w:val="283"/>
          <w:jc w:val="center"/>
        </w:trPr>
        <w:tc>
          <w:tcPr>
            <w:tcW w:w="525" w:type="pct"/>
            <w:vMerge w:val="restar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生产线</w:t>
            </w:r>
            <w:r>
              <w:rPr>
                <w:i/>
                <w:iCs/>
                <w:color w:val="000000"/>
                <w:kern w:val="0"/>
                <w:szCs w:val="21"/>
              </w:rPr>
              <w:t>j</w:t>
            </w:r>
          </w:p>
        </w:tc>
        <w:tc>
          <w:tcPr>
            <w:tcW w:w="581" w:type="pct"/>
            <w:vMerge w:val="restar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熟料中氧化钙含量</w:t>
            </w:r>
          </w:p>
        </w:tc>
        <w:tc>
          <w:tcPr>
            <w:tcW w:w="422"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1</w:t>
            </w:r>
            <w:r>
              <w:rPr>
                <w:color w:val="000000"/>
                <w:kern w:val="0"/>
                <w:szCs w:val="21"/>
              </w:rPr>
              <w:t>月</w:t>
            </w: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1358" w:type="pct"/>
            <w:gridSpan w:val="2"/>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25"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581"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422"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2</w:t>
            </w:r>
            <w:r>
              <w:rPr>
                <w:color w:val="000000"/>
                <w:kern w:val="0"/>
                <w:szCs w:val="21"/>
              </w:rPr>
              <w:t>月</w:t>
            </w: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1358" w:type="pct"/>
            <w:gridSpan w:val="2"/>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25"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581"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422"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3</w:t>
            </w:r>
            <w:r>
              <w:rPr>
                <w:color w:val="000000"/>
                <w:kern w:val="0"/>
                <w:szCs w:val="21"/>
              </w:rPr>
              <w:t>月</w:t>
            </w: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1358" w:type="pct"/>
            <w:gridSpan w:val="2"/>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25"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581"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422"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w:t>
            </w: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1358" w:type="pct"/>
            <w:gridSpan w:val="2"/>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25"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581" w:type="pct"/>
            <w:vMerge w:val="restar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熟料中氧化镁含量</w:t>
            </w:r>
          </w:p>
        </w:tc>
        <w:tc>
          <w:tcPr>
            <w:tcW w:w="422"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1</w:t>
            </w:r>
            <w:r>
              <w:rPr>
                <w:color w:val="000000"/>
                <w:kern w:val="0"/>
                <w:szCs w:val="21"/>
              </w:rPr>
              <w:t>月</w:t>
            </w: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1358" w:type="pct"/>
            <w:gridSpan w:val="2"/>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25"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581"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422"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2</w:t>
            </w:r>
            <w:r>
              <w:rPr>
                <w:color w:val="000000"/>
                <w:kern w:val="0"/>
                <w:szCs w:val="21"/>
              </w:rPr>
              <w:t>月</w:t>
            </w: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1358" w:type="pct"/>
            <w:gridSpan w:val="2"/>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25"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581"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422"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3</w:t>
            </w:r>
            <w:r>
              <w:rPr>
                <w:color w:val="000000"/>
                <w:kern w:val="0"/>
                <w:szCs w:val="21"/>
              </w:rPr>
              <w:t>月</w:t>
            </w: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1358" w:type="pct"/>
            <w:gridSpan w:val="2"/>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25"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581" w:type="pct"/>
            <w:vMerge/>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422" w:type="pct"/>
            <w:tcBorders>
              <w:lef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w:t>
            </w: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1358" w:type="pct"/>
            <w:gridSpan w:val="2"/>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25" w:type="pct"/>
            <w:tcBorders>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center"/>
              <w:rPr>
                <w:color w:val="000000"/>
                <w:kern w:val="0"/>
                <w:szCs w:val="21"/>
              </w:rPr>
            </w:pPr>
            <w:r>
              <w:rPr>
                <w:color w:val="000000"/>
                <w:kern w:val="0"/>
                <w:szCs w:val="21"/>
              </w:rPr>
              <w:t>…</w:t>
            </w:r>
          </w:p>
        </w:tc>
        <w:tc>
          <w:tcPr>
            <w:tcW w:w="581" w:type="pct"/>
            <w:tcBorders>
              <w:right w:val="single" w:sz="4" w:space="0" w:color="auto"/>
            </w:tcBorders>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422" w:type="pct"/>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7" w:type="pct"/>
            <w:tcBorders>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739" w:type="pct"/>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688" w:type="pct"/>
            <w:gridSpan w:val="2"/>
            <w:tcBorders>
              <w:left w:val="single" w:sz="4" w:space="0" w:color="auto"/>
              <w:righ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c>
          <w:tcPr>
            <w:tcW w:w="1358" w:type="pct"/>
            <w:gridSpan w:val="2"/>
            <w:tcBorders>
              <w:left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color w:val="000000"/>
                <w:kern w:val="0"/>
                <w:szCs w:val="21"/>
              </w:rPr>
            </w:pPr>
          </w:p>
        </w:tc>
      </w:tr>
      <w:tr w:rsidR="00506AE6">
        <w:trPr>
          <w:trHeight w:val="283"/>
          <w:jc w:val="center"/>
        </w:trPr>
        <w:tc>
          <w:tcPr>
            <w:tcW w:w="5000" w:type="pct"/>
            <w:gridSpan w:val="9"/>
            <w:vAlign w:val="center"/>
          </w:tcPr>
          <w:p w:rsidR="00506AE6" w:rsidRDefault="0072598A">
            <w:pPr>
              <w:widowControl/>
              <w:tabs>
                <w:tab w:val="center" w:pos="4201"/>
                <w:tab w:val="right" w:leader="dot" w:pos="9298"/>
              </w:tabs>
              <w:adjustRightInd w:val="0"/>
              <w:snapToGrid w:val="0"/>
              <w:spacing w:line="240" w:lineRule="auto"/>
              <w:ind w:firstLineChars="0" w:firstLine="0"/>
              <w:jc w:val="left"/>
              <w:rPr>
                <w:b/>
                <w:bCs/>
                <w:kern w:val="0"/>
                <w:szCs w:val="21"/>
              </w:rPr>
            </w:pPr>
            <w:r>
              <w:rPr>
                <w:b/>
                <w:bCs/>
                <w:kern w:val="0"/>
                <w:szCs w:val="21"/>
              </w:rPr>
              <w:t xml:space="preserve">F.5 </w:t>
            </w:r>
            <w:r>
              <w:rPr>
                <w:rFonts w:hint="eastAsia"/>
                <w:b/>
                <w:bCs/>
                <w:kern w:val="0"/>
                <w:szCs w:val="21"/>
              </w:rPr>
              <w:t xml:space="preserve"> </w:t>
            </w:r>
            <w:r>
              <w:rPr>
                <w:b/>
                <w:bCs/>
                <w:kern w:val="0"/>
                <w:szCs w:val="21"/>
              </w:rPr>
              <w:t>排放量信息</w:t>
            </w:r>
          </w:p>
        </w:tc>
      </w:tr>
      <w:tr w:rsidR="00506AE6">
        <w:trPr>
          <w:trHeight w:val="283"/>
          <w:jc w:val="center"/>
        </w:trPr>
        <w:tc>
          <w:tcPr>
            <w:tcW w:w="2954" w:type="pct"/>
            <w:gridSpan w:val="5"/>
            <w:tcBorders>
              <w:bottom w:val="single" w:sz="4" w:space="0" w:color="auto"/>
              <w:right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rPr>
                <w:kern w:val="0"/>
                <w:szCs w:val="21"/>
              </w:rPr>
            </w:pPr>
            <w:r>
              <w:rPr>
                <w:kern w:val="0"/>
                <w:szCs w:val="21"/>
              </w:rPr>
              <w:t>熟料生产核算边界碳排放总量（</w:t>
            </w:r>
            <w:r>
              <w:rPr>
                <w:kern w:val="0"/>
                <w:szCs w:val="21"/>
              </w:rPr>
              <w:t>tCO</w:t>
            </w:r>
            <w:r>
              <w:rPr>
                <w:kern w:val="0"/>
                <w:szCs w:val="21"/>
                <w:vertAlign w:val="subscript"/>
              </w:rPr>
              <w:t>2</w:t>
            </w:r>
            <w:r>
              <w:rPr>
                <w:kern w:val="0"/>
                <w:szCs w:val="21"/>
              </w:rPr>
              <w:t>）</w:t>
            </w:r>
          </w:p>
        </w:tc>
        <w:tc>
          <w:tcPr>
            <w:tcW w:w="2046" w:type="pct"/>
            <w:gridSpan w:val="4"/>
            <w:tcBorders>
              <w:left w:val="single" w:sz="4" w:space="0" w:color="auto"/>
              <w:bottom w:val="single" w:sz="4" w:space="0" w:color="auto"/>
            </w:tcBorders>
            <w:vAlign w:val="center"/>
          </w:tcPr>
          <w:p w:rsidR="00506AE6" w:rsidRDefault="00506AE6">
            <w:pPr>
              <w:widowControl/>
              <w:tabs>
                <w:tab w:val="center" w:pos="4201"/>
                <w:tab w:val="right" w:leader="dot" w:pos="9298"/>
              </w:tabs>
              <w:adjustRightInd w:val="0"/>
              <w:snapToGrid w:val="0"/>
              <w:spacing w:line="240" w:lineRule="auto"/>
              <w:ind w:firstLineChars="0" w:firstLine="0"/>
              <w:jc w:val="center"/>
              <w:rPr>
                <w:kern w:val="0"/>
                <w:szCs w:val="21"/>
              </w:rPr>
            </w:pPr>
          </w:p>
        </w:tc>
      </w:tr>
      <w:tr w:rsidR="00506AE6">
        <w:trPr>
          <w:trHeight w:val="283"/>
          <w:jc w:val="center"/>
        </w:trPr>
        <w:tc>
          <w:tcPr>
            <w:tcW w:w="5000" w:type="pct"/>
            <w:gridSpan w:val="9"/>
            <w:tcBorders>
              <w:top w:val="single" w:sz="4" w:space="0" w:color="auto"/>
            </w:tcBorders>
            <w:vAlign w:val="center"/>
          </w:tcPr>
          <w:p w:rsidR="00506AE6" w:rsidRDefault="0072598A">
            <w:pPr>
              <w:widowControl/>
              <w:tabs>
                <w:tab w:val="center" w:pos="4201"/>
                <w:tab w:val="right" w:leader="dot" w:pos="9298"/>
              </w:tabs>
              <w:adjustRightInd w:val="0"/>
              <w:snapToGrid w:val="0"/>
              <w:spacing w:line="240" w:lineRule="auto"/>
              <w:ind w:firstLineChars="0" w:firstLine="0"/>
              <w:jc w:val="left"/>
              <w:rPr>
                <w:b/>
                <w:bCs/>
                <w:kern w:val="0"/>
                <w:szCs w:val="21"/>
              </w:rPr>
            </w:pPr>
            <w:r>
              <w:rPr>
                <w:b/>
                <w:bCs/>
                <w:kern w:val="0"/>
                <w:szCs w:val="21"/>
              </w:rPr>
              <w:t xml:space="preserve">F.6  </w:t>
            </w:r>
            <w:r>
              <w:rPr>
                <w:b/>
                <w:bCs/>
                <w:kern w:val="0"/>
                <w:szCs w:val="21"/>
              </w:rPr>
              <w:t>生产经营变化情况</w:t>
            </w:r>
          </w:p>
        </w:tc>
      </w:tr>
      <w:tr w:rsidR="00506AE6">
        <w:trPr>
          <w:trHeight w:val="283"/>
          <w:jc w:val="center"/>
        </w:trPr>
        <w:tc>
          <w:tcPr>
            <w:tcW w:w="5000" w:type="pct"/>
            <w:gridSpan w:val="9"/>
            <w:vAlign w:val="center"/>
          </w:tcPr>
          <w:p w:rsidR="00506AE6" w:rsidRDefault="0072598A">
            <w:pPr>
              <w:widowControl/>
              <w:tabs>
                <w:tab w:val="center" w:pos="4201"/>
                <w:tab w:val="right" w:leader="dot" w:pos="9298"/>
              </w:tabs>
              <w:adjustRightInd w:val="0"/>
              <w:snapToGrid w:val="0"/>
              <w:spacing w:line="240" w:lineRule="auto"/>
              <w:ind w:firstLineChars="0" w:firstLine="0"/>
              <w:rPr>
                <w:kern w:val="0"/>
                <w:szCs w:val="21"/>
              </w:rPr>
            </w:pPr>
            <w:r>
              <w:rPr>
                <w:kern w:val="0"/>
                <w:szCs w:val="21"/>
              </w:rPr>
              <w:t>包括：</w:t>
            </w:r>
          </w:p>
          <w:p w:rsidR="00506AE6" w:rsidRDefault="0072598A" w:rsidP="004B3B0F">
            <w:pPr>
              <w:pStyle w:val="a5"/>
              <w:numPr>
                <w:ilvl w:val="0"/>
                <w:numId w:val="38"/>
              </w:numPr>
              <w:adjustRightInd w:val="0"/>
              <w:spacing w:line="240" w:lineRule="auto"/>
              <w:ind w:leftChars="200" w:left="840"/>
            </w:pPr>
            <w:r>
              <w:t>企业合并、分立、关停或搬迁情况；</w:t>
            </w:r>
          </w:p>
          <w:p w:rsidR="00506AE6" w:rsidRDefault="0072598A" w:rsidP="004B3B0F">
            <w:pPr>
              <w:pStyle w:val="a5"/>
              <w:numPr>
                <w:ilvl w:val="0"/>
                <w:numId w:val="38"/>
              </w:numPr>
              <w:adjustRightInd w:val="0"/>
              <w:spacing w:line="240" w:lineRule="auto"/>
              <w:ind w:leftChars="200" w:left="840"/>
            </w:pPr>
            <w:r>
              <w:t>熟料生产线关停或新增等情况；</w:t>
            </w:r>
          </w:p>
          <w:p w:rsidR="00506AE6" w:rsidRDefault="0072598A" w:rsidP="004B3B0F">
            <w:pPr>
              <w:pStyle w:val="a5"/>
              <w:numPr>
                <w:ilvl w:val="0"/>
                <w:numId w:val="38"/>
              </w:numPr>
              <w:adjustRightInd w:val="0"/>
              <w:spacing w:line="240" w:lineRule="auto"/>
              <w:ind w:leftChars="200" w:left="840"/>
            </w:pPr>
            <w:r>
              <w:t>较上一年度变化，包括核算边界、排放源等变化情况；</w:t>
            </w:r>
          </w:p>
          <w:p w:rsidR="00506AE6" w:rsidRDefault="0072598A" w:rsidP="004B3B0F">
            <w:pPr>
              <w:pStyle w:val="a5"/>
              <w:numPr>
                <w:ilvl w:val="0"/>
                <w:numId w:val="38"/>
              </w:numPr>
              <w:adjustRightInd w:val="0"/>
              <w:spacing w:line="240" w:lineRule="auto"/>
              <w:ind w:leftChars="200" w:left="840"/>
            </w:pPr>
            <w:r>
              <w:t>其他变化情况。</w:t>
            </w:r>
          </w:p>
        </w:tc>
      </w:tr>
      <w:tr w:rsidR="00506AE6">
        <w:trPr>
          <w:trHeight w:val="283"/>
          <w:jc w:val="center"/>
        </w:trPr>
        <w:tc>
          <w:tcPr>
            <w:tcW w:w="5000" w:type="pct"/>
            <w:gridSpan w:val="9"/>
            <w:vAlign w:val="center"/>
          </w:tcPr>
          <w:p w:rsidR="00506AE6" w:rsidRDefault="0072598A">
            <w:pPr>
              <w:widowControl/>
              <w:tabs>
                <w:tab w:val="center" w:pos="4201"/>
                <w:tab w:val="right" w:leader="dot" w:pos="9298"/>
              </w:tabs>
              <w:adjustRightInd w:val="0"/>
              <w:snapToGrid w:val="0"/>
              <w:spacing w:line="240" w:lineRule="auto"/>
              <w:ind w:firstLineChars="0" w:firstLine="0"/>
              <w:jc w:val="left"/>
              <w:rPr>
                <w:b/>
                <w:bCs/>
                <w:kern w:val="0"/>
                <w:szCs w:val="21"/>
              </w:rPr>
            </w:pPr>
            <w:r>
              <w:rPr>
                <w:b/>
                <w:bCs/>
                <w:kern w:val="0"/>
                <w:szCs w:val="21"/>
              </w:rPr>
              <w:t xml:space="preserve">F.7  </w:t>
            </w:r>
            <w:r>
              <w:rPr>
                <w:b/>
                <w:bCs/>
                <w:kern w:val="0"/>
                <w:szCs w:val="21"/>
              </w:rPr>
              <w:t>企业委托的技术服务机构情况</w:t>
            </w:r>
          </w:p>
        </w:tc>
      </w:tr>
      <w:tr w:rsidR="00506AE6">
        <w:trPr>
          <w:trHeight w:val="283"/>
          <w:jc w:val="center"/>
        </w:trPr>
        <w:tc>
          <w:tcPr>
            <w:tcW w:w="2954" w:type="pct"/>
            <w:gridSpan w:val="5"/>
            <w:vAlign w:val="center"/>
          </w:tcPr>
          <w:p w:rsidR="00506AE6" w:rsidRDefault="0072598A">
            <w:pPr>
              <w:widowControl/>
              <w:tabs>
                <w:tab w:val="center" w:pos="4201"/>
                <w:tab w:val="right" w:leader="dot" w:pos="9298"/>
              </w:tabs>
              <w:adjustRightInd w:val="0"/>
              <w:snapToGrid w:val="0"/>
              <w:spacing w:line="240" w:lineRule="auto"/>
              <w:ind w:firstLineChars="0" w:firstLine="0"/>
              <w:rPr>
                <w:kern w:val="0"/>
                <w:szCs w:val="21"/>
              </w:rPr>
            </w:pPr>
            <w:r>
              <w:rPr>
                <w:kern w:val="0"/>
                <w:szCs w:val="21"/>
              </w:rPr>
              <w:t>企业委托编制本年度温室气体排放报告的技术服务机构名称</w:t>
            </w:r>
            <w:r>
              <w:rPr>
                <w:bCs/>
                <w:szCs w:val="21"/>
                <w:vertAlign w:val="superscript"/>
              </w:rPr>
              <w:t>*2</w:t>
            </w:r>
          </w:p>
        </w:tc>
        <w:tc>
          <w:tcPr>
            <w:tcW w:w="2046" w:type="pct"/>
            <w:gridSpan w:val="4"/>
            <w:vAlign w:val="center"/>
          </w:tcPr>
          <w:p w:rsidR="00506AE6" w:rsidRDefault="00506AE6">
            <w:pPr>
              <w:widowControl/>
              <w:tabs>
                <w:tab w:val="center" w:pos="4201"/>
                <w:tab w:val="right" w:leader="dot" w:pos="9298"/>
              </w:tabs>
              <w:adjustRightInd w:val="0"/>
              <w:snapToGrid w:val="0"/>
              <w:spacing w:line="240" w:lineRule="auto"/>
              <w:ind w:firstLineChars="0" w:firstLine="0"/>
              <w:rPr>
                <w:kern w:val="0"/>
                <w:szCs w:val="21"/>
              </w:rPr>
            </w:pPr>
          </w:p>
        </w:tc>
      </w:tr>
      <w:tr w:rsidR="00506AE6">
        <w:trPr>
          <w:trHeight w:val="283"/>
          <w:jc w:val="center"/>
        </w:trPr>
        <w:tc>
          <w:tcPr>
            <w:tcW w:w="2954" w:type="pct"/>
            <w:gridSpan w:val="5"/>
            <w:vAlign w:val="center"/>
          </w:tcPr>
          <w:p w:rsidR="00506AE6" w:rsidRDefault="0072598A">
            <w:pPr>
              <w:widowControl/>
              <w:tabs>
                <w:tab w:val="center" w:pos="4201"/>
                <w:tab w:val="right" w:leader="dot" w:pos="9298"/>
              </w:tabs>
              <w:adjustRightInd w:val="0"/>
              <w:snapToGrid w:val="0"/>
              <w:spacing w:line="240" w:lineRule="auto"/>
              <w:ind w:firstLineChars="0" w:firstLine="0"/>
              <w:rPr>
                <w:kern w:val="0"/>
                <w:szCs w:val="21"/>
              </w:rPr>
            </w:pPr>
            <w:r>
              <w:rPr>
                <w:kern w:val="0"/>
                <w:szCs w:val="21"/>
              </w:rPr>
              <w:t>企业委托编制本年度温室气体排放报告的技术服务机构统一社会信用代码</w:t>
            </w:r>
            <w:r>
              <w:rPr>
                <w:bCs/>
                <w:szCs w:val="21"/>
                <w:vertAlign w:val="superscript"/>
              </w:rPr>
              <w:t>*2</w:t>
            </w:r>
          </w:p>
        </w:tc>
        <w:tc>
          <w:tcPr>
            <w:tcW w:w="2046" w:type="pct"/>
            <w:gridSpan w:val="4"/>
            <w:vAlign w:val="center"/>
          </w:tcPr>
          <w:p w:rsidR="00506AE6" w:rsidRDefault="00506AE6">
            <w:pPr>
              <w:widowControl/>
              <w:tabs>
                <w:tab w:val="center" w:pos="4201"/>
                <w:tab w:val="right" w:leader="dot" w:pos="9298"/>
              </w:tabs>
              <w:adjustRightInd w:val="0"/>
              <w:snapToGrid w:val="0"/>
              <w:spacing w:line="240" w:lineRule="auto"/>
              <w:ind w:firstLineChars="0" w:firstLine="0"/>
              <w:rPr>
                <w:kern w:val="0"/>
                <w:szCs w:val="21"/>
              </w:rPr>
            </w:pPr>
          </w:p>
        </w:tc>
      </w:tr>
      <w:tr w:rsidR="00506AE6">
        <w:trPr>
          <w:trHeight w:val="283"/>
          <w:jc w:val="center"/>
        </w:trPr>
        <w:tc>
          <w:tcPr>
            <w:tcW w:w="2954" w:type="pct"/>
            <w:gridSpan w:val="5"/>
            <w:vAlign w:val="center"/>
          </w:tcPr>
          <w:p w:rsidR="00506AE6" w:rsidRDefault="0072598A">
            <w:pPr>
              <w:widowControl/>
              <w:tabs>
                <w:tab w:val="center" w:pos="4201"/>
                <w:tab w:val="right" w:leader="dot" w:pos="9298"/>
              </w:tabs>
              <w:adjustRightInd w:val="0"/>
              <w:snapToGrid w:val="0"/>
              <w:spacing w:line="240" w:lineRule="auto"/>
              <w:ind w:firstLineChars="0" w:firstLine="0"/>
              <w:rPr>
                <w:kern w:val="0"/>
                <w:szCs w:val="21"/>
              </w:rPr>
            </w:pPr>
            <w:r>
              <w:rPr>
                <w:iCs/>
                <w:kern w:val="0"/>
                <w:szCs w:val="21"/>
              </w:rPr>
              <w:t>企业委托提供检验检测和计量设备维护校准服务的技术服务机构名称</w:t>
            </w:r>
          </w:p>
        </w:tc>
        <w:tc>
          <w:tcPr>
            <w:tcW w:w="2046" w:type="pct"/>
            <w:gridSpan w:val="4"/>
            <w:vAlign w:val="center"/>
          </w:tcPr>
          <w:p w:rsidR="00506AE6" w:rsidRDefault="00506AE6">
            <w:pPr>
              <w:widowControl/>
              <w:tabs>
                <w:tab w:val="center" w:pos="4201"/>
                <w:tab w:val="right" w:leader="dot" w:pos="9298"/>
              </w:tabs>
              <w:adjustRightInd w:val="0"/>
              <w:snapToGrid w:val="0"/>
              <w:spacing w:line="240" w:lineRule="auto"/>
              <w:ind w:firstLineChars="0" w:firstLine="0"/>
              <w:rPr>
                <w:kern w:val="0"/>
                <w:szCs w:val="21"/>
              </w:rPr>
            </w:pPr>
          </w:p>
        </w:tc>
      </w:tr>
      <w:tr w:rsidR="00506AE6">
        <w:trPr>
          <w:trHeight w:val="283"/>
          <w:jc w:val="center"/>
        </w:trPr>
        <w:tc>
          <w:tcPr>
            <w:tcW w:w="2954" w:type="pct"/>
            <w:gridSpan w:val="5"/>
            <w:vAlign w:val="center"/>
          </w:tcPr>
          <w:p w:rsidR="00506AE6" w:rsidRDefault="0072598A">
            <w:pPr>
              <w:widowControl/>
              <w:tabs>
                <w:tab w:val="center" w:pos="4201"/>
                <w:tab w:val="right" w:leader="dot" w:pos="9298"/>
              </w:tabs>
              <w:adjustRightInd w:val="0"/>
              <w:snapToGrid w:val="0"/>
              <w:spacing w:line="240" w:lineRule="auto"/>
              <w:ind w:firstLineChars="0" w:firstLine="0"/>
              <w:rPr>
                <w:iCs/>
                <w:kern w:val="0"/>
                <w:szCs w:val="21"/>
              </w:rPr>
            </w:pPr>
            <w:r>
              <w:rPr>
                <w:iCs/>
                <w:kern w:val="0"/>
                <w:szCs w:val="21"/>
              </w:rPr>
              <w:t>企业委托提供检验检测和计量设备维护校准服务的技术服务机构统一社会信用代码</w:t>
            </w:r>
          </w:p>
        </w:tc>
        <w:tc>
          <w:tcPr>
            <w:tcW w:w="2046" w:type="pct"/>
            <w:gridSpan w:val="4"/>
            <w:vAlign w:val="center"/>
          </w:tcPr>
          <w:p w:rsidR="00506AE6" w:rsidRDefault="00506AE6">
            <w:pPr>
              <w:widowControl/>
              <w:tabs>
                <w:tab w:val="center" w:pos="4201"/>
                <w:tab w:val="right" w:leader="dot" w:pos="9298"/>
              </w:tabs>
              <w:adjustRightInd w:val="0"/>
              <w:snapToGrid w:val="0"/>
              <w:spacing w:line="240" w:lineRule="auto"/>
              <w:ind w:firstLineChars="0" w:firstLine="0"/>
              <w:rPr>
                <w:iCs/>
                <w:kern w:val="0"/>
                <w:szCs w:val="21"/>
              </w:rPr>
            </w:pPr>
          </w:p>
        </w:tc>
      </w:tr>
    </w:tbl>
    <w:p w:rsidR="00506AE6" w:rsidRDefault="0072598A">
      <w:pPr>
        <w:pStyle w:val="affb"/>
        <w:autoSpaceDE w:val="0"/>
        <w:autoSpaceDN w:val="0"/>
        <w:snapToGrid/>
        <w:ind w:left="180" w:hangingChars="100" w:hanging="180"/>
        <w:jc w:val="both"/>
        <w:rPr>
          <w:rFonts w:ascii="Times New Roman"/>
        </w:rPr>
      </w:pPr>
      <w:r>
        <w:rPr>
          <w:rFonts w:ascii="Times New Roman" w:hint="eastAsia"/>
        </w:rPr>
        <w:t>填报说明：</w:t>
      </w:r>
    </w:p>
    <w:p w:rsidR="00506AE6" w:rsidRDefault="0072598A">
      <w:pPr>
        <w:pStyle w:val="affb"/>
        <w:snapToGrid/>
        <w:ind w:left="180" w:hangingChars="100" w:hanging="180"/>
        <w:jc w:val="both"/>
        <w:rPr>
          <w:rFonts w:ascii="Times New Roman"/>
          <w:kern w:val="0"/>
        </w:rPr>
      </w:pPr>
      <w:r>
        <w:rPr>
          <w:rFonts w:ascii="Times New Roman"/>
          <w:kern w:val="0"/>
          <w:vertAlign w:val="superscript"/>
        </w:rPr>
        <w:t>*1</w:t>
      </w:r>
      <w:r>
        <w:rPr>
          <w:rFonts w:ascii="Times New Roman" w:hint="eastAsia"/>
          <w:kern w:val="0"/>
        </w:rPr>
        <w:t>如果熟料生产线多于</w:t>
      </w:r>
      <w:r>
        <w:rPr>
          <w:rFonts w:ascii="Times New Roman"/>
          <w:kern w:val="0"/>
        </w:rPr>
        <w:t>1</w:t>
      </w:r>
      <w:r>
        <w:rPr>
          <w:rFonts w:ascii="Times New Roman" w:hint="eastAsia"/>
          <w:kern w:val="0"/>
        </w:rPr>
        <w:t>条，应分别填报。</w:t>
      </w:r>
      <w:bookmarkStart w:id="437" w:name="《汽车工业污染防治可行技术指南"/>
      <w:bookmarkEnd w:id="437"/>
    </w:p>
    <w:p w:rsidR="00506AE6" w:rsidRDefault="0072598A">
      <w:pPr>
        <w:pStyle w:val="affb"/>
        <w:snapToGrid/>
        <w:ind w:left="180" w:hangingChars="100" w:hanging="180"/>
        <w:jc w:val="both"/>
        <w:rPr>
          <w:rFonts w:ascii="Times New Roman" w:eastAsia="等线"/>
          <w:b/>
          <w:bCs/>
          <w:kern w:val="0"/>
          <w:szCs w:val="21"/>
        </w:rPr>
      </w:pPr>
      <w:r>
        <w:rPr>
          <w:rFonts w:ascii="Times New Roman"/>
          <w:bCs/>
          <w:vertAlign w:val="superscript"/>
        </w:rPr>
        <w:t>*2</w:t>
      </w:r>
      <w:r>
        <w:rPr>
          <w:rFonts w:ascii="Times New Roman" w:hint="eastAsia"/>
          <w:bCs/>
        </w:rPr>
        <w:t>是指为水泥熟料生产企业提供本年度碳排放核算、报告编制或碳资产管理等咨询服务机构，不包括开展碳排放核查</w:t>
      </w:r>
      <w:r>
        <w:rPr>
          <w:rFonts w:ascii="Times New Roman"/>
          <w:bCs/>
        </w:rPr>
        <w:t>/</w:t>
      </w:r>
      <w:r>
        <w:rPr>
          <w:rFonts w:ascii="Times New Roman" w:hint="eastAsia"/>
          <w:bCs/>
        </w:rPr>
        <w:t>复查的机构。若企业自行编制温室气体排放报告，不填写该项内容。</w:t>
      </w:r>
    </w:p>
    <w:sectPr w:rsidR="00506AE6">
      <w:footnotePr>
        <w:numRestart w:val="eachSect"/>
      </w:footnotePr>
      <w:pgSz w:w="16838" w:h="11906" w:orient="landscape"/>
      <w:pgMar w:top="1616" w:right="1474" w:bottom="1616" w:left="1928"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98A" w:rsidRDefault="0072598A">
      <w:pPr>
        <w:spacing w:line="240" w:lineRule="auto"/>
      </w:pPr>
      <w:r>
        <w:separator/>
      </w:r>
    </w:p>
  </w:endnote>
  <w:endnote w:type="continuationSeparator" w:id="0">
    <w:p w:rsidR="0072598A" w:rsidRDefault="007259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23F1C38F-01D7-4886-B7C0-E1F2CEC7A87D}"/>
    <w:embedBold r:id="rId2" w:subsetted="1" w:fontKey="{84EE15DD-B4C6-4454-B36C-8F9919607A17}"/>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楷体_GB2312">
    <w:charset w:val="86"/>
    <w:family w:val="modern"/>
    <w:pitch w:val="default"/>
    <w:sig w:usb0="00000001" w:usb1="080E0000" w:usb2="00000000" w:usb3="00000000" w:csb0="00040000" w:csb1="00000000"/>
    <w:embedRegular r:id="rId3" w:subsetted="1" w:fontKey="{BF9C9955-239F-4080-8136-48DDB24DEB13}"/>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楷体_GBK">
    <w:altName w:val="Arial Unicode MS"/>
    <w:charset w:val="86"/>
    <w:family w:val="auto"/>
    <w:pitch w:val="default"/>
    <w:sig w:usb0="00000000" w:usb1="080E0000" w:usb2="00000000" w:usb3="00000000" w:csb0="00040000" w:csb1="00000000"/>
  </w:font>
  <w:font w:name="方正仿宋_GBK">
    <w:altName w:val="Arial Unicode MS"/>
    <w:charset w:val="86"/>
    <w:family w:val="script"/>
    <w:pitch w:val="default"/>
    <w:sig w:usb0="00000000" w:usb1="080E0000" w:usb2="00000000" w:usb3="00000000" w:csb0="00040000" w:csb1="00000000"/>
  </w:font>
  <w:font w:name="微软雅黑">
    <w:panose1 w:val="020B0503020204020204"/>
    <w:charset w:val="86"/>
    <w:family w:val="swiss"/>
    <w:pitch w:val="variable"/>
    <w:sig w:usb0="80000287" w:usb1="280F3C52" w:usb2="00000016" w:usb3="00000000" w:csb0="0004001F" w:csb1="00000000"/>
    <w:embedRegular r:id="rId4" w:subsetted="1" w:fontKey="{3E032924-B4A1-4C7F-8BE3-88DAB208B823}"/>
  </w:font>
  <w:font w:name="方正小标宋_GBK">
    <w:altName w:val="Arial Unicode MS"/>
    <w:charset w:val="86"/>
    <w:family w:val="auto"/>
    <w:pitch w:val="default"/>
    <w:sig w:usb0="00000000" w:usb1="080E0000" w:usb2="00000000" w:usb3="00000000" w:csb0="00040000" w:csb1="00000000"/>
  </w:font>
  <w:font w:name="Cambria Math">
    <w:panose1 w:val="02040503050406030204"/>
    <w:charset w:val="00"/>
    <w:family w:val="roman"/>
    <w:pitch w:val="variable"/>
    <w:sig w:usb0="E00002FF" w:usb1="420024FF" w:usb2="00000000" w:usb3="00000000" w:csb0="0000019F" w:csb1="00000000"/>
    <w:embedRegular r:id="rId5" w:fontKey="{7CB19875-9268-4D45-9959-7EC1B86DFECE}"/>
    <w:embedItalic r:id="rId6" w:fontKey="{B2294682-DFDC-4604-82A9-8523F358037B}"/>
  </w:font>
  <w:font w:name="仿宋_GB2312">
    <w:altName w:val="仿宋"/>
    <w:charset w:val="86"/>
    <w:family w:val="modern"/>
    <w:pitch w:val="fixed"/>
    <w:sig w:usb0="00000001" w:usb1="080E0000" w:usb2="00000010" w:usb3="00000000" w:csb0="00040000" w:csb1="00000000"/>
  </w:font>
  <w:font w:name="DejaVu Math TeX Gyre">
    <w:altName w:val="思源黑体 CN Bold"/>
    <w:charset w:val="00"/>
    <w:family w:val="auto"/>
    <w:pitch w:val="default"/>
    <w:sig w:usb0="00000001" w:usb1="4201F9EE" w:usb2="02000000" w:usb3="00000000" w:csb0="60000193" w:csb1="0DD40000"/>
  </w:font>
  <w:font w:name="宋体堲..鰔.">
    <w:altName w:val="方正书宋_GBK"/>
    <w:charset w:val="86"/>
    <w:family w:val="auto"/>
    <w:pitch w:val="default"/>
    <w:sig w:usb0="00000000" w:usb1="00000000" w:usb2="00000010" w:usb3="00000000" w:csb0="00040000"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E6" w:rsidRDefault="00506AE6">
    <w:pPr>
      <w:pStyle w:val="aff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E6" w:rsidRDefault="00506AE6">
    <w:pPr>
      <w:pStyle w:val="aff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E6" w:rsidRDefault="00506AE6">
    <w:pPr>
      <w:pStyle w:val="aff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E6" w:rsidRDefault="0072598A">
    <w:pPr>
      <w:pStyle w:val="aff7"/>
      <w:ind w:firstLine="360"/>
      <w:jc w:val="center"/>
    </w:pPr>
    <w:r>
      <w:t xml:space="preserve">- </w:t>
    </w:r>
    <w:r>
      <w:fldChar w:fldCharType="begin"/>
    </w:r>
    <w:r>
      <w:instrText xml:space="preserve"> PAGE   \* MERGEFORMAT </w:instrText>
    </w:r>
    <w:r>
      <w:fldChar w:fldCharType="separate"/>
    </w:r>
    <w:r w:rsidR="004B3B0F" w:rsidRPr="004B3B0F">
      <w:rPr>
        <w:noProof/>
        <w:lang w:val="zh-CN"/>
      </w:rPr>
      <w:t>I</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E6" w:rsidRDefault="0072598A">
    <w:pPr>
      <w:pStyle w:val="aff7"/>
      <w:ind w:firstLine="360"/>
      <w:jc w:val="center"/>
    </w:pPr>
    <w:r>
      <w:t xml:space="preserve">- </w:t>
    </w:r>
    <w:r>
      <w:fldChar w:fldCharType="begin"/>
    </w:r>
    <w:r>
      <w:instrText xml:space="preserve"> PAGE   \* MERGEFORMAT </w:instrText>
    </w:r>
    <w:r>
      <w:fldChar w:fldCharType="separate"/>
    </w:r>
    <w:r w:rsidR="004B3B0F" w:rsidRPr="004B3B0F">
      <w:rPr>
        <w:noProof/>
        <w:lang w:val="zh-CN"/>
      </w:rPr>
      <w:t>25</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98A" w:rsidRDefault="0072598A">
      <w:pPr>
        <w:spacing w:line="240" w:lineRule="auto"/>
      </w:pPr>
      <w:r>
        <w:separator/>
      </w:r>
    </w:p>
  </w:footnote>
  <w:footnote w:type="continuationSeparator" w:id="0">
    <w:p w:rsidR="0072598A" w:rsidRDefault="0072598A">
      <w:pPr>
        <w:spacing w:line="240" w:lineRule="auto"/>
      </w:pPr>
      <w:r>
        <w:continuationSeparator/>
      </w:r>
    </w:p>
  </w:footnote>
  <w:footnote w:id="1">
    <w:p w:rsidR="00506AE6" w:rsidRDefault="0072598A">
      <w:pPr>
        <w:pStyle w:val="affb"/>
        <w:ind w:firstLineChars="0" w:firstLine="0"/>
        <w:rPr>
          <w:rFonts w:ascii="Times New Roman"/>
        </w:rPr>
      </w:pPr>
      <w:r>
        <w:rPr>
          <w:rStyle w:val="afff8"/>
          <w:rFonts w:ascii="Times New Roman"/>
        </w:rPr>
        <w:footnoteRef/>
      </w:r>
      <w:r>
        <w:rPr>
          <w:rFonts w:ascii="Times New Roman"/>
        </w:rPr>
        <w:t xml:space="preserve">  </w:t>
      </w:r>
      <w:r>
        <w:rPr>
          <w:rFonts w:ascii="Times New Roman" w:hint="eastAsia"/>
        </w:rPr>
        <w:t>本指南所称存量常规水电是指</w:t>
      </w:r>
      <w:r>
        <w:rPr>
          <w:rFonts w:ascii="Times New Roman"/>
        </w:rPr>
        <w:t>2023</w:t>
      </w:r>
      <w:r>
        <w:rPr>
          <w:rFonts w:ascii="Times New Roman" w:hint="eastAsia"/>
        </w:rPr>
        <w:t>年</w:t>
      </w:r>
      <w:r>
        <w:rPr>
          <w:rFonts w:ascii="Times New Roman"/>
        </w:rPr>
        <w:t>1</w:t>
      </w:r>
      <w:r>
        <w:rPr>
          <w:rFonts w:ascii="Times New Roman" w:hint="eastAsia"/>
        </w:rPr>
        <w:t>月</w:t>
      </w:r>
      <w:r>
        <w:rPr>
          <w:rFonts w:ascii="Times New Roman"/>
        </w:rPr>
        <w:t>1</w:t>
      </w:r>
      <w:r>
        <w:rPr>
          <w:rFonts w:ascii="Times New Roman" w:hint="eastAsia"/>
        </w:rPr>
        <w:t>日之前投产的水电项目。</w:t>
      </w:r>
    </w:p>
  </w:footnote>
  <w:footnote w:id="2">
    <w:p w:rsidR="00506AE6" w:rsidRDefault="0072598A">
      <w:pPr>
        <w:pStyle w:val="affb"/>
        <w:ind w:firstLineChars="0" w:firstLine="0"/>
        <w:rPr>
          <w:rFonts w:ascii="Times New Roman"/>
        </w:rPr>
      </w:pPr>
      <w:r>
        <w:rPr>
          <w:rStyle w:val="afff8"/>
          <w:rFonts w:ascii="Times New Roman"/>
        </w:rPr>
        <w:footnoteRef/>
      </w:r>
      <w:r>
        <w:rPr>
          <w:rFonts w:ascii="Times New Roman"/>
        </w:rPr>
        <w:t xml:space="preserve">  </w:t>
      </w:r>
      <w:r>
        <w:rPr>
          <w:rFonts w:ascii="Times New Roman" w:hint="eastAsia"/>
        </w:rPr>
        <w:t>相比于《关于做好</w:t>
      </w:r>
      <w:r>
        <w:rPr>
          <w:rFonts w:ascii="Times New Roman" w:hint="eastAsia"/>
        </w:rPr>
        <w:t>2023</w:t>
      </w:r>
      <w:r>
        <w:rPr>
          <w:rFonts w:ascii="Times New Roman" w:hint="eastAsia"/>
        </w:rPr>
        <w:t>—</w:t>
      </w:r>
      <w:r>
        <w:rPr>
          <w:rFonts w:ascii="Times New Roman" w:hint="eastAsia"/>
        </w:rPr>
        <w:t>2025</w:t>
      </w:r>
      <w:r>
        <w:rPr>
          <w:rFonts w:ascii="Times New Roman" w:hint="eastAsia"/>
        </w:rPr>
        <w:t>年发电行业企业温室气体排放报告管理有关工作的通知》中的全国电网平均排放因子，本指南所指的电力排放因子计算过程中不包括市场化交易的非化石能源电量。</w:t>
      </w:r>
    </w:p>
  </w:footnote>
  <w:footnote w:id="3">
    <w:p w:rsidR="00506AE6" w:rsidRDefault="0072598A">
      <w:pPr>
        <w:pStyle w:val="affb"/>
        <w:ind w:left="180" w:hangingChars="100" w:hanging="180"/>
        <w:jc w:val="both"/>
        <w:rPr>
          <w:rFonts w:ascii="Times New Roman"/>
        </w:rPr>
      </w:pPr>
      <w:r>
        <w:rPr>
          <w:rFonts w:ascii="Times New Roman" w:hint="eastAsia"/>
          <w:color w:val="000000"/>
          <w:vertAlign w:val="superscript"/>
        </w:rPr>
        <w:t>*</w:t>
      </w:r>
      <w:r>
        <w:rPr>
          <w:rStyle w:val="afff8"/>
          <w:rFonts w:ascii="Times New Roman"/>
        </w:rPr>
        <w:footnoteRef/>
      </w:r>
      <w:r>
        <w:rPr>
          <w:rFonts w:ascii="Times New Roman"/>
        </w:rPr>
        <w:t xml:space="preserve"> </w:t>
      </w:r>
      <w:r>
        <w:rPr>
          <w:rFonts w:ascii="Times New Roman" w:hint="eastAsia"/>
        </w:rPr>
        <w:t>若生产线多于</w:t>
      </w:r>
      <w:r>
        <w:rPr>
          <w:rFonts w:ascii="Times New Roman" w:hint="eastAsia"/>
        </w:rPr>
        <w:t>1</w:t>
      </w:r>
      <w:r>
        <w:rPr>
          <w:rFonts w:ascii="Times New Roman" w:hint="eastAsia"/>
        </w:rPr>
        <w:t>条，应分别填报</w:t>
      </w:r>
      <w:r>
        <w:rPr>
          <w:rFonts w:ascii="Times New Roman"/>
        </w:rPr>
        <w:t>。</w:t>
      </w:r>
    </w:p>
  </w:footnote>
  <w:footnote w:id="4">
    <w:p w:rsidR="00506AE6" w:rsidRDefault="0072598A">
      <w:pPr>
        <w:pStyle w:val="affb"/>
        <w:ind w:left="180" w:hangingChars="100" w:hanging="180"/>
        <w:jc w:val="both"/>
        <w:rPr>
          <w:rFonts w:ascii="Times New Roman"/>
        </w:rPr>
      </w:pPr>
      <w:r>
        <w:rPr>
          <w:rFonts w:ascii="Times New Roman" w:hint="eastAsia"/>
          <w:color w:val="000000"/>
          <w:vertAlign w:val="superscript"/>
        </w:rPr>
        <w:t>*</w:t>
      </w:r>
      <w:r>
        <w:rPr>
          <w:rStyle w:val="afff8"/>
          <w:rFonts w:ascii="Times New Roman"/>
        </w:rPr>
        <w:footnoteRef/>
      </w:r>
      <w:r>
        <w:rPr>
          <w:rFonts w:ascii="Times New Roman"/>
        </w:rPr>
        <w:t xml:space="preserve"> </w:t>
      </w:r>
      <w:r>
        <w:rPr>
          <w:rFonts w:ascii="Times New Roman" w:hint="eastAsia"/>
        </w:rPr>
        <w:t>熟料类别按硅酸盐水泥熟料、白色硅酸盐水泥熟料、铝酸盐水泥熟料、硫（铁）铝酸盐水泥熟料类别填报。</w:t>
      </w:r>
    </w:p>
  </w:footnote>
  <w:footnote w:id="5">
    <w:p w:rsidR="00506AE6" w:rsidRDefault="0072598A">
      <w:pPr>
        <w:pStyle w:val="affb"/>
        <w:ind w:left="180" w:hangingChars="100" w:hanging="180"/>
        <w:jc w:val="both"/>
        <w:rPr>
          <w:rFonts w:ascii="Times New Roman"/>
        </w:rPr>
      </w:pPr>
      <w:r>
        <w:rPr>
          <w:rFonts w:ascii="Times New Roman" w:hint="eastAsia"/>
          <w:color w:val="000000"/>
          <w:vertAlign w:val="superscript"/>
        </w:rPr>
        <w:t>*</w:t>
      </w:r>
      <w:r>
        <w:rPr>
          <w:rStyle w:val="afff8"/>
          <w:rFonts w:ascii="Times New Roman"/>
        </w:rPr>
        <w:footnoteRef/>
      </w:r>
      <w:r>
        <w:rPr>
          <w:rFonts w:ascii="Times New Roman"/>
        </w:rPr>
        <w:t xml:space="preserve"> </w:t>
      </w:r>
      <w:r>
        <w:rPr>
          <w:rFonts w:ascii="Times New Roman" w:hint="eastAsia"/>
        </w:rPr>
        <w:t>熟料品种包括通用水泥熟料、低碱通用水泥熟料、中抗硫酸盐水泥熟料、高抗硫酸盐水泥熟料、中热水泥熟料、低热水泥熟料、道路硅酸盐水泥熟料、油井水泥熟料和核电工程用硅酸盐水泥熟料等硅酸盐水泥熟料，以及白色硅酸盐水泥熟料、铝酸盐水泥熟料、硫铝酸盐水泥熟料、铁铝酸盐水泥熟料。</w:t>
      </w:r>
    </w:p>
  </w:footnote>
  <w:footnote w:id="6">
    <w:p w:rsidR="00506AE6" w:rsidRDefault="0072598A">
      <w:pPr>
        <w:pStyle w:val="affb"/>
        <w:adjustRightInd w:val="0"/>
        <w:ind w:left="180" w:hangingChars="100" w:hanging="180"/>
        <w:jc w:val="both"/>
        <w:rPr>
          <w:rFonts w:ascii="Times New Roman"/>
        </w:rPr>
      </w:pPr>
      <w:r>
        <w:rPr>
          <w:rFonts w:ascii="Times New Roman" w:hint="eastAsia"/>
          <w:color w:val="000000"/>
          <w:vertAlign w:val="superscript"/>
        </w:rPr>
        <w:t>*</w:t>
      </w:r>
      <w:r>
        <w:rPr>
          <w:rStyle w:val="afff8"/>
          <w:rFonts w:ascii="Times New Roman"/>
        </w:rPr>
        <w:footnoteRef/>
      </w:r>
      <w:r>
        <w:rPr>
          <w:rFonts w:ascii="Times New Roman"/>
        </w:rPr>
        <w:t xml:space="preserve"> </w:t>
      </w:r>
      <w:r>
        <w:rPr>
          <w:rFonts w:ascii="Times New Roman"/>
        </w:rPr>
        <w:t>如果报告数据是由若干个参数通过一定的计算方法计算得出，需要填写计算公式以及计算公式中的每一个参数的获取方式。</w:t>
      </w:r>
    </w:p>
  </w:footnote>
  <w:footnote w:id="7">
    <w:p w:rsidR="00506AE6" w:rsidRDefault="0072598A">
      <w:pPr>
        <w:pStyle w:val="affb"/>
        <w:adjustRightInd w:val="0"/>
        <w:ind w:left="180" w:hangingChars="100" w:hanging="180"/>
        <w:jc w:val="both"/>
        <w:rPr>
          <w:rFonts w:ascii="Times New Roman"/>
        </w:rPr>
      </w:pPr>
      <w:r>
        <w:rPr>
          <w:rFonts w:ascii="Times New Roman" w:hint="eastAsia"/>
          <w:color w:val="000000"/>
          <w:vertAlign w:val="superscript"/>
        </w:rPr>
        <w:t>*</w:t>
      </w:r>
      <w:r>
        <w:rPr>
          <w:rStyle w:val="afff8"/>
          <w:rFonts w:ascii="Times New Roman"/>
        </w:rPr>
        <w:footnoteRef/>
      </w:r>
      <w:r>
        <w:rPr>
          <w:rFonts w:ascii="Times New Roman"/>
        </w:rPr>
        <w:t xml:space="preserve"> </w:t>
      </w:r>
      <w:r>
        <w:rPr>
          <w:rFonts w:ascii="Times New Roman"/>
        </w:rPr>
        <w:t>获取方式包括：实测值、</w:t>
      </w:r>
      <w:r>
        <w:rPr>
          <w:rFonts w:ascii="Times New Roman"/>
        </w:rPr>
        <w:t>缺省值、计算值、其他。</w:t>
      </w:r>
    </w:p>
  </w:footnote>
  <w:footnote w:id="8">
    <w:p w:rsidR="00506AE6" w:rsidRDefault="0072598A">
      <w:pPr>
        <w:pStyle w:val="affb"/>
        <w:adjustRightInd w:val="0"/>
        <w:ind w:left="180" w:hangingChars="100" w:hanging="180"/>
        <w:jc w:val="both"/>
        <w:rPr>
          <w:rFonts w:ascii="Times New Roman"/>
        </w:rPr>
      </w:pPr>
      <w:r>
        <w:rPr>
          <w:rFonts w:ascii="Times New Roman" w:hint="eastAsia"/>
          <w:color w:val="000000"/>
          <w:vertAlign w:val="superscript"/>
        </w:rPr>
        <w:t>*</w:t>
      </w:r>
      <w:r>
        <w:rPr>
          <w:rStyle w:val="afff8"/>
          <w:rFonts w:ascii="Times New Roman"/>
        </w:rPr>
        <w:footnoteRef/>
      </w:r>
      <w:r>
        <w:rPr>
          <w:rFonts w:ascii="Times New Roman"/>
        </w:rPr>
        <w:t xml:space="preserve"> </w:t>
      </w:r>
      <w:r>
        <w:rPr>
          <w:rFonts w:ascii="Times New Roman" w:hint="eastAsia"/>
        </w:rPr>
        <w:t>具体描述</w:t>
      </w:r>
      <w:r>
        <w:rPr>
          <w:rFonts w:ascii="Times New Roman"/>
        </w:rPr>
        <w:t>填报说明：</w:t>
      </w:r>
    </w:p>
    <w:p w:rsidR="00506AE6" w:rsidRDefault="0072598A">
      <w:pPr>
        <w:pStyle w:val="affb"/>
        <w:numPr>
          <w:ilvl w:val="0"/>
          <w:numId w:val="17"/>
        </w:numPr>
        <w:tabs>
          <w:tab w:val="clear" w:pos="4338"/>
          <w:tab w:val="clear" w:pos="8675"/>
        </w:tabs>
        <w:ind w:leftChars="100" w:left="570" w:hangingChars="200" w:hanging="360"/>
        <w:jc w:val="both"/>
        <w:rPr>
          <w:rFonts w:ascii="Times New Roman"/>
        </w:rPr>
      </w:pPr>
      <w:r>
        <w:rPr>
          <w:rFonts w:ascii="Times New Roman"/>
        </w:rPr>
        <w:t>获取方式为实测值，填报具体</w:t>
      </w:r>
      <w:r>
        <w:rPr>
          <w:rFonts w:ascii="Times New Roman" w:hint="eastAsia"/>
        </w:rPr>
        <w:t>计量</w:t>
      </w:r>
      <w:r>
        <w:rPr>
          <w:rFonts w:ascii="Times New Roman" w:hint="eastAsia"/>
        </w:rPr>
        <w:t>/</w:t>
      </w:r>
      <w:r>
        <w:rPr>
          <w:rFonts w:ascii="Times New Roman" w:hint="eastAsia"/>
        </w:rPr>
        <w:t>检测</w:t>
      </w:r>
      <w:r>
        <w:rPr>
          <w:rFonts w:ascii="Times New Roman"/>
        </w:rPr>
        <w:t>方法和标准；</w:t>
      </w:r>
    </w:p>
    <w:p w:rsidR="00506AE6" w:rsidRDefault="0072598A">
      <w:pPr>
        <w:pStyle w:val="affb"/>
        <w:numPr>
          <w:ilvl w:val="0"/>
          <w:numId w:val="17"/>
        </w:numPr>
        <w:tabs>
          <w:tab w:val="clear" w:pos="4338"/>
          <w:tab w:val="clear" w:pos="8675"/>
        </w:tabs>
        <w:ind w:leftChars="100" w:left="570" w:hangingChars="200" w:hanging="360"/>
        <w:jc w:val="both"/>
        <w:rPr>
          <w:rFonts w:ascii="Times New Roman"/>
        </w:rPr>
      </w:pPr>
      <w:r>
        <w:rPr>
          <w:rFonts w:ascii="Times New Roman"/>
        </w:rPr>
        <w:t>获取方式为缺省值，填报具体缺省值；</w:t>
      </w:r>
    </w:p>
    <w:p w:rsidR="00506AE6" w:rsidRDefault="0072598A">
      <w:pPr>
        <w:pStyle w:val="affb"/>
        <w:numPr>
          <w:ilvl w:val="0"/>
          <w:numId w:val="17"/>
        </w:numPr>
        <w:tabs>
          <w:tab w:val="clear" w:pos="4338"/>
          <w:tab w:val="clear" w:pos="8675"/>
        </w:tabs>
        <w:ind w:leftChars="100" w:left="570" w:hangingChars="200" w:hanging="360"/>
        <w:jc w:val="both"/>
        <w:rPr>
          <w:rFonts w:ascii="Times New Roman"/>
        </w:rPr>
      </w:pPr>
      <w:r>
        <w:rPr>
          <w:rFonts w:ascii="Times New Roman"/>
        </w:rPr>
        <w:t>获取方式为计算值，填报具体计算公式及计算公式中的每一个参数的获取方式；</w:t>
      </w:r>
    </w:p>
    <w:p w:rsidR="00506AE6" w:rsidRDefault="0072598A">
      <w:pPr>
        <w:pStyle w:val="affb"/>
        <w:numPr>
          <w:ilvl w:val="0"/>
          <w:numId w:val="17"/>
        </w:numPr>
        <w:tabs>
          <w:tab w:val="clear" w:pos="4338"/>
          <w:tab w:val="clear" w:pos="8675"/>
        </w:tabs>
        <w:ind w:leftChars="100" w:left="570" w:hangingChars="200" w:hanging="360"/>
        <w:jc w:val="both"/>
        <w:rPr>
          <w:rFonts w:ascii="Times New Roman"/>
        </w:rPr>
      </w:pPr>
      <w:r>
        <w:rPr>
          <w:rFonts w:ascii="Times New Roman"/>
        </w:rPr>
        <w:t>获取方式为其他，进行详细描述</w:t>
      </w:r>
      <w:r>
        <w:rPr>
          <w:rFonts w:ascii="Times New Roman" w:hint="eastAsia"/>
        </w:rPr>
        <w:t>。</w:t>
      </w:r>
    </w:p>
  </w:footnote>
  <w:footnote w:id="9">
    <w:p w:rsidR="00506AE6" w:rsidRDefault="0072598A">
      <w:pPr>
        <w:pStyle w:val="affb"/>
        <w:ind w:left="180" w:hangingChars="100" w:hanging="180"/>
        <w:jc w:val="both"/>
        <w:rPr>
          <w:rFonts w:ascii="Times New Roman"/>
        </w:rPr>
      </w:pPr>
      <w:r>
        <w:rPr>
          <w:rFonts w:ascii="Times New Roman" w:hint="eastAsia"/>
          <w:color w:val="000000"/>
          <w:vertAlign w:val="superscript"/>
        </w:rPr>
        <w:t>*</w:t>
      </w:r>
      <w:r>
        <w:rPr>
          <w:rStyle w:val="afff8"/>
          <w:rFonts w:ascii="Times New Roman"/>
        </w:rPr>
        <w:footnoteRef/>
      </w:r>
      <w:r>
        <w:rPr>
          <w:rFonts w:ascii="Times New Roman"/>
        </w:rPr>
        <w:t xml:space="preserve"> </w:t>
      </w:r>
      <w:r>
        <w:rPr>
          <w:rFonts w:ascii="Times New Roman"/>
        </w:rPr>
        <w:t>填报具体的非碳酸盐替代原料名称。若非碳酸盐替代原料消耗多于</w:t>
      </w:r>
      <w:r>
        <w:rPr>
          <w:rFonts w:ascii="Times New Roman"/>
        </w:rPr>
        <w:t>1</w:t>
      </w:r>
      <w:r>
        <w:rPr>
          <w:rFonts w:ascii="Times New Roman"/>
        </w:rPr>
        <w:t>种，应分别填报。</w:t>
      </w:r>
    </w:p>
  </w:footnote>
  <w:footnote w:id="10">
    <w:p w:rsidR="00506AE6" w:rsidRDefault="0072598A">
      <w:pPr>
        <w:pStyle w:val="affb"/>
        <w:ind w:left="180" w:hangingChars="100" w:hanging="180"/>
        <w:jc w:val="both"/>
        <w:rPr>
          <w:rFonts w:ascii="Times New Roman"/>
        </w:rPr>
      </w:pPr>
      <w:r>
        <w:rPr>
          <w:rFonts w:ascii="Times New Roman" w:hint="eastAsia"/>
          <w:color w:val="000000"/>
          <w:vertAlign w:val="superscript"/>
        </w:rPr>
        <w:t>*</w:t>
      </w:r>
      <w:r>
        <w:rPr>
          <w:rStyle w:val="afff8"/>
          <w:rFonts w:ascii="Times New Roman"/>
        </w:rPr>
        <w:footnoteRef/>
      </w:r>
      <w:r>
        <w:rPr>
          <w:rFonts w:ascii="Times New Roman"/>
        </w:rPr>
        <w:t xml:space="preserve"> </w:t>
      </w:r>
      <w:r>
        <w:rPr>
          <w:rFonts w:ascii="Times New Roman"/>
        </w:rPr>
        <w:t>填报具体的替代</w:t>
      </w:r>
      <w:r>
        <w:rPr>
          <w:rFonts w:ascii="Times New Roman" w:hint="eastAsia"/>
        </w:rPr>
        <w:t>燃料</w:t>
      </w:r>
      <w:r>
        <w:rPr>
          <w:rFonts w:ascii="Times New Roman"/>
        </w:rPr>
        <w:t>名称。若替代</w:t>
      </w:r>
      <w:r>
        <w:rPr>
          <w:rFonts w:ascii="Times New Roman" w:hint="eastAsia"/>
        </w:rPr>
        <w:t>燃料</w:t>
      </w:r>
      <w:r>
        <w:rPr>
          <w:rFonts w:ascii="Times New Roman"/>
        </w:rPr>
        <w:t>消耗多于</w:t>
      </w:r>
      <w:r>
        <w:rPr>
          <w:rFonts w:ascii="Times New Roman"/>
        </w:rPr>
        <w:t>1</w:t>
      </w:r>
      <w:r>
        <w:rPr>
          <w:rFonts w:ascii="Times New Roman"/>
        </w:rPr>
        <w:t>种，应分别填报。</w:t>
      </w:r>
    </w:p>
  </w:footnote>
  <w:footnote w:id="11">
    <w:p w:rsidR="00506AE6" w:rsidRDefault="0072598A">
      <w:pPr>
        <w:pStyle w:val="affb"/>
        <w:ind w:left="180" w:hangingChars="100" w:hanging="180"/>
        <w:jc w:val="both"/>
        <w:rPr>
          <w:rFonts w:ascii="Times New Roman"/>
        </w:rPr>
      </w:pPr>
      <w:r>
        <w:rPr>
          <w:rFonts w:ascii="Times New Roman" w:hint="eastAsia"/>
          <w:color w:val="000000"/>
          <w:vertAlign w:val="superscript"/>
        </w:rPr>
        <w:t>*</w:t>
      </w:r>
      <w:r>
        <w:rPr>
          <w:rStyle w:val="afff8"/>
          <w:rFonts w:ascii="Times New Roman"/>
        </w:rPr>
        <w:footnoteRef/>
      </w:r>
      <w:r>
        <w:rPr>
          <w:rFonts w:ascii="Times New Roman"/>
        </w:rPr>
        <w:t xml:space="preserve"> </w:t>
      </w:r>
      <w:r>
        <w:rPr>
          <w:rFonts w:ascii="Times New Roman" w:hint="eastAsia"/>
        </w:rPr>
        <w:t>若存在与熟料生产核算边界活动数据和排放因子的确定方式相同的，获取方式填报实测值</w:t>
      </w:r>
      <w:r>
        <w:rPr>
          <w:rFonts w:ascii="Times New Roman" w:hint="eastAsia"/>
        </w:rPr>
        <w:t>/</w:t>
      </w:r>
      <w:r>
        <w:rPr>
          <w:rFonts w:ascii="Times New Roman" w:hint="eastAsia"/>
        </w:rPr>
        <w:t>缺省值</w:t>
      </w:r>
      <w:r>
        <w:rPr>
          <w:rFonts w:ascii="Times New Roman" w:hint="eastAsia"/>
        </w:rPr>
        <w:t>/</w:t>
      </w:r>
      <w:r>
        <w:rPr>
          <w:rFonts w:ascii="Times New Roman" w:hint="eastAsia"/>
        </w:rPr>
        <w:t>计算值</w:t>
      </w:r>
      <w:r>
        <w:rPr>
          <w:rFonts w:ascii="Times New Roman" w:hint="eastAsia"/>
        </w:rPr>
        <w:t>/</w:t>
      </w:r>
      <w:r>
        <w:rPr>
          <w:rFonts w:ascii="Times New Roman" w:hint="eastAsia"/>
        </w:rPr>
        <w:t>其他，具体描述填报</w:t>
      </w:r>
      <w:r>
        <w:rPr>
          <w:rFonts w:ascii="Times New Roman" w:hint="eastAsia"/>
        </w:rPr>
        <w:t>“同上</w:t>
      </w:r>
      <w:r>
        <w:rPr>
          <w:rFonts w:ascii="Times New Roman"/>
        </w:rPr>
        <w:t>D.4</w:t>
      </w:r>
      <w:r>
        <w:rPr>
          <w:rFonts w:ascii="Times New Roman" w:hint="eastAsia"/>
        </w:rPr>
        <w:t>”。</w:t>
      </w:r>
    </w:p>
  </w:footnote>
  <w:footnote w:id="12">
    <w:p w:rsidR="00506AE6" w:rsidRDefault="0072598A">
      <w:pPr>
        <w:pStyle w:val="affb"/>
        <w:ind w:left="180" w:hangingChars="100" w:hanging="180"/>
        <w:jc w:val="both"/>
        <w:rPr>
          <w:rFonts w:ascii="Times New Roman"/>
        </w:rPr>
      </w:pPr>
      <w:r>
        <w:rPr>
          <w:rFonts w:ascii="Times New Roman" w:hint="eastAsia"/>
          <w:color w:val="000000"/>
          <w:vertAlign w:val="superscript"/>
        </w:rPr>
        <w:t>*</w:t>
      </w:r>
      <w:r>
        <w:rPr>
          <w:rStyle w:val="afff8"/>
          <w:rFonts w:ascii="Times New Roman"/>
        </w:rPr>
        <w:footnoteRef/>
      </w:r>
      <w:r>
        <w:rPr>
          <w:rFonts w:ascii="Times New Roman"/>
          <w:color w:val="000000"/>
          <w:vertAlign w:val="superscript"/>
        </w:rPr>
        <w:t xml:space="preserve"> </w:t>
      </w:r>
      <w:r>
        <w:rPr>
          <w:rFonts w:ascii="Times New Roman" w:hint="eastAsia"/>
        </w:rPr>
        <w:t>若企业有</w:t>
      </w:r>
      <w:r>
        <w:rPr>
          <w:rFonts w:hint="eastAsia"/>
          <w:color w:val="000000"/>
        </w:rPr>
        <w:t>自备电厂，应</w:t>
      </w:r>
      <w:r>
        <w:rPr>
          <w:rFonts w:ascii="Times New Roman" w:hint="eastAsia"/>
        </w:rPr>
        <w:t>填报相应的排放情况</w:t>
      </w:r>
      <w:r>
        <w:rPr>
          <w:rFonts w:asci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E6" w:rsidRDefault="00506AE6">
    <w:pPr>
      <w:pStyle w:val="aff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E6" w:rsidRDefault="00506AE6">
    <w:pPr>
      <w:pStyle w:val="aff8"/>
      <w:ind w:firstLine="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E6" w:rsidRDefault="00506AE6">
    <w:pPr>
      <w:pStyle w:val="aff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lowerLetter"/>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
    <w:nsid w:val="00000002"/>
    <w:multiLevelType w:val="multilevel"/>
    <w:tmpl w:val="00000002"/>
    <w:lvl w:ilvl="0">
      <w:start w:val="1"/>
      <w:numFmt w:val="lowerLetter"/>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
    <w:nsid w:val="00000003"/>
    <w:multiLevelType w:val="multilevel"/>
    <w:tmpl w:val="00000003"/>
    <w:lvl w:ilvl="0">
      <w:start w:val="1"/>
      <w:numFmt w:val="lowerLetter"/>
      <w:pStyle w:val="a"/>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0"/>
      <w:lvlText w:val="%2)"/>
      <w:lvlJc w:val="left"/>
      <w:pPr>
        <w:tabs>
          <w:tab w:val="left" w:pos="1259"/>
        </w:tabs>
        <w:ind w:left="1259" w:hanging="420"/>
      </w:pPr>
      <w:rPr>
        <w:rFonts w:ascii="宋体" w:eastAsia="宋体" w:hAnsi="宋体" w:hint="eastAsia"/>
        <w:b w:val="0"/>
        <w:i w:val="0"/>
        <w:sz w:val="20"/>
      </w:rPr>
    </w:lvl>
    <w:lvl w:ilvl="2">
      <w:start w:val="1"/>
      <w:numFmt w:val="decimal"/>
      <w:pStyle w:val="a1"/>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3">
    <w:nsid w:val="00000004"/>
    <w:multiLevelType w:val="multilevel"/>
    <w:tmpl w:val="00000004"/>
    <w:lvl w:ilvl="0">
      <w:start w:val="1"/>
      <w:numFmt w:val="decimal"/>
      <w:pStyle w:val="a2"/>
      <w:suff w:val="nothing"/>
      <w:lvlText w:val="注%1："/>
      <w:lvlJc w:val="left"/>
      <w:pPr>
        <w:ind w:left="811" w:hanging="448"/>
      </w:pPr>
      <w:rPr>
        <w:rFonts w:ascii="黑体" w:eastAsia="黑体" w:hAnsi="宋体" w:hint="eastAsia"/>
        <w:b w:val="0"/>
        <w:bCs w:val="0"/>
        <w:i w:val="0"/>
        <w:iCs w:val="0"/>
        <w:sz w:val="18"/>
        <w:szCs w:val="21"/>
        <w:vertAlign w:val="baseline"/>
      </w:rPr>
    </w:lvl>
    <w:lvl w:ilvl="1">
      <w:start w:val="1"/>
      <w:numFmt w:val="lowerLetter"/>
      <w:lvlText w:val="%2)"/>
      <w:lvlJc w:val="left"/>
      <w:pPr>
        <w:tabs>
          <w:tab w:val="left" w:pos="181"/>
        </w:tabs>
        <w:ind w:left="1174" w:hanging="630"/>
      </w:pPr>
      <w:rPr>
        <w:rFonts w:ascii="宋体" w:eastAsia="宋体" w:hAnsi="宋体" w:hint="eastAsia"/>
        <w:b w:val="0"/>
        <w:bCs w:val="0"/>
        <w:i w:val="0"/>
        <w:iCs w:val="0"/>
        <w:sz w:val="20"/>
        <w:szCs w:val="20"/>
        <w:vertAlign w:val="baseline"/>
      </w:rPr>
    </w:lvl>
    <w:lvl w:ilvl="2">
      <w:start w:val="1"/>
      <w:numFmt w:val="lowerRoman"/>
      <w:lvlText w:val="%3."/>
      <w:lvlJc w:val="right"/>
      <w:pPr>
        <w:tabs>
          <w:tab w:val="left" w:pos="181"/>
        </w:tabs>
        <w:ind w:left="1174" w:hanging="630"/>
      </w:pPr>
      <w:rPr>
        <w:rFonts w:ascii="宋体" w:eastAsia="宋体" w:hAnsi="宋体" w:hint="eastAsia"/>
        <w:b w:val="0"/>
        <w:bCs w:val="0"/>
        <w:i w:val="0"/>
        <w:iCs w:val="0"/>
        <w:sz w:val="21"/>
        <w:szCs w:val="21"/>
        <w:vertAlign w:val="baseline"/>
      </w:rPr>
    </w:lvl>
    <w:lvl w:ilvl="3">
      <w:start w:val="1"/>
      <w:numFmt w:val="decimal"/>
      <w:lvlText w:val="%4."/>
      <w:lvlJc w:val="left"/>
      <w:pPr>
        <w:tabs>
          <w:tab w:val="left" w:pos="181"/>
        </w:tabs>
        <w:ind w:left="1174" w:hanging="630"/>
      </w:pPr>
      <w:rPr>
        <w:rFonts w:hint="default"/>
        <w:vertAlign w:val="baseline"/>
      </w:rPr>
    </w:lvl>
    <w:lvl w:ilvl="4">
      <w:start w:val="1"/>
      <w:numFmt w:val="lowerLetter"/>
      <w:lvlText w:val="%5)"/>
      <w:lvlJc w:val="left"/>
      <w:pPr>
        <w:tabs>
          <w:tab w:val="left" w:pos="181"/>
        </w:tabs>
        <w:ind w:left="1174" w:hanging="630"/>
      </w:pPr>
      <w:rPr>
        <w:rFonts w:hint="default"/>
        <w:vertAlign w:val="baseline"/>
      </w:rPr>
    </w:lvl>
    <w:lvl w:ilvl="5">
      <w:start w:val="1"/>
      <w:numFmt w:val="lowerRoman"/>
      <w:lvlText w:val="%6."/>
      <w:lvlJc w:val="right"/>
      <w:pPr>
        <w:tabs>
          <w:tab w:val="left" w:pos="181"/>
        </w:tabs>
        <w:ind w:left="1174" w:hanging="630"/>
      </w:pPr>
      <w:rPr>
        <w:rFonts w:hint="default"/>
        <w:vertAlign w:val="baseline"/>
      </w:rPr>
    </w:lvl>
    <w:lvl w:ilvl="6">
      <w:start w:val="1"/>
      <w:numFmt w:val="decimal"/>
      <w:lvlText w:val="%7."/>
      <w:lvlJc w:val="left"/>
      <w:pPr>
        <w:tabs>
          <w:tab w:val="left" w:pos="181"/>
        </w:tabs>
        <w:ind w:left="1174" w:hanging="630"/>
      </w:pPr>
      <w:rPr>
        <w:rFonts w:hint="default"/>
        <w:vertAlign w:val="baseline"/>
      </w:rPr>
    </w:lvl>
    <w:lvl w:ilvl="7">
      <w:start w:val="1"/>
      <w:numFmt w:val="lowerLetter"/>
      <w:lvlText w:val="%8)"/>
      <w:lvlJc w:val="left"/>
      <w:pPr>
        <w:tabs>
          <w:tab w:val="left" w:pos="181"/>
        </w:tabs>
        <w:ind w:left="1174" w:hanging="630"/>
      </w:pPr>
      <w:rPr>
        <w:rFonts w:hint="default"/>
        <w:vertAlign w:val="baseline"/>
      </w:rPr>
    </w:lvl>
    <w:lvl w:ilvl="8">
      <w:start w:val="1"/>
      <w:numFmt w:val="lowerRoman"/>
      <w:lvlText w:val="%9."/>
      <w:lvlJc w:val="right"/>
      <w:pPr>
        <w:tabs>
          <w:tab w:val="left" w:pos="181"/>
        </w:tabs>
        <w:ind w:left="1174" w:hanging="630"/>
      </w:pPr>
      <w:rPr>
        <w:rFonts w:hint="default"/>
        <w:vertAlign w:val="baseline"/>
      </w:rPr>
    </w:lvl>
  </w:abstractNum>
  <w:abstractNum w:abstractNumId="4">
    <w:nsid w:val="00000005"/>
    <w:multiLevelType w:val="multilevel"/>
    <w:tmpl w:val="00000005"/>
    <w:lvl w:ilvl="0">
      <w:start w:val="1"/>
      <w:numFmt w:val="decimal"/>
      <w:pStyle w:val="a3"/>
      <w:suff w:val="nothing"/>
      <w:lvlText w:val="%1　"/>
      <w:lvlJc w:val="left"/>
      <w:pPr>
        <w:ind w:left="426" w:firstLine="0"/>
      </w:pPr>
      <w:rPr>
        <w:rFonts w:ascii="黑体" w:eastAsia="黑体" w:hAnsi="Times New Roman" w:hint="eastAsia"/>
        <w:b w:val="0"/>
        <w:i w:val="0"/>
        <w:sz w:val="21"/>
        <w:szCs w:val="21"/>
      </w:rPr>
    </w:lvl>
    <w:lvl w:ilvl="1">
      <w:start w:val="1"/>
      <w:numFmt w:val="decimal"/>
      <w:pStyle w:val="a4"/>
      <w:suff w:val="nothing"/>
      <w:lvlText w:val="%1.%2　"/>
      <w:lvlJc w:val="left"/>
      <w:pPr>
        <w:ind w:left="5813" w:firstLine="0"/>
      </w:pPr>
      <w:rPr>
        <w:rFonts w:ascii="黑体" w:eastAsia="黑体" w:hAnsi="Times New Roman" w:cs="Times New Roman" w:hint="eastAsia"/>
        <w:b w:val="0"/>
        <w:bCs w:val="0"/>
        <w:i w:val="0"/>
        <w:iCs w:val="0"/>
        <w:caps w:val="0"/>
        <w:vanish w:val="0"/>
        <w:color w:val="000000"/>
        <w:spacing w:val="0"/>
        <w:kern w:val="0"/>
        <w:position w:val="0"/>
        <w:sz w:val="21"/>
        <w:szCs w:val="21"/>
        <w:u w:val="none"/>
        <w:vertAlign w:val="baseline"/>
      </w:rPr>
    </w:lvl>
    <w:lvl w:ilvl="2">
      <w:start w:val="1"/>
      <w:numFmt w:val="decimal"/>
      <w:pStyle w:val="a5"/>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
    <w:nsid w:val="00000006"/>
    <w:multiLevelType w:val="multilevel"/>
    <w:tmpl w:val="00000006"/>
    <w:lvl w:ilvl="0">
      <w:start w:val="1"/>
      <w:numFmt w:val="upperLetter"/>
      <w:pStyle w:val="a6"/>
      <w:suff w:val="space"/>
      <w:lvlText w:val="%1"/>
      <w:lvlJc w:val="left"/>
      <w:pPr>
        <w:ind w:left="623" w:hanging="425"/>
      </w:pPr>
      <w:rPr>
        <w:rFonts w:hint="eastAsia"/>
      </w:rPr>
    </w:lvl>
    <w:lvl w:ilvl="1">
      <w:start w:val="1"/>
      <w:numFmt w:val="decimal"/>
      <w:pStyle w:val="a7"/>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6">
    <w:nsid w:val="00000007"/>
    <w:multiLevelType w:val="multilevel"/>
    <w:tmpl w:val="00000007"/>
    <w:lvl w:ilvl="0">
      <w:start w:val="1"/>
      <w:numFmt w:val="none"/>
      <w:pStyle w:val="a8"/>
      <w:suff w:val="nothing"/>
      <w:lvlText w:val="%1——"/>
      <w:lvlJc w:val="left"/>
      <w:pPr>
        <w:ind w:left="834" w:hanging="408"/>
      </w:pPr>
      <w:rPr>
        <w:rFonts w:hint="eastAsia"/>
        <w:lang w:val="en-US"/>
      </w:rPr>
    </w:lvl>
    <w:lvl w:ilvl="1">
      <w:start w:val="1"/>
      <w:numFmt w:val="bullet"/>
      <w:pStyle w:val="a9"/>
      <w:lvlText w:val=""/>
      <w:lvlJc w:val="left"/>
      <w:pPr>
        <w:tabs>
          <w:tab w:val="left" w:pos="761"/>
        </w:tabs>
        <w:ind w:left="1265" w:hanging="413"/>
      </w:pPr>
      <w:rPr>
        <w:rFonts w:ascii="Symbol" w:hAnsi="Symbol" w:hint="default"/>
        <w:color w:val="auto"/>
      </w:rPr>
    </w:lvl>
    <w:lvl w:ilvl="2">
      <w:start w:val="1"/>
      <w:numFmt w:val="bullet"/>
      <w:pStyle w:val="aa"/>
      <w:lvlText w:val=""/>
      <w:lvlJc w:val="left"/>
      <w:pPr>
        <w:tabs>
          <w:tab w:val="left" w:pos="1679"/>
        </w:tabs>
        <w:ind w:left="1679" w:hanging="414"/>
      </w:pPr>
      <w:rPr>
        <w:rFonts w:ascii="Symbol" w:hAnsi="Symbol" w:hint="default"/>
        <w:color w:val="auto"/>
      </w:rPr>
    </w:lvl>
    <w:lvl w:ilvl="3">
      <w:start w:val="1"/>
      <w:numFmt w:val="decimal"/>
      <w:lvlText w:val="%4."/>
      <w:lvlJc w:val="left"/>
      <w:pPr>
        <w:tabs>
          <w:tab w:val="left" w:pos="2072"/>
        </w:tabs>
        <w:ind w:left="1885" w:hanging="528"/>
      </w:pPr>
      <w:rPr>
        <w:rFonts w:hint="eastAsia"/>
      </w:rPr>
    </w:lvl>
    <w:lvl w:ilvl="4">
      <w:start w:val="1"/>
      <w:numFmt w:val="lowerLetter"/>
      <w:lvlText w:val="%5)"/>
      <w:lvlJc w:val="left"/>
      <w:pPr>
        <w:tabs>
          <w:tab w:val="left" w:pos="2384"/>
        </w:tabs>
        <w:ind w:left="2197" w:hanging="528"/>
      </w:pPr>
      <w:rPr>
        <w:rFonts w:hint="eastAsia"/>
      </w:rPr>
    </w:lvl>
    <w:lvl w:ilvl="5">
      <w:start w:val="1"/>
      <w:numFmt w:val="lowerRoman"/>
      <w:lvlText w:val="%6."/>
      <w:lvlJc w:val="right"/>
      <w:pPr>
        <w:tabs>
          <w:tab w:val="left" w:pos="2696"/>
        </w:tabs>
        <w:ind w:left="2509" w:hanging="528"/>
      </w:pPr>
      <w:rPr>
        <w:rFonts w:hint="eastAsia"/>
      </w:rPr>
    </w:lvl>
    <w:lvl w:ilvl="6">
      <w:start w:val="1"/>
      <w:numFmt w:val="decimal"/>
      <w:lvlText w:val="%7."/>
      <w:lvlJc w:val="left"/>
      <w:pPr>
        <w:tabs>
          <w:tab w:val="left" w:pos="3008"/>
        </w:tabs>
        <w:ind w:left="2821" w:hanging="528"/>
      </w:pPr>
      <w:rPr>
        <w:rFonts w:hint="eastAsia"/>
      </w:rPr>
    </w:lvl>
    <w:lvl w:ilvl="7">
      <w:start w:val="1"/>
      <w:numFmt w:val="lowerLetter"/>
      <w:lvlText w:val="%8)"/>
      <w:lvlJc w:val="left"/>
      <w:pPr>
        <w:tabs>
          <w:tab w:val="left" w:pos="3320"/>
        </w:tabs>
        <w:ind w:left="3133" w:hanging="528"/>
      </w:pPr>
      <w:rPr>
        <w:rFonts w:hint="eastAsia"/>
      </w:rPr>
    </w:lvl>
    <w:lvl w:ilvl="8">
      <w:start w:val="1"/>
      <w:numFmt w:val="lowerRoman"/>
      <w:lvlText w:val="%9."/>
      <w:lvlJc w:val="right"/>
      <w:pPr>
        <w:tabs>
          <w:tab w:val="left" w:pos="3632"/>
        </w:tabs>
        <w:ind w:left="3445" w:hanging="528"/>
      </w:pPr>
      <w:rPr>
        <w:rFonts w:hint="eastAsia"/>
      </w:rPr>
    </w:lvl>
  </w:abstractNum>
  <w:abstractNum w:abstractNumId="7">
    <w:nsid w:val="00000008"/>
    <w:multiLevelType w:val="multilevel"/>
    <w:tmpl w:val="00000008"/>
    <w:lvl w:ilvl="0">
      <w:start w:val="1"/>
      <w:numFmt w:val="decimal"/>
      <w:pStyle w:val="ab"/>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8">
    <w:nsid w:val="00000009"/>
    <w:multiLevelType w:val="multilevel"/>
    <w:tmpl w:val="00000009"/>
    <w:lvl w:ilvl="0">
      <w:start w:val="1"/>
      <w:numFmt w:val="decimal"/>
      <w:pStyle w:val="ac"/>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9">
    <w:nsid w:val="0000000A"/>
    <w:multiLevelType w:val="multilevel"/>
    <w:tmpl w:val="0000000A"/>
    <w:lvl w:ilvl="0">
      <w:start w:val="1"/>
      <w:numFmt w:val="upperLetter"/>
      <w:pStyle w:val="ad"/>
      <w:lvlText w:val="%1"/>
      <w:lvlJc w:val="left"/>
      <w:pPr>
        <w:tabs>
          <w:tab w:val="left" w:pos="0"/>
        </w:tabs>
        <w:ind w:left="0" w:hanging="425"/>
      </w:pPr>
      <w:rPr>
        <w:rFonts w:hint="eastAsia"/>
      </w:rPr>
    </w:lvl>
    <w:lvl w:ilvl="1">
      <w:start w:val="1"/>
      <w:numFmt w:val="decimal"/>
      <w:pStyle w:val="ae"/>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0">
    <w:nsid w:val="0000000B"/>
    <w:multiLevelType w:val="multilevel"/>
    <w:tmpl w:val="0000000B"/>
    <w:lvl w:ilvl="0">
      <w:start w:val="1"/>
      <w:numFmt w:val="decimal"/>
      <w:pStyle w:val="af"/>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1">
    <w:nsid w:val="0000000C"/>
    <w:multiLevelType w:val="multilevel"/>
    <w:tmpl w:val="0000000C"/>
    <w:lvl w:ilvl="0">
      <w:start w:val="1"/>
      <w:numFmt w:val="lowerLetter"/>
      <w:pStyle w:val="af0"/>
      <w:lvlText w:val="%1)"/>
      <w:lvlJc w:val="left"/>
      <w:pPr>
        <w:tabs>
          <w:tab w:val="left" w:pos="839"/>
        </w:tabs>
        <w:ind w:left="839" w:hanging="419"/>
      </w:pPr>
      <w:rPr>
        <w:rFonts w:ascii="宋体" w:eastAsia="宋体" w:hint="eastAsia"/>
        <w:b w:val="0"/>
        <w:i w:val="0"/>
        <w:sz w:val="21"/>
      </w:rPr>
    </w:lvl>
    <w:lvl w:ilvl="1">
      <w:start w:val="1"/>
      <w:numFmt w:val="decimal"/>
      <w:pStyle w:val="af1"/>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12">
    <w:nsid w:val="0000000D"/>
    <w:multiLevelType w:val="multilevel"/>
    <w:tmpl w:val="0000000D"/>
    <w:lvl w:ilvl="0">
      <w:start w:val="1"/>
      <w:numFmt w:val="none"/>
      <w:pStyle w:val="af2"/>
      <w:suff w:val="nothing"/>
      <w:lvlText w:val="%1注："/>
      <w:lvlJc w:val="left"/>
      <w:pPr>
        <w:ind w:left="363" w:hanging="363"/>
      </w:pPr>
      <w:rPr>
        <w:rFonts w:ascii="黑体" w:eastAsia="黑体" w:hAnsi="Times New Roman" w:hint="eastAsia"/>
        <w:b w:val="0"/>
        <w:i w:val="0"/>
        <w:sz w:val="18"/>
      </w:rPr>
    </w:lvl>
    <w:lvl w:ilvl="1">
      <w:start w:val="1"/>
      <w:numFmt w:val="lowerLetter"/>
      <w:lvlText w:val="%2)"/>
      <w:lvlJc w:val="left"/>
      <w:pPr>
        <w:tabs>
          <w:tab w:val="left" w:pos="777"/>
        </w:tabs>
        <w:ind w:left="363" w:hanging="363"/>
      </w:pPr>
      <w:rPr>
        <w:rFonts w:hint="eastAsia"/>
      </w:rPr>
    </w:lvl>
    <w:lvl w:ilvl="2">
      <w:start w:val="1"/>
      <w:numFmt w:val="lowerRoman"/>
      <w:lvlText w:val="%3."/>
      <w:lvlJc w:val="right"/>
      <w:pPr>
        <w:tabs>
          <w:tab w:val="left" w:pos="777"/>
        </w:tabs>
        <w:ind w:left="363" w:hanging="363"/>
      </w:pPr>
      <w:rPr>
        <w:rFonts w:hint="eastAsia"/>
      </w:rPr>
    </w:lvl>
    <w:lvl w:ilvl="3">
      <w:start w:val="1"/>
      <w:numFmt w:val="decimal"/>
      <w:lvlText w:val="%4."/>
      <w:lvlJc w:val="left"/>
      <w:pPr>
        <w:tabs>
          <w:tab w:val="left" w:pos="777"/>
        </w:tabs>
        <w:ind w:left="363" w:hanging="363"/>
      </w:pPr>
      <w:rPr>
        <w:rFonts w:hint="eastAsia"/>
      </w:rPr>
    </w:lvl>
    <w:lvl w:ilvl="4">
      <w:start w:val="1"/>
      <w:numFmt w:val="lowerLetter"/>
      <w:lvlText w:val="%5)"/>
      <w:lvlJc w:val="left"/>
      <w:pPr>
        <w:tabs>
          <w:tab w:val="left" w:pos="777"/>
        </w:tabs>
        <w:ind w:left="363" w:hanging="363"/>
      </w:pPr>
      <w:rPr>
        <w:rFonts w:hint="eastAsia"/>
      </w:rPr>
    </w:lvl>
    <w:lvl w:ilvl="5">
      <w:start w:val="1"/>
      <w:numFmt w:val="lowerRoman"/>
      <w:lvlText w:val="%6."/>
      <w:lvlJc w:val="right"/>
      <w:pPr>
        <w:tabs>
          <w:tab w:val="left" w:pos="777"/>
        </w:tabs>
        <w:ind w:left="363" w:hanging="363"/>
      </w:pPr>
      <w:rPr>
        <w:rFonts w:hint="eastAsia"/>
      </w:rPr>
    </w:lvl>
    <w:lvl w:ilvl="6">
      <w:start w:val="1"/>
      <w:numFmt w:val="decimal"/>
      <w:lvlText w:val="%7."/>
      <w:lvlJc w:val="left"/>
      <w:pPr>
        <w:tabs>
          <w:tab w:val="left" w:pos="777"/>
        </w:tabs>
        <w:ind w:left="363" w:hanging="363"/>
      </w:pPr>
      <w:rPr>
        <w:rFonts w:hint="eastAsia"/>
      </w:rPr>
    </w:lvl>
    <w:lvl w:ilvl="7">
      <w:start w:val="1"/>
      <w:numFmt w:val="lowerLetter"/>
      <w:lvlText w:val="%8)"/>
      <w:lvlJc w:val="left"/>
      <w:pPr>
        <w:tabs>
          <w:tab w:val="left" w:pos="777"/>
        </w:tabs>
        <w:ind w:left="363" w:hanging="363"/>
      </w:pPr>
      <w:rPr>
        <w:rFonts w:hint="eastAsia"/>
      </w:rPr>
    </w:lvl>
    <w:lvl w:ilvl="8">
      <w:start w:val="1"/>
      <w:numFmt w:val="lowerRoman"/>
      <w:lvlText w:val="%9."/>
      <w:lvlJc w:val="right"/>
      <w:pPr>
        <w:tabs>
          <w:tab w:val="left" w:pos="777"/>
        </w:tabs>
        <w:ind w:left="363" w:hanging="363"/>
      </w:pPr>
      <w:rPr>
        <w:rFonts w:hint="eastAsia"/>
      </w:rPr>
    </w:lvl>
  </w:abstractNum>
  <w:abstractNum w:abstractNumId="13">
    <w:nsid w:val="0000000E"/>
    <w:multiLevelType w:val="multilevel"/>
    <w:tmpl w:val="0000000E"/>
    <w:lvl w:ilvl="0">
      <w:start w:val="1"/>
      <w:numFmt w:val="upperLetter"/>
      <w:pStyle w:val="af3"/>
      <w:suff w:val="nothing"/>
      <w:lvlText w:val="附录%1"/>
      <w:lvlJc w:val="left"/>
      <w:pPr>
        <w:tabs>
          <w:tab w:val="left" w:pos="0"/>
        </w:tabs>
        <w:ind w:left="0" w:firstLine="0"/>
      </w:pPr>
      <w:rPr>
        <w:rFonts w:ascii="黑体" w:eastAsia="黑体" w:hAnsi="黑体" w:cs="Times New Roman" w:hint="default"/>
        <w:b w:val="0"/>
        <w:bCs w:val="0"/>
        <w:i w:val="0"/>
        <w:spacing w:val="0"/>
        <w:w w:val="100"/>
        <w:sz w:val="21"/>
        <w:lang w:val="en-US"/>
      </w:rPr>
    </w:lvl>
    <w:lvl w:ilvl="1">
      <w:start w:val="1"/>
      <w:numFmt w:val="decimal"/>
      <w:pStyle w:val="af4"/>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f5"/>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4">
    <w:nsid w:val="0000000F"/>
    <w:multiLevelType w:val="multilevel"/>
    <w:tmpl w:val="0000000F"/>
    <w:lvl w:ilvl="0">
      <w:start w:val="1"/>
      <w:numFmt w:val="lowerLetter"/>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5">
    <w:nsid w:val="00000010"/>
    <w:multiLevelType w:val="multilevel"/>
    <w:tmpl w:val="00000010"/>
    <w:lvl w:ilvl="0">
      <w:start w:val="1"/>
      <w:numFmt w:val="decimal"/>
      <w:pStyle w:val="af6"/>
      <w:suff w:val="nothing"/>
      <w:lvlText w:val="注%1："/>
      <w:lvlJc w:val="left"/>
      <w:pPr>
        <w:ind w:left="811" w:hanging="448"/>
      </w:pPr>
      <w:rPr>
        <w:rFonts w:ascii="Times New Roman" w:eastAsia="黑体" w:hAnsi="Times New Roman" w:cs="Times New Roman" w:hint="default"/>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6">
    <w:nsid w:val="00000011"/>
    <w:multiLevelType w:val="multilevel"/>
    <w:tmpl w:val="00000011"/>
    <w:lvl w:ilvl="0">
      <w:start w:val="1"/>
      <w:numFmt w:val="decimal"/>
      <w:pStyle w:val="af7"/>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00000012"/>
    <w:multiLevelType w:val="multilevel"/>
    <w:tmpl w:val="00000012"/>
    <w:lvl w:ilvl="0">
      <w:start w:val="1"/>
      <w:numFmt w:val="none"/>
      <w:pStyle w:val="af8"/>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8">
    <w:nsid w:val="00000013"/>
    <w:multiLevelType w:val="multilevel"/>
    <w:tmpl w:val="00000013"/>
    <w:lvl w:ilvl="0">
      <w:start w:val="1"/>
      <w:numFmt w:val="lowerLetter"/>
      <w:pStyle w:val="af9"/>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19">
    <w:nsid w:val="00000014"/>
    <w:multiLevelType w:val="multilevel"/>
    <w:tmpl w:val="00000014"/>
    <w:lvl w:ilvl="0">
      <w:start w:val="1"/>
      <w:numFmt w:val="bullet"/>
      <w:lvlText w:val="-"/>
      <w:lvlJc w:val="left"/>
      <w:pPr>
        <w:ind w:left="1157" w:hanging="420"/>
      </w:pPr>
      <w:rPr>
        <w:rFonts w:ascii="宋体" w:eastAsia="宋体" w:hAnsi="宋体" w:hint="eastAsia"/>
      </w:rPr>
    </w:lvl>
    <w:lvl w:ilvl="1">
      <w:start w:val="1"/>
      <w:numFmt w:val="bullet"/>
      <w:lvlText w:val=""/>
      <w:lvlJc w:val="left"/>
      <w:pPr>
        <w:ind w:left="1577" w:hanging="420"/>
      </w:pPr>
      <w:rPr>
        <w:rFonts w:ascii="Wingdings" w:hAnsi="Wingdings" w:hint="default"/>
      </w:rPr>
    </w:lvl>
    <w:lvl w:ilvl="2">
      <w:start w:val="1"/>
      <w:numFmt w:val="bullet"/>
      <w:lvlText w:val=""/>
      <w:lvlJc w:val="left"/>
      <w:pPr>
        <w:ind w:left="1997" w:hanging="420"/>
      </w:pPr>
      <w:rPr>
        <w:rFonts w:ascii="Wingdings" w:hAnsi="Wingdings" w:hint="default"/>
      </w:rPr>
    </w:lvl>
    <w:lvl w:ilvl="3">
      <w:start w:val="1"/>
      <w:numFmt w:val="bullet"/>
      <w:lvlText w:val=""/>
      <w:lvlJc w:val="left"/>
      <w:pPr>
        <w:ind w:left="2417" w:hanging="420"/>
      </w:pPr>
      <w:rPr>
        <w:rFonts w:ascii="Wingdings" w:hAnsi="Wingdings" w:hint="default"/>
      </w:rPr>
    </w:lvl>
    <w:lvl w:ilvl="4">
      <w:start w:val="1"/>
      <w:numFmt w:val="bullet"/>
      <w:lvlText w:val=""/>
      <w:lvlJc w:val="left"/>
      <w:pPr>
        <w:ind w:left="2837" w:hanging="420"/>
      </w:pPr>
      <w:rPr>
        <w:rFonts w:ascii="Wingdings" w:hAnsi="Wingdings" w:hint="default"/>
      </w:rPr>
    </w:lvl>
    <w:lvl w:ilvl="5">
      <w:start w:val="1"/>
      <w:numFmt w:val="bullet"/>
      <w:lvlText w:val=""/>
      <w:lvlJc w:val="left"/>
      <w:pPr>
        <w:ind w:left="3257" w:hanging="420"/>
      </w:pPr>
      <w:rPr>
        <w:rFonts w:ascii="Wingdings" w:hAnsi="Wingdings" w:hint="default"/>
      </w:rPr>
    </w:lvl>
    <w:lvl w:ilvl="6">
      <w:start w:val="1"/>
      <w:numFmt w:val="bullet"/>
      <w:lvlText w:val=""/>
      <w:lvlJc w:val="left"/>
      <w:pPr>
        <w:ind w:left="3677" w:hanging="420"/>
      </w:pPr>
      <w:rPr>
        <w:rFonts w:ascii="Wingdings" w:hAnsi="Wingdings" w:hint="default"/>
      </w:rPr>
    </w:lvl>
    <w:lvl w:ilvl="7">
      <w:start w:val="1"/>
      <w:numFmt w:val="bullet"/>
      <w:lvlText w:val=""/>
      <w:lvlJc w:val="left"/>
      <w:pPr>
        <w:ind w:left="4097" w:hanging="420"/>
      </w:pPr>
      <w:rPr>
        <w:rFonts w:ascii="Wingdings" w:hAnsi="Wingdings" w:hint="default"/>
      </w:rPr>
    </w:lvl>
    <w:lvl w:ilvl="8">
      <w:start w:val="1"/>
      <w:numFmt w:val="bullet"/>
      <w:lvlText w:val=""/>
      <w:lvlJc w:val="left"/>
      <w:pPr>
        <w:ind w:left="4517" w:hanging="420"/>
      </w:pPr>
      <w:rPr>
        <w:rFonts w:ascii="Wingdings" w:hAnsi="Wingdings" w:hint="default"/>
      </w:rPr>
    </w:lvl>
  </w:abstractNum>
  <w:abstractNum w:abstractNumId="20">
    <w:nsid w:val="00000015"/>
    <w:multiLevelType w:val="multilevel"/>
    <w:tmpl w:val="00000015"/>
    <w:lvl w:ilvl="0">
      <w:start w:val="1"/>
      <w:numFmt w:val="lowerLetter"/>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1">
    <w:nsid w:val="00000016"/>
    <w:multiLevelType w:val="multilevel"/>
    <w:tmpl w:val="00000016"/>
    <w:lvl w:ilvl="0">
      <w:start w:val="1"/>
      <w:numFmt w:val="lowerLetter"/>
      <w:lvlText w:val="%1)"/>
      <w:lvlJc w:val="left"/>
      <w:pPr>
        <w:ind w:left="840" w:hanging="420"/>
      </w:pPr>
      <w:rPr>
        <w:rFonts w:ascii="Times New Roman" w:eastAsia="宋体" w:hAnsi="Times New Roman"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nsid w:val="00000017"/>
    <w:multiLevelType w:val="multilevel"/>
    <w:tmpl w:val="00000017"/>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nsid w:val="00000018"/>
    <w:multiLevelType w:val="multilevel"/>
    <w:tmpl w:val="00000018"/>
    <w:lvl w:ilvl="0">
      <w:start w:val="1"/>
      <w:numFmt w:val="lowerLetter"/>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4">
    <w:nsid w:val="00000019"/>
    <w:multiLevelType w:val="multilevel"/>
    <w:tmpl w:val="00000019"/>
    <w:lvl w:ilvl="0">
      <w:start w:val="1"/>
      <w:numFmt w:val="lowerLetter"/>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5">
    <w:nsid w:val="0000001A"/>
    <w:multiLevelType w:val="multilevel"/>
    <w:tmpl w:val="0000001A"/>
    <w:lvl w:ilvl="0">
      <w:start w:val="1"/>
      <w:numFmt w:val="lowerLetter"/>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6">
    <w:nsid w:val="0000001B"/>
    <w:multiLevelType w:val="multilevel"/>
    <w:tmpl w:val="0000001B"/>
    <w:lvl w:ilvl="0">
      <w:start w:val="1"/>
      <w:numFmt w:val="lowerLetter"/>
      <w:lvlText w:val="%1)"/>
      <w:lvlJc w:val="left"/>
      <w:pPr>
        <w:ind w:left="840" w:hanging="420"/>
      </w:pPr>
      <w:rPr>
        <w:rFonts w:ascii="Times New Roman" w:eastAsia="宋体" w:hAnsi="Times New Roman"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nsid w:val="0000001C"/>
    <w:multiLevelType w:val="multilevel"/>
    <w:tmpl w:val="0000001C"/>
    <w:lvl w:ilvl="0">
      <w:start w:val="1"/>
      <w:numFmt w:val="lowerLetter"/>
      <w:lvlText w:val="%1)"/>
      <w:lvlJc w:val="left"/>
      <w:pPr>
        <w:ind w:left="840" w:hanging="420"/>
      </w:pPr>
      <w:rPr>
        <w:rFonts w:ascii="Times New Roman" w:eastAsia="宋体" w:hAnsi="Times New Roman"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nsid w:val="0000001D"/>
    <w:multiLevelType w:val="multilevel"/>
    <w:tmpl w:val="0000001D"/>
    <w:lvl w:ilvl="0">
      <w:start w:val="1"/>
      <w:numFmt w:val="lowerLetter"/>
      <w:lvlText w:val="%1)"/>
      <w:lvlJc w:val="left"/>
      <w:pPr>
        <w:ind w:left="840" w:hanging="420"/>
      </w:pPr>
      <w:rPr>
        <w:rFonts w:ascii="Times New Roman" w:eastAsia="宋体" w:hAnsi="Times New Roman"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nsid w:val="0000001E"/>
    <w:multiLevelType w:val="multilevel"/>
    <w:tmpl w:val="0000001E"/>
    <w:lvl w:ilvl="0">
      <w:start w:val="1"/>
      <w:numFmt w:val="lowerLetter"/>
      <w:lvlText w:val="%1)"/>
      <w:lvlJc w:val="left"/>
      <w:pPr>
        <w:ind w:left="840" w:hanging="420"/>
      </w:pPr>
      <w:rPr>
        <w:rFonts w:ascii="Times New Roman" w:eastAsia="宋体" w:hAnsi="Times New Roman"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nsid w:val="0000001F"/>
    <w:multiLevelType w:val="multilevel"/>
    <w:tmpl w:val="0000001F"/>
    <w:lvl w:ilvl="0">
      <w:start w:val="1"/>
      <w:numFmt w:val="lowerLetter"/>
      <w:lvlText w:val="%1)"/>
      <w:lvlJc w:val="left"/>
      <w:pPr>
        <w:ind w:left="840" w:hanging="420"/>
      </w:pPr>
      <w:rPr>
        <w:rFonts w:ascii="Times New Roman" w:eastAsia="宋体" w:hAnsi="Times New Roman"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nsid w:val="00000020"/>
    <w:multiLevelType w:val="multilevel"/>
    <w:tmpl w:val="00000020"/>
    <w:lvl w:ilvl="0">
      <w:start w:val="1"/>
      <w:numFmt w:val="lowerLetter"/>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2">
    <w:nsid w:val="00000021"/>
    <w:multiLevelType w:val="multilevel"/>
    <w:tmpl w:val="00000021"/>
    <w:lvl w:ilvl="0">
      <w:start w:val="1"/>
      <w:numFmt w:val="lowerLetter"/>
      <w:lvlText w:val="%1)"/>
      <w:lvlJc w:val="left"/>
      <w:pPr>
        <w:ind w:left="840" w:hanging="420"/>
      </w:pPr>
      <w:rPr>
        <w:rFonts w:ascii="Times New Roman" w:eastAsia="宋体" w:hAnsi="Times New Roman"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nsid w:val="00000022"/>
    <w:multiLevelType w:val="multilevel"/>
    <w:tmpl w:val="00000022"/>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00000023"/>
    <w:multiLevelType w:val="multilevel"/>
    <w:tmpl w:val="00000023"/>
    <w:lvl w:ilvl="0">
      <w:start w:val="1"/>
      <w:numFmt w:val="lowerLetter"/>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5">
    <w:nsid w:val="00000024"/>
    <w:multiLevelType w:val="multilevel"/>
    <w:tmpl w:val="00000024"/>
    <w:lvl w:ilvl="0">
      <w:start w:val="1"/>
      <w:numFmt w:val="lowerLetter"/>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36">
    <w:nsid w:val="14721146"/>
    <w:multiLevelType w:val="singleLevel"/>
    <w:tmpl w:val="14721146"/>
    <w:lvl w:ilvl="0">
      <w:start w:val="1"/>
      <w:numFmt w:val="lowerLetter"/>
      <w:suff w:val="space"/>
      <w:lvlText w:val="%1)"/>
      <w:lvlJc w:val="left"/>
    </w:lvl>
  </w:abstractNum>
  <w:abstractNum w:abstractNumId="37">
    <w:nsid w:val="2D277A15"/>
    <w:multiLevelType w:val="multilevel"/>
    <w:tmpl w:val="2D277A15"/>
    <w:lvl w:ilvl="0">
      <w:start w:val="1"/>
      <w:numFmt w:val="lowerLetter"/>
      <w:lvlText w:val="%1)"/>
      <w:lvlJc w:val="left"/>
      <w:pPr>
        <w:ind w:left="860" w:hanging="440"/>
      </w:pPr>
      <w:rPr>
        <w:rFonts w:ascii="Times New Roman" w:hAnsi="Times New Roman" w:cs="Times New Roman"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num w:numId="1">
    <w:abstractNumId w:val="4"/>
  </w:num>
  <w:num w:numId="2">
    <w:abstractNumId w:val="6"/>
  </w:num>
  <w:num w:numId="3">
    <w:abstractNumId w:val="17"/>
  </w:num>
  <w:num w:numId="4">
    <w:abstractNumId w:val="2"/>
  </w:num>
  <w:num w:numId="5">
    <w:abstractNumId w:val="12"/>
  </w:num>
  <w:num w:numId="6">
    <w:abstractNumId w:val="15"/>
  </w:num>
  <w:num w:numId="7">
    <w:abstractNumId w:val="7"/>
  </w:num>
  <w:num w:numId="8">
    <w:abstractNumId w:val="3"/>
  </w:num>
  <w:num w:numId="9">
    <w:abstractNumId w:val="13"/>
  </w:num>
  <w:num w:numId="10">
    <w:abstractNumId w:val="9"/>
  </w:num>
  <w:num w:numId="11">
    <w:abstractNumId w:val="11"/>
  </w:num>
  <w:num w:numId="12">
    <w:abstractNumId w:val="5"/>
  </w:num>
  <w:num w:numId="13">
    <w:abstractNumId w:val="16"/>
  </w:num>
  <w:num w:numId="14">
    <w:abstractNumId w:val="18"/>
  </w:num>
  <w:num w:numId="15">
    <w:abstractNumId w:val="10"/>
  </w:num>
  <w:num w:numId="16">
    <w:abstractNumId w:val="8"/>
  </w:num>
  <w:num w:numId="17">
    <w:abstractNumId w:val="22"/>
  </w:num>
  <w:num w:numId="18">
    <w:abstractNumId w:val="14"/>
  </w:num>
  <w:num w:numId="19">
    <w:abstractNumId w:val="37"/>
  </w:num>
  <w:num w:numId="20">
    <w:abstractNumId w:val="1"/>
  </w:num>
  <w:num w:numId="21">
    <w:abstractNumId w:val="31"/>
  </w:num>
  <w:num w:numId="22">
    <w:abstractNumId w:val="19"/>
  </w:num>
  <w:num w:numId="23">
    <w:abstractNumId w:val="34"/>
  </w:num>
  <w:num w:numId="24">
    <w:abstractNumId w:val="23"/>
  </w:num>
  <w:num w:numId="25">
    <w:abstractNumId w:val="24"/>
  </w:num>
  <w:num w:numId="26">
    <w:abstractNumId w:val="20"/>
  </w:num>
  <w:num w:numId="27">
    <w:abstractNumId w:val="35"/>
  </w:num>
  <w:num w:numId="28">
    <w:abstractNumId w:val="25"/>
  </w:num>
  <w:num w:numId="29">
    <w:abstractNumId w:val="0"/>
  </w:num>
  <w:num w:numId="30">
    <w:abstractNumId w:val="36"/>
  </w:num>
  <w:num w:numId="31">
    <w:abstractNumId w:val="21"/>
  </w:num>
  <w:num w:numId="32">
    <w:abstractNumId w:val="30"/>
  </w:num>
  <w:num w:numId="33">
    <w:abstractNumId w:val="32"/>
  </w:num>
  <w:num w:numId="34">
    <w:abstractNumId w:val="27"/>
  </w:num>
  <w:num w:numId="35">
    <w:abstractNumId w:val="29"/>
  </w:num>
  <w:num w:numId="36">
    <w:abstractNumId w:val="28"/>
  </w:num>
  <w:num w:numId="37">
    <w:abstractNumId w:val="26"/>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drawingGridHorizontalSpacing w:val="105"/>
  <w:drawingGridVerticalSpacing w:val="156"/>
  <w:displayHorizontalDrawingGridEvery w:val="0"/>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ZkNTBhNTFiNjk0ZTAzYTc2MWZjYmI1Zjc2MWM1YzAifQ=="/>
  </w:docVars>
  <w:rsids>
    <w:rsidRoot w:val="005E60B3"/>
    <w:rsid w:val="97A1F3A5"/>
    <w:rsid w:val="97DFDC4F"/>
    <w:rsid w:val="97FB5769"/>
    <w:rsid w:val="9BBC0A73"/>
    <w:rsid w:val="9CFFB757"/>
    <w:rsid w:val="A1D7D875"/>
    <w:rsid w:val="B9FFA5FC"/>
    <w:rsid w:val="BBFDCD70"/>
    <w:rsid w:val="BBFF03B5"/>
    <w:rsid w:val="BF75B503"/>
    <w:rsid w:val="BFDF3C76"/>
    <w:rsid w:val="BFEAB731"/>
    <w:rsid w:val="C6DF5D12"/>
    <w:rsid w:val="CEAB730E"/>
    <w:rsid w:val="DFFFF3DB"/>
    <w:rsid w:val="EEFF4040"/>
    <w:rsid w:val="F7EF57AB"/>
    <w:rsid w:val="FB3F7991"/>
    <w:rsid w:val="FBA76BC0"/>
    <w:rsid w:val="FC4D9298"/>
    <w:rsid w:val="FEF7835D"/>
    <w:rsid w:val="FEFF99FB"/>
    <w:rsid w:val="FEFFC978"/>
    <w:rsid w:val="FF3CA672"/>
    <w:rsid w:val="FF4F44FB"/>
    <w:rsid w:val="FFB62429"/>
    <w:rsid w:val="FFF7A2BD"/>
    <w:rsid w:val="000B2D1E"/>
    <w:rsid w:val="00132230"/>
    <w:rsid w:val="00132565"/>
    <w:rsid w:val="001476C2"/>
    <w:rsid w:val="00161F9F"/>
    <w:rsid w:val="001B03A7"/>
    <w:rsid w:val="001D5CE9"/>
    <w:rsid w:val="001F3360"/>
    <w:rsid w:val="00226873"/>
    <w:rsid w:val="00253245"/>
    <w:rsid w:val="00254096"/>
    <w:rsid w:val="00262077"/>
    <w:rsid w:val="002B310D"/>
    <w:rsid w:val="002C4467"/>
    <w:rsid w:val="00345B3F"/>
    <w:rsid w:val="0036070C"/>
    <w:rsid w:val="003B0F56"/>
    <w:rsid w:val="003D49DD"/>
    <w:rsid w:val="0044653D"/>
    <w:rsid w:val="004619F5"/>
    <w:rsid w:val="004828B9"/>
    <w:rsid w:val="004B3B0F"/>
    <w:rsid w:val="004C39B1"/>
    <w:rsid w:val="0050452D"/>
    <w:rsid w:val="00506AE6"/>
    <w:rsid w:val="00542676"/>
    <w:rsid w:val="005E60B3"/>
    <w:rsid w:val="00681FC4"/>
    <w:rsid w:val="006D1678"/>
    <w:rsid w:val="0070411B"/>
    <w:rsid w:val="0072598A"/>
    <w:rsid w:val="00726F88"/>
    <w:rsid w:val="007B3CD3"/>
    <w:rsid w:val="0083174A"/>
    <w:rsid w:val="00835D55"/>
    <w:rsid w:val="00863A9A"/>
    <w:rsid w:val="0086671A"/>
    <w:rsid w:val="0087154C"/>
    <w:rsid w:val="008770D9"/>
    <w:rsid w:val="00890064"/>
    <w:rsid w:val="008B1F11"/>
    <w:rsid w:val="008B72CD"/>
    <w:rsid w:val="008C7A3D"/>
    <w:rsid w:val="008E2155"/>
    <w:rsid w:val="008F2205"/>
    <w:rsid w:val="009152EA"/>
    <w:rsid w:val="009176FE"/>
    <w:rsid w:val="00924FD5"/>
    <w:rsid w:val="00976415"/>
    <w:rsid w:val="00993912"/>
    <w:rsid w:val="009D0C47"/>
    <w:rsid w:val="00A132EF"/>
    <w:rsid w:val="00A82309"/>
    <w:rsid w:val="00A83424"/>
    <w:rsid w:val="00A93D23"/>
    <w:rsid w:val="00AE2176"/>
    <w:rsid w:val="00B179E2"/>
    <w:rsid w:val="00B808BA"/>
    <w:rsid w:val="00BD5530"/>
    <w:rsid w:val="00C40884"/>
    <w:rsid w:val="00C4258C"/>
    <w:rsid w:val="00C438C1"/>
    <w:rsid w:val="00D00AB0"/>
    <w:rsid w:val="00D07A52"/>
    <w:rsid w:val="00D948BA"/>
    <w:rsid w:val="00DB2235"/>
    <w:rsid w:val="00DD56F4"/>
    <w:rsid w:val="00DF2128"/>
    <w:rsid w:val="00ED0087"/>
    <w:rsid w:val="00EE3128"/>
    <w:rsid w:val="00F06594"/>
    <w:rsid w:val="00F1142A"/>
    <w:rsid w:val="00F24CD0"/>
    <w:rsid w:val="00F259DF"/>
    <w:rsid w:val="00F75907"/>
    <w:rsid w:val="00FB13C6"/>
    <w:rsid w:val="00FB14CF"/>
    <w:rsid w:val="00FE13C4"/>
    <w:rsid w:val="00FE2834"/>
    <w:rsid w:val="0112363F"/>
    <w:rsid w:val="02C077B2"/>
    <w:rsid w:val="048F1D47"/>
    <w:rsid w:val="04C23FD3"/>
    <w:rsid w:val="0890009D"/>
    <w:rsid w:val="091305B3"/>
    <w:rsid w:val="0AB70595"/>
    <w:rsid w:val="0BB265D1"/>
    <w:rsid w:val="0C2C4848"/>
    <w:rsid w:val="0C5A5D15"/>
    <w:rsid w:val="0EC946CB"/>
    <w:rsid w:val="126021A4"/>
    <w:rsid w:val="12771554"/>
    <w:rsid w:val="149D6F5B"/>
    <w:rsid w:val="16CD3E38"/>
    <w:rsid w:val="17332B1E"/>
    <w:rsid w:val="18FE1C6D"/>
    <w:rsid w:val="1A501008"/>
    <w:rsid w:val="1C876837"/>
    <w:rsid w:val="20032679"/>
    <w:rsid w:val="21432A73"/>
    <w:rsid w:val="21A0252A"/>
    <w:rsid w:val="228B7D98"/>
    <w:rsid w:val="26037428"/>
    <w:rsid w:val="275814FC"/>
    <w:rsid w:val="282D2989"/>
    <w:rsid w:val="28540D2E"/>
    <w:rsid w:val="2A687C88"/>
    <w:rsid w:val="2AB828A0"/>
    <w:rsid w:val="2AEC503B"/>
    <w:rsid w:val="2CA469C2"/>
    <w:rsid w:val="2D3444BD"/>
    <w:rsid w:val="2D50022B"/>
    <w:rsid w:val="307F78E1"/>
    <w:rsid w:val="346A286F"/>
    <w:rsid w:val="34DD17BC"/>
    <w:rsid w:val="355A0B35"/>
    <w:rsid w:val="36205326"/>
    <w:rsid w:val="36C26992"/>
    <w:rsid w:val="37E58F71"/>
    <w:rsid w:val="37FFE962"/>
    <w:rsid w:val="38C63DE6"/>
    <w:rsid w:val="39673486"/>
    <w:rsid w:val="3DDC08FA"/>
    <w:rsid w:val="3DFF4343"/>
    <w:rsid w:val="3ECF3682"/>
    <w:rsid w:val="3EF041C9"/>
    <w:rsid w:val="3FB726B3"/>
    <w:rsid w:val="425A0C00"/>
    <w:rsid w:val="46155DA2"/>
    <w:rsid w:val="46597ED5"/>
    <w:rsid w:val="46BE455B"/>
    <w:rsid w:val="47BB73D1"/>
    <w:rsid w:val="48790270"/>
    <w:rsid w:val="489F31C5"/>
    <w:rsid w:val="4964056C"/>
    <w:rsid w:val="4A2972AF"/>
    <w:rsid w:val="4AF8214B"/>
    <w:rsid w:val="4B324FDA"/>
    <w:rsid w:val="4DB030DE"/>
    <w:rsid w:val="4E135825"/>
    <w:rsid w:val="53514ECE"/>
    <w:rsid w:val="54E96B0A"/>
    <w:rsid w:val="553511F1"/>
    <w:rsid w:val="56FC65D1"/>
    <w:rsid w:val="5727418B"/>
    <w:rsid w:val="599E091E"/>
    <w:rsid w:val="5A0F7728"/>
    <w:rsid w:val="5BA41D1F"/>
    <w:rsid w:val="5DD787C2"/>
    <w:rsid w:val="5FFFB47C"/>
    <w:rsid w:val="60EB4BB4"/>
    <w:rsid w:val="60F41AAB"/>
    <w:rsid w:val="61E4BE17"/>
    <w:rsid w:val="6433808F"/>
    <w:rsid w:val="65905D2A"/>
    <w:rsid w:val="69C53915"/>
    <w:rsid w:val="69DC09A0"/>
    <w:rsid w:val="6A67773A"/>
    <w:rsid w:val="6D2575F9"/>
    <w:rsid w:val="6E02185D"/>
    <w:rsid w:val="6E7A2C12"/>
    <w:rsid w:val="6EBF1EE3"/>
    <w:rsid w:val="6EF708E2"/>
    <w:rsid w:val="6F4C5D8B"/>
    <w:rsid w:val="6FB50A5C"/>
    <w:rsid w:val="722F68CA"/>
    <w:rsid w:val="72FF757E"/>
    <w:rsid w:val="73FFFE9A"/>
    <w:rsid w:val="76EB5E79"/>
    <w:rsid w:val="77DA5DB1"/>
    <w:rsid w:val="79E62268"/>
    <w:rsid w:val="7C0158EE"/>
    <w:rsid w:val="7CBC6FAC"/>
    <w:rsid w:val="7E440C62"/>
    <w:rsid w:val="7E79C8C0"/>
    <w:rsid w:val="7FBFADA3"/>
    <w:rsid w:val="7FDF70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footnote reference" w:uiPriority="99" w:qFormat="1"/>
    <w:lsdException w:name="annotation reference" w:qFormat="1"/>
    <w:lsdException w:name="page number" w:qFormat="1"/>
    <w:lsdException w:name="endnote reference" w:qFormat="1"/>
    <w:lsdException w:name="endnote text"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Hyperlink" w:uiPriority="99" w:qFormat="1"/>
    <w:lsdException w:name="FollowedHyperlink"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qFormat="1"/>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a">
    <w:name w:val="Normal"/>
    <w:qFormat/>
    <w:pPr>
      <w:widowControl w:val="0"/>
      <w:tabs>
        <w:tab w:val="center" w:pos="4338"/>
        <w:tab w:val="right" w:pos="8675"/>
      </w:tabs>
      <w:spacing w:line="360" w:lineRule="exact"/>
      <w:ind w:firstLineChars="200" w:firstLine="420"/>
      <w:jc w:val="both"/>
    </w:pPr>
    <w:rPr>
      <w:kern w:val="2"/>
      <w:sz w:val="21"/>
      <w:szCs w:val="24"/>
    </w:rPr>
  </w:style>
  <w:style w:type="paragraph" w:styleId="1">
    <w:name w:val="heading 1"/>
    <w:basedOn w:val="afa"/>
    <w:next w:val="afa"/>
    <w:link w:val="1Char"/>
    <w:uiPriority w:val="9"/>
    <w:qFormat/>
    <w:pPr>
      <w:keepNext/>
      <w:keepLines/>
      <w:spacing w:before="340" w:after="330" w:line="578" w:lineRule="auto"/>
      <w:outlineLvl w:val="0"/>
    </w:pPr>
    <w:rPr>
      <w:b/>
      <w:bCs/>
      <w:kern w:val="44"/>
      <w:sz w:val="44"/>
      <w:szCs w:val="44"/>
    </w:rPr>
  </w:style>
  <w:style w:type="paragraph" w:styleId="2">
    <w:name w:val="heading 2"/>
    <w:basedOn w:val="afa"/>
    <w:next w:val="afa"/>
    <w:link w:val="2Char"/>
    <w:uiPriority w:val="9"/>
    <w:qFormat/>
    <w:pPr>
      <w:keepNext/>
      <w:keepLines/>
      <w:spacing w:before="260" w:after="260" w:line="416" w:lineRule="auto"/>
      <w:outlineLvl w:val="1"/>
    </w:pPr>
    <w:rPr>
      <w:rFonts w:ascii="楷体_GB2312" w:eastAsia="楷体_GB2312" w:hAnsi="宋体"/>
      <w:kern w:val="0"/>
      <w:sz w:val="30"/>
      <w:szCs w:val="20"/>
    </w:rPr>
  </w:style>
  <w:style w:type="paragraph" w:styleId="3">
    <w:name w:val="heading 3"/>
    <w:basedOn w:val="afa"/>
    <w:next w:val="afa"/>
    <w:link w:val="3Char"/>
    <w:uiPriority w:val="9"/>
    <w:qFormat/>
    <w:pPr>
      <w:keepNext/>
      <w:keepLines/>
      <w:spacing w:before="260" w:after="260" w:line="416" w:lineRule="auto"/>
      <w:outlineLvl w:val="2"/>
    </w:pPr>
    <w:rPr>
      <w:b/>
      <w:bCs/>
      <w:sz w:val="32"/>
      <w:szCs w:val="32"/>
    </w:rPr>
  </w:style>
  <w:style w:type="paragraph" w:styleId="4">
    <w:name w:val="heading 4"/>
    <w:basedOn w:val="afa"/>
    <w:next w:val="afa"/>
    <w:link w:val="4Char"/>
    <w:uiPriority w:val="9"/>
    <w:qFormat/>
    <w:pPr>
      <w:keepNext/>
      <w:keepLines/>
      <w:spacing w:before="280" w:after="290" w:line="376" w:lineRule="auto"/>
      <w:outlineLvl w:val="3"/>
    </w:pPr>
    <w:rPr>
      <w:rFonts w:ascii="Cambria" w:hAnsi="Cambria"/>
      <w:b/>
      <w:bCs/>
      <w:sz w:val="28"/>
      <w:szCs w:val="28"/>
    </w:rPr>
  </w:style>
  <w:style w:type="character" w:default="1" w:styleId="afb">
    <w:name w:val="Default Paragraph Font"/>
    <w:uiPriority w:val="1"/>
    <w:semiHidden/>
    <w:unhideWhenUsed/>
  </w:style>
  <w:style w:type="table" w:default="1" w:styleId="afc">
    <w:name w:val="Normal Table"/>
    <w:uiPriority w:val="99"/>
    <w:semiHidden/>
    <w:unhideWhenUsed/>
    <w:tblPr>
      <w:tblInd w:w="0" w:type="dxa"/>
      <w:tblCellMar>
        <w:top w:w="0" w:type="dxa"/>
        <w:left w:w="108" w:type="dxa"/>
        <w:bottom w:w="0" w:type="dxa"/>
        <w:right w:w="108" w:type="dxa"/>
      </w:tblCellMar>
    </w:tblPr>
  </w:style>
  <w:style w:type="numbering" w:default="1" w:styleId="afd">
    <w:name w:val="No List"/>
    <w:uiPriority w:val="99"/>
    <w:semiHidden/>
    <w:unhideWhenUsed/>
  </w:style>
  <w:style w:type="paragraph" w:styleId="7">
    <w:name w:val="toc 7"/>
    <w:basedOn w:val="afa"/>
    <w:next w:val="afa"/>
    <w:qFormat/>
    <w:pPr>
      <w:tabs>
        <w:tab w:val="clear" w:pos="4338"/>
        <w:tab w:val="clear" w:pos="8675"/>
      </w:tabs>
      <w:ind w:left="1260"/>
      <w:jc w:val="left"/>
    </w:pPr>
    <w:rPr>
      <w:rFonts w:ascii="Calibri" w:hAnsi="Calibri" w:cs="Calibri"/>
      <w:sz w:val="18"/>
      <w:szCs w:val="18"/>
    </w:rPr>
  </w:style>
  <w:style w:type="paragraph" w:styleId="8">
    <w:name w:val="index 8"/>
    <w:basedOn w:val="afa"/>
    <w:next w:val="afa"/>
    <w:qFormat/>
    <w:pPr>
      <w:ind w:left="1680" w:hanging="210"/>
      <w:jc w:val="left"/>
    </w:pPr>
    <w:rPr>
      <w:rFonts w:ascii="Calibri" w:hAnsi="Calibri"/>
      <w:sz w:val="20"/>
      <w:szCs w:val="20"/>
    </w:rPr>
  </w:style>
  <w:style w:type="paragraph" w:styleId="afe">
    <w:name w:val="caption"/>
    <w:basedOn w:val="afa"/>
    <w:next w:val="afa"/>
    <w:link w:val="Char"/>
    <w:qFormat/>
    <w:pPr>
      <w:tabs>
        <w:tab w:val="clear" w:pos="4338"/>
        <w:tab w:val="clear" w:pos="8675"/>
      </w:tabs>
      <w:spacing w:beforeLines="50" w:before="156" w:line="276" w:lineRule="auto"/>
      <w:jc w:val="right"/>
    </w:pPr>
    <w:rPr>
      <w:rFonts w:ascii="Arial" w:eastAsia="黑体" w:hAnsi="Arial"/>
      <w:sz w:val="20"/>
      <w:szCs w:val="20"/>
    </w:rPr>
  </w:style>
  <w:style w:type="paragraph" w:styleId="5">
    <w:name w:val="index 5"/>
    <w:basedOn w:val="afa"/>
    <w:next w:val="afa"/>
    <w:qFormat/>
    <w:pPr>
      <w:ind w:left="1050" w:hanging="210"/>
      <w:jc w:val="left"/>
    </w:pPr>
    <w:rPr>
      <w:rFonts w:ascii="Calibri" w:hAnsi="Calibri"/>
      <w:sz w:val="20"/>
      <w:szCs w:val="20"/>
    </w:rPr>
  </w:style>
  <w:style w:type="paragraph" w:styleId="aff">
    <w:name w:val="Document Map"/>
    <w:basedOn w:val="afa"/>
    <w:qFormat/>
    <w:pPr>
      <w:shd w:val="clear" w:color="auto" w:fill="000080"/>
    </w:pPr>
  </w:style>
  <w:style w:type="paragraph" w:styleId="aff0">
    <w:name w:val="annotation text"/>
    <w:basedOn w:val="afa"/>
    <w:link w:val="Char0"/>
    <w:qFormat/>
    <w:pPr>
      <w:jc w:val="left"/>
    </w:pPr>
  </w:style>
  <w:style w:type="paragraph" w:styleId="6">
    <w:name w:val="index 6"/>
    <w:basedOn w:val="afa"/>
    <w:next w:val="afa"/>
    <w:qFormat/>
    <w:pPr>
      <w:ind w:left="1260" w:hanging="210"/>
      <w:jc w:val="left"/>
    </w:pPr>
    <w:rPr>
      <w:rFonts w:ascii="Calibri" w:hAnsi="Calibri"/>
      <w:sz w:val="20"/>
      <w:szCs w:val="20"/>
    </w:rPr>
  </w:style>
  <w:style w:type="paragraph" w:styleId="aff1">
    <w:name w:val="Body Text"/>
    <w:basedOn w:val="afa"/>
    <w:qFormat/>
    <w:rPr>
      <w:rFonts w:ascii="Arial" w:hAnsi="Arial" w:cs="Arial"/>
      <w:b/>
      <w:bCs/>
    </w:rPr>
  </w:style>
  <w:style w:type="paragraph" w:styleId="aff2">
    <w:name w:val="Body Text Indent"/>
    <w:basedOn w:val="afa"/>
    <w:link w:val="Char1"/>
    <w:qFormat/>
    <w:pPr>
      <w:spacing w:after="120"/>
      <w:ind w:leftChars="200" w:left="420"/>
    </w:pPr>
  </w:style>
  <w:style w:type="paragraph" w:styleId="40">
    <w:name w:val="index 4"/>
    <w:basedOn w:val="afa"/>
    <w:next w:val="afa"/>
    <w:qFormat/>
    <w:pPr>
      <w:ind w:left="840" w:hanging="210"/>
      <w:jc w:val="left"/>
    </w:pPr>
    <w:rPr>
      <w:rFonts w:ascii="Calibri" w:hAnsi="Calibri"/>
      <w:sz w:val="20"/>
      <w:szCs w:val="20"/>
    </w:rPr>
  </w:style>
  <w:style w:type="paragraph" w:styleId="50">
    <w:name w:val="toc 5"/>
    <w:basedOn w:val="afa"/>
    <w:next w:val="afa"/>
    <w:qFormat/>
    <w:pPr>
      <w:tabs>
        <w:tab w:val="clear" w:pos="4338"/>
        <w:tab w:val="clear" w:pos="8675"/>
      </w:tabs>
      <w:ind w:left="840"/>
      <w:jc w:val="left"/>
    </w:pPr>
    <w:rPr>
      <w:rFonts w:ascii="Calibri" w:hAnsi="Calibri" w:cs="Calibri"/>
      <w:sz w:val="18"/>
      <w:szCs w:val="18"/>
    </w:rPr>
  </w:style>
  <w:style w:type="paragraph" w:styleId="30">
    <w:name w:val="toc 3"/>
    <w:basedOn w:val="afa"/>
    <w:next w:val="afa"/>
    <w:uiPriority w:val="39"/>
    <w:qFormat/>
    <w:pPr>
      <w:tabs>
        <w:tab w:val="clear" w:pos="4338"/>
        <w:tab w:val="clear" w:pos="8675"/>
      </w:tabs>
      <w:ind w:left="420"/>
      <w:jc w:val="left"/>
    </w:pPr>
    <w:rPr>
      <w:rFonts w:ascii="Calibri" w:hAnsi="Calibri" w:cs="Calibri"/>
      <w:i/>
      <w:iCs/>
      <w:sz w:val="20"/>
      <w:szCs w:val="20"/>
    </w:rPr>
  </w:style>
  <w:style w:type="paragraph" w:styleId="aff3">
    <w:name w:val="Plain Text"/>
    <w:basedOn w:val="afa"/>
    <w:qFormat/>
    <w:rPr>
      <w:rFonts w:ascii="宋体" w:hAnsi="Courier New"/>
      <w:szCs w:val="20"/>
    </w:rPr>
  </w:style>
  <w:style w:type="paragraph" w:styleId="80">
    <w:name w:val="toc 8"/>
    <w:basedOn w:val="afa"/>
    <w:next w:val="afa"/>
    <w:qFormat/>
    <w:pPr>
      <w:tabs>
        <w:tab w:val="clear" w:pos="4338"/>
        <w:tab w:val="clear" w:pos="8675"/>
      </w:tabs>
      <w:ind w:left="1470"/>
      <w:jc w:val="left"/>
    </w:pPr>
    <w:rPr>
      <w:rFonts w:ascii="Calibri" w:hAnsi="Calibri" w:cs="Calibri"/>
      <w:sz w:val="18"/>
      <w:szCs w:val="18"/>
    </w:rPr>
  </w:style>
  <w:style w:type="paragraph" w:styleId="31">
    <w:name w:val="index 3"/>
    <w:basedOn w:val="afa"/>
    <w:next w:val="afa"/>
    <w:qFormat/>
    <w:pPr>
      <w:ind w:left="630" w:hanging="210"/>
      <w:jc w:val="left"/>
    </w:pPr>
    <w:rPr>
      <w:rFonts w:ascii="Calibri" w:hAnsi="Calibri"/>
      <w:sz w:val="20"/>
      <w:szCs w:val="20"/>
    </w:rPr>
  </w:style>
  <w:style w:type="paragraph" w:styleId="aff4">
    <w:name w:val="Date"/>
    <w:basedOn w:val="afa"/>
    <w:next w:val="afa"/>
    <w:link w:val="Char2"/>
    <w:qFormat/>
    <w:pPr>
      <w:ind w:leftChars="2500" w:left="100"/>
    </w:pPr>
  </w:style>
  <w:style w:type="paragraph" w:styleId="aff5">
    <w:name w:val="endnote text"/>
    <w:basedOn w:val="afa"/>
    <w:qFormat/>
    <w:pPr>
      <w:snapToGrid w:val="0"/>
      <w:jc w:val="left"/>
    </w:pPr>
  </w:style>
  <w:style w:type="paragraph" w:styleId="aff6">
    <w:name w:val="Balloon Text"/>
    <w:basedOn w:val="afa"/>
    <w:link w:val="Char3"/>
    <w:qFormat/>
    <w:rPr>
      <w:sz w:val="18"/>
      <w:szCs w:val="18"/>
    </w:rPr>
  </w:style>
  <w:style w:type="paragraph" w:styleId="aff7">
    <w:name w:val="footer"/>
    <w:basedOn w:val="afa"/>
    <w:link w:val="Char4"/>
    <w:uiPriority w:val="99"/>
    <w:qFormat/>
    <w:pPr>
      <w:snapToGrid w:val="0"/>
      <w:ind w:rightChars="100" w:right="210"/>
      <w:jc w:val="right"/>
    </w:pPr>
    <w:rPr>
      <w:sz w:val="18"/>
      <w:szCs w:val="18"/>
    </w:rPr>
  </w:style>
  <w:style w:type="paragraph" w:styleId="aff8">
    <w:name w:val="header"/>
    <w:basedOn w:val="afa"/>
    <w:qFormat/>
    <w:pPr>
      <w:snapToGrid w:val="0"/>
      <w:jc w:val="left"/>
    </w:pPr>
    <w:rPr>
      <w:sz w:val="18"/>
      <w:szCs w:val="18"/>
    </w:rPr>
  </w:style>
  <w:style w:type="paragraph" w:styleId="10">
    <w:name w:val="toc 1"/>
    <w:basedOn w:val="afa"/>
    <w:next w:val="afa"/>
    <w:uiPriority w:val="39"/>
    <w:qFormat/>
    <w:pPr>
      <w:tabs>
        <w:tab w:val="clear" w:pos="4338"/>
        <w:tab w:val="clear" w:pos="8675"/>
      </w:tabs>
      <w:spacing w:before="120" w:after="120"/>
      <w:jc w:val="left"/>
    </w:pPr>
    <w:rPr>
      <w:rFonts w:ascii="Calibri" w:hAnsi="Calibri" w:cs="Calibri"/>
      <w:b/>
      <w:bCs/>
      <w:caps/>
      <w:sz w:val="20"/>
      <w:szCs w:val="20"/>
    </w:rPr>
  </w:style>
  <w:style w:type="paragraph" w:styleId="41">
    <w:name w:val="toc 4"/>
    <w:basedOn w:val="afa"/>
    <w:next w:val="afa"/>
    <w:qFormat/>
    <w:pPr>
      <w:tabs>
        <w:tab w:val="clear" w:pos="4338"/>
        <w:tab w:val="clear" w:pos="8675"/>
      </w:tabs>
      <w:ind w:left="630"/>
      <w:jc w:val="left"/>
    </w:pPr>
    <w:rPr>
      <w:rFonts w:ascii="Calibri" w:hAnsi="Calibri" w:cs="Calibri"/>
      <w:sz w:val="18"/>
      <w:szCs w:val="18"/>
    </w:rPr>
  </w:style>
  <w:style w:type="paragraph" w:styleId="aff9">
    <w:name w:val="index heading"/>
    <w:basedOn w:val="afa"/>
    <w:next w:val="11"/>
    <w:qFormat/>
    <w:pPr>
      <w:spacing w:before="120" w:after="120"/>
      <w:jc w:val="center"/>
    </w:pPr>
    <w:rPr>
      <w:rFonts w:ascii="Calibri" w:hAnsi="Calibri"/>
      <w:b/>
      <w:bCs/>
      <w:iCs/>
      <w:szCs w:val="20"/>
    </w:rPr>
  </w:style>
  <w:style w:type="paragraph" w:styleId="11">
    <w:name w:val="index 1"/>
    <w:basedOn w:val="afa"/>
    <w:next w:val="affa"/>
    <w:qFormat/>
    <w:pPr>
      <w:tabs>
        <w:tab w:val="right" w:leader="dot" w:pos="9299"/>
      </w:tabs>
      <w:jc w:val="left"/>
    </w:pPr>
    <w:rPr>
      <w:rFonts w:ascii="宋体"/>
      <w:szCs w:val="21"/>
    </w:rPr>
  </w:style>
  <w:style w:type="paragraph" w:customStyle="1" w:styleId="affa">
    <w:name w:val="段"/>
    <w:link w:val="Char5"/>
    <w:qFormat/>
    <w:pPr>
      <w:tabs>
        <w:tab w:val="center" w:pos="-420"/>
        <w:tab w:val="center" w:pos="0"/>
        <w:tab w:val="center" w:pos="4201"/>
        <w:tab w:val="right" w:leader="dot" w:pos="9298"/>
      </w:tabs>
      <w:autoSpaceDE w:val="0"/>
      <w:autoSpaceDN w:val="0"/>
      <w:ind w:firstLineChars="200" w:firstLine="420"/>
      <w:jc w:val="both"/>
    </w:pPr>
    <w:rPr>
      <w:sz w:val="21"/>
    </w:rPr>
  </w:style>
  <w:style w:type="paragraph" w:styleId="affb">
    <w:name w:val="footnote text"/>
    <w:basedOn w:val="afa"/>
    <w:link w:val="Char6"/>
    <w:qFormat/>
    <w:pPr>
      <w:snapToGrid w:val="0"/>
      <w:jc w:val="left"/>
    </w:pPr>
    <w:rPr>
      <w:rFonts w:ascii="宋体"/>
      <w:sz w:val="18"/>
      <w:szCs w:val="18"/>
    </w:rPr>
  </w:style>
  <w:style w:type="paragraph" w:styleId="60">
    <w:name w:val="toc 6"/>
    <w:basedOn w:val="afa"/>
    <w:next w:val="afa"/>
    <w:qFormat/>
    <w:pPr>
      <w:tabs>
        <w:tab w:val="clear" w:pos="4338"/>
        <w:tab w:val="clear" w:pos="8675"/>
      </w:tabs>
      <w:ind w:left="1050"/>
      <w:jc w:val="left"/>
    </w:pPr>
    <w:rPr>
      <w:rFonts w:ascii="Calibri" w:hAnsi="Calibri" w:cs="Calibri"/>
      <w:sz w:val="18"/>
      <w:szCs w:val="18"/>
    </w:rPr>
  </w:style>
  <w:style w:type="paragraph" w:styleId="70">
    <w:name w:val="index 7"/>
    <w:basedOn w:val="afa"/>
    <w:next w:val="afa"/>
    <w:qFormat/>
    <w:pPr>
      <w:ind w:left="1470" w:hanging="210"/>
      <w:jc w:val="left"/>
    </w:pPr>
    <w:rPr>
      <w:rFonts w:ascii="Calibri" w:hAnsi="Calibri"/>
      <w:sz w:val="20"/>
      <w:szCs w:val="20"/>
    </w:rPr>
  </w:style>
  <w:style w:type="paragraph" w:styleId="9">
    <w:name w:val="index 9"/>
    <w:basedOn w:val="afa"/>
    <w:next w:val="afa"/>
    <w:qFormat/>
    <w:pPr>
      <w:ind w:left="1890" w:hanging="210"/>
      <w:jc w:val="left"/>
    </w:pPr>
    <w:rPr>
      <w:rFonts w:ascii="Calibri" w:hAnsi="Calibri"/>
      <w:sz w:val="20"/>
      <w:szCs w:val="20"/>
    </w:rPr>
  </w:style>
  <w:style w:type="paragraph" w:styleId="20">
    <w:name w:val="toc 2"/>
    <w:basedOn w:val="afa"/>
    <w:next w:val="afa"/>
    <w:uiPriority w:val="39"/>
    <w:qFormat/>
    <w:pPr>
      <w:tabs>
        <w:tab w:val="clear" w:pos="4338"/>
        <w:tab w:val="clear" w:pos="8675"/>
      </w:tabs>
      <w:ind w:left="210"/>
      <w:jc w:val="left"/>
    </w:pPr>
    <w:rPr>
      <w:rFonts w:ascii="Calibri" w:hAnsi="Calibri" w:cs="Calibri"/>
      <w:smallCaps/>
      <w:sz w:val="20"/>
      <w:szCs w:val="20"/>
    </w:rPr>
  </w:style>
  <w:style w:type="paragraph" w:styleId="90">
    <w:name w:val="toc 9"/>
    <w:basedOn w:val="afa"/>
    <w:next w:val="afa"/>
    <w:qFormat/>
    <w:pPr>
      <w:tabs>
        <w:tab w:val="clear" w:pos="4338"/>
        <w:tab w:val="clear" w:pos="8675"/>
      </w:tabs>
      <w:ind w:left="1680"/>
      <w:jc w:val="left"/>
    </w:pPr>
    <w:rPr>
      <w:rFonts w:ascii="Calibri" w:hAnsi="Calibri" w:cs="Calibri"/>
      <w:sz w:val="18"/>
      <w:szCs w:val="18"/>
    </w:rPr>
  </w:style>
  <w:style w:type="paragraph" w:styleId="affc">
    <w:name w:val="Normal (Web)"/>
    <w:basedOn w:val="afa"/>
    <w:uiPriority w:val="99"/>
    <w:qFormat/>
    <w:rPr>
      <w:sz w:val="24"/>
    </w:rPr>
  </w:style>
  <w:style w:type="paragraph" w:styleId="21">
    <w:name w:val="index 2"/>
    <w:basedOn w:val="afa"/>
    <w:next w:val="afa"/>
    <w:qFormat/>
    <w:pPr>
      <w:ind w:left="420" w:hanging="210"/>
      <w:jc w:val="left"/>
    </w:pPr>
    <w:rPr>
      <w:rFonts w:ascii="Calibri" w:hAnsi="Calibri"/>
      <w:sz w:val="20"/>
      <w:szCs w:val="20"/>
    </w:rPr>
  </w:style>
  <w:style w:type="paragraph" w:styleId="affd">
    <w:name w:val="Title"/>
    <w:basedOn w:val="afa"/>
    <w:next w:val="afa"/>
    <w:link w:val="Char7"/>
    <w:uiPriority w:val="10"/>
    <w:qFormat/>
    <w:pPr>
      <w:spacing w:before="240" w:after="60"/>
      <w:jc w:val="center"/>
      <w:outlineLvl w:val="0"/>
    </w:pPr>
    <w:rPr>
      <w:rFonts w:ascii="Cambria" w:hAnsi="Cambria"/>
      <w:b/>
      <w:bCs/>
      <w:sz w:val="32"/>
      <w:szCs w:val="32"/>
    </w:rPr>
  </w:style>
  <w:style w:type="paragraph" w:styleId="affe">
    <w:name w:val="annotation subject"/>
    <w:basedOn w:val="aff0"/>
    <w:next w:val="aff0"/>
    <w:link w:val="Char8"/>
    <w:qFormat/>
    <w:rPr>
      <w:b/>
      <w:bCs/>
    </w:rPr>
  </w:style>
  <w:style w:type="table" w:styleId="afff">
    <w:name w:val="Table Grid"/>
    <w:basedOn w:val="afc"/>
    <w:uiPriority w:val="59"/>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0">
    <w:name w:val="Table Elegant"/>
    <w:basedOn w:val="afc"/>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32">
    <w:name w:val="Medium Grid 3"/>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3-1">
    <w:name w:val="Medium Grid 3 Accent 1"/>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styleId="afff1">
    <w:name w:val="Strong"/>
    <w:uiPriority w:val="22"/>
    <w:qFormat/>
    <w:rPr>
      <w:b/>
      <w:bCs/>
    </w:rPr>
  </w:style>
  <w:style w:type="character" w:styleId="afff2">
    <w:name w:val="endnote reference"/>
    <w:qFormat/>
    <w:rPr>
      <w:vertAlign w:val="superscript"/>
    </w:rPr>
  </w:style>
  <w:style w:type="character" w:styleId="afff3">
    <w:name w:val="page number"/>
    <w:qFormat/>
    <w:rPr>
      <w:rFonts w:ascii="Times New Roman" w:eastAsia="宋体" w:hAnsi="Times New Roman"/>
      <w:sz w:val="18"/>
    </w:rPr>
  </w:style>
  <w:style w:type="character" w:styleId="afff4">
    <w:name w:val="FollowedHyperlink"/>
    <w:basedOn w:val="afb"/>
    <w:qFormat/>
    <w:rPr>
      <w:color w:val="800080"/>
      <w:u w:val="single"/>
    </w:rPr>
  </w:style>
  <w:style w:type="character" w:styleId="afff5">
    <w:name w:val="Emphasis"/>
    <w:basedOn w:val="afb"/>
    <w:uiPriority w:val="20"/>
    <w:qFormat/>
    <w:rPr>
      <w:i/>
      <w:iCs/>
    </w:rPr>
  </w:style>
  <w:style w:type="character" w:styleId="afff6">
    <w:name w:val="Hyperlink"/>
    <w:uiPriority w:val="99"/>
    <w:qFormat/>
    <w:rPr>
      <w:color w:val="0000FF"/>
      <w:spacing w:val="0"/>
      <w:w w:val="100"/>
      <w:szCs w:val="21"/>
      <w:u w:val="single"/>
    </w:rPr>
  </w:style>
  <w:style w:type="character" w:styleId="afff7">
    <w:name w:val="annotation reference"/>
    <w:qFormat/>
    <w:rPr>
      <w:sz w:val="21"/>
      <w:szCs w:val="21"/>
    </w:rPr>
  </w:style>
  <w:style w:type="character" w:styleId="afff8">
    <w:name w:val="footnote reference"/>
    <w:uiPriority w:val="99"/>
    <w:qFormat/>
    <w:rPr>
      <w:vertAlign w:val="superscript"/>
    </w:rPr>
  </w:style>
  <w:style w:type="character" w:customStyle="1" w:styleId="Char5">
    <w:name w:val="段 Char"/>
    <w:link w:val="affa"/>
    <w:qFormat/>
    <w:rPr>
      <w:rFonts w:eastAsia="宋体"/>
      <w:sz w:val="21"/>
    </w:rPr>
  </w:style>
  <w:style w:type="paragraph" w:customStyle="1" w:styleId="a4">
    <w:name w:val="一级条标题"/>
    <w:next w:val="affa"/>
    <w:qFormat/>
    <w:pPr>
      <w:numPr>
        <w:ilvl w:val="1"/>
        <w:numId w:val="1"/>
      </w:numPr>
      <w:spacing w:beforeLines="50" w:afterLines="50"/>
      <w:outlineLvl w:val="2"/>
    </w:pPr>
    <w:rPr>
      <w:rFonts w:ascii="黑体" w:eastAsia="黑体"/>
      <w:sz w:val="21"/>
      <w:szCs w:val="21"/>
    </w:rPr>
  </w:style>
  <w:style w:type="paragraph" w:customStyle="1" w:styleId="afff9">
    <w:name w:val="标准书脚_奇数页"/>
    <w:qFormat/>
    <w:pPr>
      <w:spacing w:before="120"/>
      <w:ind w:right="198"/>
      <w:jc w:val="right"/>
    </w:pPr>
    <w:rPr>
      <w:rFonts w:ascii="宋体"/>
      <w:sz w:val="18"/>
      <w:szCs w:val="18"/>
    </w:rPr>
  </w:style>
  <w:style w:type="paragraph" w:customStyle="1" w:styleId="afffa">
    <w:name w:val="标准书眉_奇数页"/>
    <w:next w:val="afa"/>
    <w:qFormat/>
    <w:pPr>
      <w:tabs>
        <w:tab w:val="center" w:pos="4154"/>
        <w:tab w:val="right" w:pos="8306"/>
      </w:tabs>
      <w:spacing w:after="220"/>
      <w:jc w:val="right"/>
    </w:pPr>
    <w:rPr>
      <w:rFonts w:ascii="黑体" w:eastAsia="黑体"/>
      <w:sz w:val="21"/>
      <w:szCs w:val="21"/>
    </w:rPr>
  </w:style>
  <w:style w:type="paragraph" w:customStyle="1" w:styleId="a3">
    <w:name w:val="章标题"/>
    <w:next w:val="affa"/>
    <w:qFormat/>
    <w:pPr>
      <w:numPr>
        <w:numId w:val="1"/>
      </w:numPr>
      <w:spacing w:beforeLines="100" w:afterLines="100"/>
      <w:jc w:val="both"/>
      <w:outlineLvl w:val="1"/>
    </w:pPr>
    <w:rPr>
      <w:rFonts w:ascii="黑体" w:eastAsia="黑体"/>
      <w:sz w:val="21"/>
    </w:rPr>
  </w:style>
  <w:style w:type="paragraph" w:customStyle="1" w:styleId="afffb">
    <w:name w:val="二级条标题"/>
    <w:basedOn w:val="a4"/>
    <w:next w:val="affa"/>
    <w:qFormat/>
    <w:pPr>
      <w:numPr>
        <w:ilvl w:val="2"/>
        <w:numId w:val="0"/>
      </w:numPr>
      <w:spacing w:before="50" w:after="50"/>
      <w:outlineLvl w:val="3"/>
    </w:pPr>
  </w:style>
  <w:style w:type="paragraph" w:customStyle="1" w:styleId="22">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8">
    <w:name w:val="列项——（一级）"/>
    <w:qFormat/>
    <w:pPr>
      <w:widowControl w:val="0"/>
      <w:numPr>
        <w:numId w:val="2"/>
      </w:numPr>
      <w:jc w:val="both"/>
    </w:pPr>
    <w:rPr>
      <w:rFonts w:ascii="宋体"/>
      <w:sz w:val="21"/>
    </w:rPr>
  </w:style>
  <w:style w:type="paragraph" w:customStyle="1" w:styleId="a9">
    <w:name w:val="列项●（二级）"/>
    <w:qFormat/>
    <w:pPr>
      <w:numPr>
        <w:ilvl w:val="1"/>
        <w:numId w:val="2"/>
      </w:numPr>
      <w:tabs>
        <w:tab w:val="left" w:pos="840"/>
      </w:tabs>
      <w:jc w:val="both"/>
    </w:pPr>
    <w:rPr>
      <w:rFonts w:ascii="宋体"/>
      <w:sz w:val="21"/>
    </w:rPr>
  </w:style>
  <w:style w:type="paragraph" w:customStyle="1" w:styleId="afffc">
    <w:name w:val="目次、标准名称标题"/>
    <w:basedOn w:val="afa"/>
    <w:next w:val="affa"/>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d">
    <w:name w:val="三级条标题"/>
    <w:basedOn w:val="afffb"/>
    <w:next w:val="affa"/>
    <w:qFormat/>
    <w:pPr>
      <w:numPr>
        <w:ilvl w:val="3"/>
      </w:numPr>
      <w:outlineLvl w:val="4"/>
    </w:pPr>
  </w:style>
  <w:style w:type="paragraph" w:customStyle="1" w:styleId="af8">
    <w:name w:val="示例"/>
    <w:next w:val="afffe"/>
    <w:qFormat/>
    <w:pPr>
      <w:widowControl w:val="0"/>
      <w:numPr>
        <w:numId w:val="3"/>
      </w:numPr>
      <w:jc w:val="both"/>
    </w:pPr>
    <w:rPr>
      <w:rFonts w:ascii="宋体"/>
      <w:sz w:val="18"/>
      <w:szCs w:val="18"/>
    </w:rPr>
  </w:style>
  <w:style w:type="paragraph" w:customStyle="1" w:styleId="afffe">
    <w:name w:val="示例内容"/>
    <w:qFormat/>
    <w:pPr>
      <w:ind w:firstLineChars="200" w:firstLine="200"/>
    </w:pPr>
    <w:rPr>
      <w:rFonts w:ascii="宋体"/>
      <w:sz w:val="18"/>
      <w:szCs w:val="18"/>
    </w:rPr>
  </w:style>
  <w:style w:type="paragraph" w:customStyle="1" w:styleId="a0">
    <w:name w:val="数字编号列项（二级）"/>
    <w:qFormat/>
    <w:pPr>
      <w:numPr>
        <w:ilvl w:val="1"/>
        <w:numId w:val="4"/>
      </w:numPr>
      <w:jc w:val="both"/>
    </w:pPr>
    <w:rPr>
      <w:rFonts w:ascii="宋体"/>
      <w:sz w:val="21"/>
    </w:rPr>
  </w:style>
  <w:style w:type="paragraph" w:customStyle="1" w:styleId="affff">
    <w:name w:val="四级条标题"/>
    <w:basedOn w:val="afffd"/>
    <w:next w:val="affa"/>
    <w:qFormat/>
    <w:pPr>
      <w:numPr>
        <w:ilvl w:val="4"/>
      </w:numPr>
      <w:outlineLvl w:val="5"/>
    </w:pPr>
  </w:style>
  <w:style w:type="paragraph" w:customStyle="1" w:styleId="affff0">
    <w:name w:val="五级条标题"/>
    <w:basedOn w:val="affff"/>
    <w:next w:val="affa"/>
    <w:qFormat/>
    <w:pPr>
      <w:numPr>
        <w:ilvl w:val="5"/>
      </w:numPr>
      <w:outlineLvl w:val="6"/>
    </w:pPr>
  </w:style>
  <w:style w:type="paragraph" w:customStyle="1" w:styleId="af2">
    <w:name w:val="注："/>
    <w:next w:val="affa"/>
    <w:qFormat/>
    <w:pPr>
      <w:widowControl w:val="0"/>
      <w:numPr>
        <w:numId w:val="5"/>
      </w:numPr>
      <w:autoSpaceDE w:val="0"/>
      <w:autoSpaceDN w:val="0"/>
      <w:jc w:val="both"/>
    </w:pPr>
    <w:rPr>
      <w:rFonts w:ascii="宋体"/>
      <w:sz w:val="18"/>
      <w:szCs w:val="18"/>
    </w:rPr>
  </w:style>
  <w:style w:type="paragraph" w:customStyle="1" w:styleId="af6">
    <w:name w:val="注×："/>
    <w:qFormat/>
    <w:pPr>
      <w:widowControl w:val="0"/>
      <w:numPr>
        <w:numId w:val="6"/>
      </w:numPr>
      <w:autoSpaceDE w:val="0"/>
      <w:autoSpaceDN w:val="0"/>
      <w:jc w:val="both"/>
    </w:pPr>
    <w:rPr>
      <w:rFonts w:ascii="宋体"/>
      <w:sz w:val="18"/>
      <w:szCs w:val="18"/>
    </w:rPr>
  </w:style>
  <w:style w:type="paragraph" w:customStyle="1" w:styleId="a">
    <w:name w:val="字母编号列项（一级）"/>
    <w:qFormat/>
    <w:pPr>
      <w:numPr>
        <w:numId w:val="4"/>
      </w:numPr>
      <w:jc w:val="both"/>
    </w:pPr>
    <w:rPr>
      <w:rFonts w:ascii="宋体"/>
      <w:sz w:val="21"/>
    </w:rPr>
  </w:style>
  <w:style w:type="paragraph" w:customStyle="1" w:styleId="aa">
    <w:name w:val="列项◆（三级）"/>
    <w:basedOn w:val="afa"/>
    <w:qFormat/>
    <w:pPr>
      <w:numPr>
        <w:ilvl w:val="2"/>
        <w:numId w:val="2"/>
      </w:numPr>
    </w:pPr>
    <w:rPr>
      <w:rFonts w:ascii="宋体"/>
      <w:szCs w:val="21"/>
    </w:rPr>
  </w:style>
  <w:style w:type="paragraph" w:customStyle="1" w:styleId="a1">
    <w:name w:val="编号列项（三级）"/>
    <w:qFormat/>
    <w:pPr>
      <w:numPr>
        <w:ilvl w:val="2"/>
        <w:numId w:val="4"/>
      </w:numPr>
    </w:pPr>
    <w:rPr>
      <w:rFonts w:ascii="宋体"/>
      <w:sz w:val="21"/>
    </w:rPr>
  </w:style>
  <w:style w:type="paragraph" w:customStyle="1" w:styleId="ab">
    <w:name w:val="示例×："/>
    <w:basedOn w:val="a3"/>
    <w:qFormat/>
    <w:pPr>
      <w:numPr>
        <w:numId w:val="7"/>
      </w:numPr>
      <w:outlineLvl w:val="9"/>
    </w:pPr>
    <w:rPr>
      <w:rFonts w:ascii="宋体" w:eastAsia="宋体"/>
      <w:sz w:val="18"/>
      <w:szCs w:val="18"/>
    </w:rPr>
  </w:style>
  <w:style w:type="paragraph" w:customStyle="1" w:styleId="affff1">
    <w:name w:val="二级无"/>
    <w:basedOn w:val="afffb"/>
    <w:qFormat/>
    <w:rPr>
      <w:rFonts w:ascii="宋体" w:eastAsia="宋体"/>
    </w:rPr>
  </w:style>
  <w:style w:type="paragraph" w:customStyle="1" w:styleId="affff2">
    <w:name w:val="注：（正文）"/>
    <w:basedOn w:val="af2"/>
    <w:next w:val="affa"/>
    <w:qFormat/>
  </w:style>
  <w:style w:type="paragraph" w:customStyle="1" w:styleId="a2">
    <w:name w:val="注×：（正文）"/>
    <w:qFormat/>
    <w:pPr>
      <w:numPr>
        <w:numId w:val="8"/>
      </w:numPr>
      <w:jc w:val="both"/>
    </w:pPr>
    <w:rPr>
      <w:rFonts w:ascii="宋体"/>
      <w:sz w:val="18"/>
      <w:szCs w:val="18"/>
    </w:rPr>
  </w:style>
  <w:style w:type="paragraph" w:customStyle="1" w:styleId="affff3">
    <w:name w:val="标准标志"/>
    <w:next w:val="afa"/>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4">
    <w:name w:val="标准称谓"/>
    <w:next w:val="afa"/>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5">
    <w:name w:val="标准书脚_偶数页"/>
    <w:qFormat/>
    <w:pPr>
      <w:spacing w:before="120"/>
      <w:ind w:left="221"/>
    </w:pPr>
    <w:rPr>
      <w:rFonts w:ascii="宋体"/>
      <w:sz w:val="18"/>
      <w:szCs w:val="18"/>
    </w:rPr>
  </w:style>
  <w:style w:type="paragraph" w:customStyle="1" w:styleId="affff6">
    <w:name w:val="标准书眉_偶数页"/>
    <w:basedOn w:val="afffa"/>
    <w:next w:val="afa"/>
    <w:qFormat/>
    <w:pPr>
      <w:jc w:val="left"/>
    </w:pPr>
  </w:style>
  <w:style w:type="paragraph" w:customStyle="1" w:styleId="affff7">
    <w:name w:val="标准书眉一"/>
    <w:qFormat/>
    <w:pPr>
      <w:jc w:val="both"/>
    </w:pPr>
  </w:style>
  <w:style w:type="paragraph" w:customStyle="1" w:styleId="affff8">
    <w:name w:val="参考文献"/>
    <w:basedOn w:val="afa"/>
    <w:next w:val="affa"/>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9">
    <w:name w:val="参考文献、索引标题"/>
    <w:basedOn w:val="afa"/>
    <w:next w:val="affa"/>
    <w:qFormat/>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a">
    <w:name w:val="发布"/>
    <w:qFormat/>
    <w:rPr>
      <w:rFonts w:ascii="黑体" w:eastAsia="黑体"/>
      <w:spacing w:val="85"/>
      <w:w w:val="100"/>
      <w:position w:val="3"/>
      <w:sz w:val="28"/>
      <w:szCs w:val="28"/>
    </w:rPr>
  </w:style>
  <w:style w:type="paragraph" w:customStyle="1" w:styleId="affffb">
    <w:name w:val="发布部门"/>
    <w:next w:val="affa"/>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ffc">
    <w:name w:val="发布日期"/>
    <w:qFormat/>
    <w:pPr>
      <w:framePr w:w="3997" w:h="471" w:hRule="exact" w:vSpace="181" w:wrap="around" w:hAnchor="page" w:x="7089" w:y="14097" w:anchorLock="1"/>
    </w:pPr>
    <w:rPr>
      <w:rFonts w:eastAsia="黑体"/>
      <w:sz w:val="28"/>
    </w:rPr>
  </w:style>
  <w:style w:type="paragraph" w:customStyle="1" w:styleId="affffd">
    <w:name w:val="封面标准代替信息"/>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qFormat/>
    <w:pPr>
      <w:widowControl w:val="0"/>
      <w:kinsoku w:val="0"/>
      <w:overflowPunct w:val="0"/>
      <w:autoSpaceDE w:val="0"/>
      <w:autoSpaceDN w:val="0"/>
      <w:spacing w:before="308"/>
      <w:jc w:val="right"/>
      <w:textAlignment w:val="center"/>
    </w:pPr>
    <w:rPr>
      <w:sz w:val="28"/>
    </w:rPr>
  </w:style>
  <w:style w:type="paragraph" w:customStyle="1" w:styleId="affffe">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f">
    <w:name w:val="封面标准英文名称"/>
    <w:basedOn w:val="affffe"/>
    <w:qFormat/>
    <w:pPr>
      <w:framePr w:wrap="around"/>
      <w:spacing w:before="370" w:line="400" w:lineRule="exact"/>
    </w:pPr>
    <w:rPr>
      <w:rFonts w:ascii="Times New Roman"/>
      <w:sz w:val="28"/>
      <w:szCs w:val="28"/>
    </w:rPr>
  </w:style>
  <w:style w:type="paragraph" w:customStyle="1" w:styleId="afffff0">
    <w:name w:val="封面一致性程度标识"/>
    <w:basedOn w:val="afffff"/>
    <w:qFormat/>
    <w:pPr>
      <w:framePr w:wrap="around"/>
      <w:spacing w:before="440"/>
    </w:pPr>
    <w:rPr>
      <w:rFonts w:ascii="宋体" w:eastAsia="宋体"/>
    </w:rPr>
  </w:style>
  <w:style w:type="paragraph" w:customStyle="1" w:styleId="afffff1">
    <w:name w:val="封面标准文稿类别"/>
    <w:basedOn w:val="afffff0"/>
    <w:qFormat/>
    <w:pPr>
      <w:framePr w:wrap="around"/>
      <w:spacing w:after="160" w:line="240" w:lineRule="auto"/>
    </w:pPr>
    <w:rPr>
      <w:sz w:val="24"/>
    </w:rPr>
  </w:style>
  <w:style w:type="paragraph" w:customStyle="1" w:styleId="afffff2">
    <w:name w:val="封面标准文稿编辑信息"/>
    <w:basedOn w:val="afffff1"/>
    <w:qFormat/>
    <w:pPr>
      <w:framePr w:wrap="around"/>
      <w:spacing w:before="180" w:line="180" w:lineRule="exact"/>
    </w:pPr>
    <w:rPr>
      <w:sz w:val="21"/>
    </w:rPr>
  </w:style>
  <w:style w:type="paragraph" w:customStyle="1" w:styleId="afffff3">
    <w:name w:val="封面正文"/>
    <w:qFormat/>
    <w:pPr>
      <w:jc w:val="both"/>
    </w:pPr>
  </w:style>
  <w:style w:type="paragraph" w:customStyle="1" w:styleId="af3">
    <w:name w:val="附录标识"/>
    <w:basedOn w:val="afa"/>
    <w:next w:val="affa"/>
    <w:link w:val="Char9"/>
    <w:qFormat/>
    <w:pPr>
      <w:keepNext/>
      <w:widowControl/>
      <w:numPr>
        <w:numId w:val="9"/>
      </w:numPr>
      <w:spacing w:before="240" w:after="280"/>
      <w:ind w:firstLineChars="0"/>
      <w:jc w:val="center"/>
      <w:outlineLvl w:val="0"/>
    </w:pPr>
    <w:rPr>
      <w:rFonts w:ascii="黑体" w:eastAsia="黑体"/>
      <w:kern w:val="0"/>
      <w:szCs w:val="20"/>
    </w:rPr>
  </w:style>
  <w:style w:type="paragraph" w:customStyle="1" w:styleId="afffff4">
    <w:name w:val="附录标题"/>
    <w:basedOn w:val="affa"/>
    <w:next w:val="affa"/>
    <w:qFormat/>
    <w:pPr>
      <w:tabs>
        <w:tab w:val="clear" w:pos="-420"/>
        <w:tab w:val="clear" w:pos="0"/>
      </w:tabs>
      <w:ind w:firstLineChars="0" w:firstLine="0"/>
      <w:jc w:val="center"/>
    </w:pPr>
    <w:rPr>
      <w:rFonts w:ascii="黑体" w:eastAsia="黑体"/>
    </w:rPr>
  </w:style>
  <w:style w:type="paragraph" w:customStyle="1" w:styleId="ad">
    <w:name w:val="附录表标号"/>
    <w:basedOn w:val="afa"/>
    <w:next w:val="affa"/>
    <w:qFormat/>
    <w:pPr>
      <w:numPr>
        <w:numId w:val="10"/>
      </w:numPr>
      <w:spacing w:line="14" w:lineRule="exact"/>
      <w:jc w:val="center"/>
      <w:outlineLvl w:val="0"/>
    </w:pPr>
    <w:rPr>
      <w:color w:val="FFFFFF"/>
    </w:rPr>
  </w:style>
  <w:style w:type="paragraph" w:customStyle="1" w:styleId="ae">
    <w:name w:val="附录表标题"/>
    <w:basedOn w:val="afa"/>
    <w:next w:val="affa"/>
    <w:qFormat/>
    <w:pPr>
      <w:numPr>
        <w:ilvl w:val="1"/>
        <w:numId w:val="10"/>
      </w:numPr>
      <w:spacing w:beforeLines="50" w:afterLines="50"/>
      <w:jc w:val="center"/>
    </w:pPr>
    <w:rPr>
      <w:rFonts w:ascii="黑体" w:eastAsia="黑体"/>
      <w:szCs w:val="21"/>
    </w:rPr>
  </w:style>
  <w:style w:type="paragraph" w:customStyle="1" w:styleId="af5">
    <w:name w:val="附录二级条标题"/>
    <w:basedOn w:val="afa"/>
    <w:next w:val="affa"/>
    <w:qFormat/>
    <w:pPr>
      <w:widowControl/>
      <w:numPr>
        <w:ilvl w:val="3"/>
        <w:numId w:val="9"/>
      </w:numPr>
      <w:tabs>
        <w:tab w:val="left" w:pos="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5">
    <w:name w:val="附录二级无"/>
    <w:basedOn w:val="af5"/>
    <w:qFormat/>
    <w:rPr>
      <w:rFonts w:ascii="宋体" w:eastAsia="宋体"/>
      <w:szCs w:val="21"/>
    </w:rPr>
  </w:style>
  <w:style w:type="paragraph" w:customStyle="1" w:styleId="afffff6">
    <w:name w:val="附录公式"/>
    <w:basedOn w:val="affa"/>
    <w:next w:val="affa"/>
    <w:link w:val="Chara"/>
    <w:qFormat/>
    <w:pPr>
      <w:tabs>
        <w:tab w:val="clear" w:pos="-420"/>
        <w:tab w:val="clear" w:pos="0"/>
      </w:tabs>
    </w:pPr>
  </w:style>
  <w:style w:type="character" w:customStyle="1" w:styleId="Chara">
    <w:name w:val="附录公式 Char"/>
    <w:link w:val="afffff6"/>
    <w:qFormat/>
    <w:rPr>
      <w:rFonts w:ascii="宋体"/>
      <w:sz w:val="21"/>
      <w:lang w:val="en-US" w:eastAsia="zh-CN" w:bidi="ar-SA"/>
    </w:rPr>
  </w:style>
  <w:style w:type="paragraph" w:customStyle="1" w:styleId="afffff7">
    <w:name w:val="附录公式编号制表符"/>
    <w:basedOn w:val="afa"/>
    <w:next w:val="affa"/>
    <w:qFormat/>
    <w:pPr>
      <w:widowControl/>
      <w:tabs>
        <w:tab w:val="center" w:pos="4201"/>
        <w:tab w:val="right" w:leader="dot" w:pos="9298"/>
      </w:tabs>
      <w:autoSpaceDE w:val="0"/>
      <w:autoSpaceDN w:val="0"/>
    </w:pPr>
    <w:rPr>
      <w:rFonts w:ascii="宋体"/>
      <w:kern w:val="0"/>
      <w:szCs w:val="20"/>
    </w:rPr>
  </w:style>
  <w:style w:type="paragraph" w:customStyle="1" w:styleId="afffff8">
    <w:name w:val="附录三级条标题"/>
    <w:basedOn w:val="af5"/>
    <w:next w:val="affa"/>
    <w:qFormat/>
    <w:pPr>
      <w:numPr>
        <w:ilvl w:val="0"/>
        <w:numId w:val="0"/>
      </w:numPr>
      <w:outlineLvl w:val="4"/>
    </w:pPr>
  </w:style>
  <w:style w:type="paragraph" w:customStyle="1" w:styleId="afffff9">
    <w:name w:val="附录三级无"/>
    <w:basedOn w:val="afffff8"/>
    <w:qFormat/>
    <w:rPr>
      <w:rFonts w:ascii="宋体" w:eastAsia="宋体"/>
      <w:szCs w:val="21"/>
    </w:rPr>
  </w:style>
  <w:style w:type="paragraph" w:customStyle="1" w:styleId="af1">
    <w:name w:val="附录数字编号列项（二级）"/>
    <w:qFormat/>
    <w:pPr>
      <w:numPr>
        <w:ilvl w:val="1"/>
        <w:numId w:val="11"/>
      </w:numPr>
    </w:pPr>
    <w:rPr>
      <w:rFonts w:ascii="宋体"/>
      <w:sz w:val="21"/>
    </w:rPr>
  </w:style>
  <w:style w:type="paragraph" w:customStyle="1" w:styleId="afffffa">
    <w:name w:val="附录四级条标题"/>
    <w:basedOn w:val="afffff8"/>
    <w:next w:val="affa"/>
    <w:qFormat/>
    <w:pPr>
      <w:numPr>
        <w:ilvl w:val="5"/>
      </w:numPr>
      <w:tabs>
        <w:tab w:val="left" w:pos="360"/>
      </w:tabs>
      <w:outlineLvl w:val="5"/>
    </w:pPr>
  </w:style>
  <w:style w:type="paragraph" w:customStyle="1" w:styleId="afffffb">
    <w:name w:val="附录四级无"/>
    <w:basedOn w:val="afffffa"/>
    <w:qFormat/>
    <w:pPr>
      <w:tabs>
        <w:tab w:val="clear" w:pos="360"/>
      </w:tabs>
    </w:pPr>
    <w:rPr>
      <w:rFonts w:ascii="宋体" w:eastAsia="宋体"/>
      <w:szCs w:val="21"/>
    </w:rPr>
  </w:style>
  <w:style w:type="paragraph" w:customStyle="1" w:styleId="a6">
    <w:name w:val="附录图标号"/>
    <w:basedOn w:val="afa"/>
    <w:qFormat/>
    <w:pPr>
      <w:keepNext/>
      <w:pageBreakBefore/>
      <w:widowControl/>
      <w:numPr>
        <w:numId w:val="12"/>
      </w:numPr>
      <w:spacing w:line="14" w:lineRule="exact"/>
      <w:ind w:left="0" w:firstLine="363"/>
      <w:jc w:val="center"/>
      <w:outlineLvl w:val="0"/>
    </w:pPr>
    <w:rPr>
      <w:color w:val="FFFFFF"/>
    </w:rPr>
  </w:style>
  <w:style w:type="paragraph" w:customStyle="1" w:styleId="a7">
    <w:name w:val="附录图标题"/>
    <w:basedOn w:val="afa"/>
    <w:next w:val="affa"/>
    <w:qFormat/>
    <w:pPr>
      <w:numPr>
        <w:ilvl w:val="1"/>
        <w:numId w:val="12"/>
      </w:numPr>
      <w:tabs>
        <w:tab w:val="left" w:pos="363"/>
      </w:tabs>
      <w:spacing w:beforeLines="50" w:afterLines="50"/>
      <w:ind w:left="0" w:firstLine="0"/>
      <w:jc w:val="center"/>
    </w:pPr>
    <w:rPr>
      <w:rFonts w:ascii="黑体" w:eastAsia="黑体"/>
      <w:szCs w:val="21"/>
    </w:rPr>
  </w:style>
  <w:style w:type="paragraph" w:customStyle="1" w:styleId="afffffc">
    <w:name w:val="附录五级条标题"/>
    <w:basedOn w:val="afffffa"/>
    <w:next w:val="affa"/>
    <w:qFormat/>
    <w:pPr>
      <w:numPr>
        <w:ilvl w:val="6"/>
      </w:numPr>
      <w:outlineLvl w:val="6"/>
    </w:pPr>
  </w:style>
  <w:style w:type="paragraph" w:customStyle="1" w:styleId="afffffd">
    <w:name w:val="附录五级无"/>
    <w:basedOn w:val="afffffc"/>
    <w:qFormat/>
    <w:pPr>
      <w:tabs>
        <w:tab w:val="clear" w:pos="360"/>
      </w:tabs>
    </w:pPr>
    <w:rPr>
      <w:rFonts w:ascii="宋体" w:eastAsia="宋体"/>
      <w:szCs w:val="21"/>
    </w:rPr>
  </w:style>
  <w:style w:type="paragraph" w:customStyle="1" w:styleId="af4">
    <w:name w:val="附录章标题"/>
    <w:next w:val="affa"/>
    <w:qFormat/>
    <w:pPr>
      <w:numPr>
        <w:ilvl w:val="1"/>
        <w:numId w:val="9"/>
      </w:numPr>
      <w:tabs>
        <w:tab w:val="left" w:pos="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fe">
    <w:name w:val="附录一级条标题"/>
    <w:basedOn w:val="af4"/>
    <w:next w:val="affa"/>
    <w:qFormat/>
    <w:pPr>
      <w:numPr>
        <w:ilvl w:val="0"/>
        <w:numId w:val="0"/>
      </w:numPr>
      <w:autoSpaceDN w:val="0"/>
      <w:spacing w:beforeLines="50" w:afterLines="50"/>
      <w:outlineLvl w:val="2"/>
    </w:pPr>
  </w:style>
  <w:style w:type="paragraph" w:customStyle="1" w:styleId="affffff">
    <w:name w:val="附录一级无"/>
    <w:basedOn w:val="afffffe"/>
    <w:qFormat/>
    <w:rPr>
      <w:rFonts w:ascii="宋体" w:eastAsia="宋体"/>
      <w:szCs w:val="21"/>
    </w:rPr>
  </w:style>
  <w:style w:type="paragraph" w:customStyle="1" w:styleId="af0">
    <w:name w:val="附录字母编号列项（一级）"/>
    <w:qFormat/>
    <w:pPr>
      <w:numPr>
        <w:numId w:val="11"/>
      </w:numPr>
    </w:pPr>
    <w:rPr>
      <w:rFonts w:ascii="宋体"/>
      <w:sz w:val="21"/>
    </w:rPr>
  </w:style>
  <w:style w:type="paragraph" w:customStyle="1" w:styleId="affffff0">
    <w:name w:val="列项说明"/>
    <w:basedOn w:val="afa"/>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affffff1">
    <w:name w:val="列项说明数字编号"/>
    <w:qFormat/>
    <w:pPr>
      <w:ind w:leftChars="400" w:left="600" w:hangingChars="200" w:hanging="200"/>
    </w:pPr>
    <w:rPr>
      <w:rFonts w:ascii="宋体"/>
      <w:sz w:val="21"/>
    </w:rPr>
  </w:style>
  <w:style w:type="paragraph" w:customStyle="1" w:styleId="affffff2">
    <w:name w:val="目次、索引正文"/>
    <w:qFormat/>
    <w:pPr>
      <w:spacing w:line="320" w:lineRule="exact"/>
      <w:jc w:val="both"/>
    </w:pPr>
    <w:rPr>
      <w:rFonts w:ascii="宋体"/>
      <w:sz w:val="21"/>
    </w:rPr>
  </w:style>
  <w:style w:type="paragraph" w:customStyle="1" w:styleId="affffff3">
    <w:name w:val="其他标准标志"/>
    <w:basedOn w:val="affff3"/>
    <w:qFormat/>
    <w:pPr>
      <w:framePr w:w="6101" w:wrap="around" w:vAnchor="page" w:hAnchor="page" w:x="4673" w:y="942"/>
    </w:pPr>
    <w:rPr>
      <w:w w:val="130"/>
    </w:rPr>
  </w:style>
  <w:style w:type="paragraph" w:customStyle="1" w:styleId="affffff4">
    <w:name w:val="其他标准称谓"/>
    <w:next w:val="afa"/>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5">
    <w:name w:val="其他发布部门"/>
    <w:basedOn w:val="affffb"/>
    <w:qFormat/>
    <w:pPr>
      <w:framePr w:wrap="around" w:y="15310"/>
      <w:spacing w:line="0" w:lineRule="atLeast"/>
    </w:pPr>
    <w:rPr>
      <w:rFonts w:ascii="黑体" w:eastAsia="黑体"/>
      <w:b w:val="0"/>
    </w:rPr>
  </w:style>
  <w:style w:type="paragraph" w:customStyle="1" w:styleId="affffff6">
    <w:name w:val="前言、引言标题"/>
    <w:next w:val="affa"/>
    <w:qFormat/>
    <w:pPr>
      <w:keepNext/>
      <w:pageBreakBefore/>
      <w:shd w:val="clear" w:color="FFFFFF" w:fill="FFFFFF"/>
      <w:spacing w:before="640" w:after="560"/>
      <w:jc w:val="center"/>
      <w:outlineLvl w:val="0"/>
    </w:pPr>
    <w:rPr>
      <w:rFonts w:ascii="黑体" w:eastAsia="黑体"/>
      <w:sz w:val="32"/>
    </w:rPr>
  </w:style>
  <w:style w:type="paragraph" w:customStyle="1" w:styleId="affffff7">
    <w:name w:val="三级无"/>
    <w:basedOn w:val="afffd"/>
    <w:qFormat/>
    <w:rPr>
      <w:rFonts w:ascii="宋体" w:eastAsia="宋体"/>
    </w:rPr>
  </w:style>
  <w:style w:type="paragraph" w:customStyle="1" w:styleId="affffff8">
    <w:name w:val="实施日期"/>
    <w:basedOn w:val="affffc"/>
    <w:qFormat/>
    <w:pPr>
      <w:framePr w:wrap="around" w:vAnchor="page" w:hAnchor="text"/>
      <w:jc w:val="right"/>
    </w:pPr>
  </w:style>
  <w:style w:type="paragraph" w:customStyle="1" w:styleId="affffff9">
    <w:name w:val="示例后文字"/>
    <w:basedOn w:val="affa"/>
    <w:next w:val="affa"/>
    <w:qFormat/>
    <w:pPr>
      <w:tabs>
        <w:tab w:val="clear" w:pos="-420"/>
        <w:tab w:val="clear" w:pos="0"/>
      </w:tabs>
      <w:ind w:firstLine="360"/>
    </w:pPr>
    <w:rPr>
      <w:sz w:val="18"/>
    </w:rPr>
  </w:style>
  <w:style w:type="paragraph" w:customStyle="1" w:styleId="af7">
    <w:name w:val="首示例"/>
    <w:next w:val="affa"/>
    <w:link w:val="Charb"/>
    <w:qFormat/>
    <w:pPr>
      <w:numPr>
        <w:numId w:val="13"/>
      </w:numPr>
      <w:tabs>
        <w:tab w:val="left" w:pos="360"/>
      </w:tabs>
      <w:ind w:firstLine="0"/>
    </w:pPr>
    <w:rPr>
      <w:rFonts w:ascii="宋体" w:hAnsi="宋体"/>
      <w:kern w:val="2"/>
      <w:sz w:val="18"/>
      <w:szCs w:val="18"/>
    </w:rPr>
  </w:style>
  <w:style w:type="character" w:customStyle="1" w:styleId="Charb">
    <w:name w:val="首示例 Char"/>
    <w:link w:val="af7"/>
    <w:qFormat/>
    <w:rPr>
      <w:rFonts w:ascii="宋体" w:hAnsi="宋体"/>
      <w:kern w:val="2"/>
      <w:sz w:val="18"/>
      <w:szCs w:val="18"/>
    </w:rPr>
  </w:style>
  <w:style w:type="paragraph" w:customStyle="1" w:styleId="affffffa">
    <w:name w:val="四级无"/>
    <w:basedOn w:val="affff"/>
    <w:qFormat/>
    <w:rPr>
      <w:rFonts w:ascii="宋体" w:eastAsia="宋体"/>
    </w:rPr>
  </w:style>
  <w:style w:type="paragraph" w:customStyle="1" w:styleId="affffffb">
    <w:name w:val="条文脚注"/>
    <w:basedOn w:val="affb"/>
    <w:qFormat/>
    <w:pPr>
      <w:jc w:val="both"/>
    </w:pPr>
  </w:style>
  <w:style w:type="paragraph" w:customStyle="1" w:styleId="affffffc">
    <w:name w:val="图标脚注说明"/>
    <w:basedOn w:val="affa"/>
    <w:qFormat/>
    <w:pPr>
      <w:tabs>
        <w:tab w:val="clear" w:pos="-420"/>
        <w:tab w:val="clear" w:pos="0"/>
      </w:tabs>
      <w:ind w:left="840" w:firstLineChars="0" w:hanging="420"/>
    </w:pPr>
    <w:rPr>
      <w:sz w:val="18"/>
      <w:szCs w:val="18"/>
    </w:rPr>
  </w:style>
  <w:style w:type="paragraph" w:customStyle="1" w:styleId="af9">
    <w:name w:val="图表脚注说明"/>
    <w:basedOn w:val="afa"/>
    <w:qFormat/>
    <w:pPr>
      <w:numPr>
        <w:numId w:val="14"/>
      </w:numPr>
    </w:pPr>
    <w:rPr>
      <w:rFonts w:ascii="宋体"/>
      <w:sz w:val="18"/>
      <w:szCs w:val="18"/>
    </w:rPr>
  </w:style>
  <w:style w:type="paragraph" w:customStyle="1" w:styleId="affffffd">
    <w:name w:val="图的脚注"/>
    <w:next w:val="affa"/>
    <w:qFormat/>
    <w:pPr>
      <w:widowControl w:val="0"/>
      <w:ind w:leftChars="200" w:left="840" w:hangingChars="200" w:hanging="420"/>
      <w:jc w:val="both"/>
    </w:pPr>
    <w:rPr>
      <w:rFonts w:ascii="宋体"/>
      <w:sz w:val="18"/>
    </w:rPr>
  </w:style>
  <w:style w:type="paragraph" w:customStyle="1" w:styleId="affffffe">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fffffff">
    <w:name w:val="五级无"/>
    <w:basedOn w:val="affff0"/>
    <w:qFormat/>
    <w:rPr>
      <w:rFonts w:ascii="宋体" w:eastAsia="宋体"/>
    </w:rPr>
  </w:style>
  <w:style w:type="paragraph" w:customStyle="1" w:styleId="afffffff0">
    <w:name w:val="一级无"/>
    <w:basedOn w:val="a4"/>
    <w:qFormat/>
    <w:rPr>
      <w:rFonts w:ascii="宋体" w:eastAsia="宋体"/>
    </w:rPr>
  </w:style>
  <w:style w:type="character" w:customStyle="1" w:styleId="13">
    <w:name w:val="访问过的超链接1"/>
    <w:qFormat/>
    <w:rPr>
      <w:color w:val="800080"/>
      <w:u w:val="single"/>
    </w:rPr>
  </w:style>
  <w:style w:type="paragraph" w:customStyle="1" w:styleId="af">
    <w:name w:val="正文表标题"/>
    <w:next w:val="affa"/>
    <w:qFormat/>
    <w:pPr>
      <w:numPr>
        <w:numId w:val="15"/>
      </w:numPr>
      <w:tabs>
        <w:tab w:val="left" w:pos="360"/>
      </w:tabs>
      <w:spacing w:beforeLines="50" w:afterLines="50"/>
      <w:jc w:val="center"/>
    </w:pPr>
    <w:rPr>
      <w:rFonts w:ascii="黑体" w:eastAsia="黑体"/>
      <w:sz w:val="21"/>
    </w:rPr>
  </w:style>
  <w:style w:type="paragraph" w:customStyle="1" w:styleId="afffffff1">
    <w:name w:val="正文公式编号制表符"/>
    <w:basedOn w:val="affa"/>
    <w:next w:val="affa"/>
    <w:qFormat/>
    <w:pPr>
      <w:tabs>
        <w:tab w:val="clear" w:pos="-420"/>
        <w:tab w:val="clear" w:pos="0"/>
      </w:tabs>
      <w:ind w:firstLineChars="0" w:firstLine="0"/>
    </w:pPr>
  </w:style>
  <w:style w:type="paragraph" w:customStyle="1" w:styleId="ac">
    <w:name w:val="正文图标题"/>
    <w:next w:val="affa"/>
    <w:qFormat/>
    <w:pPr>
      <w:numPr>
        <w:numId w:val="16"/>
      </w:numPr>
      <w:tabs>
        <w:tab w:val="left" w:pos="360"/>
      </w:tabs>
      <w:spacing w:beforeLines="50" w:afterLines="50"/>
      <w:jc w:val="center"/>
    </w:pPr>
    <w:rPr>
      <w:rFonts w:ascii="黑体" w:eastAsia="黑体"/>
      <w:sz w:val="21"/>
    </w:rPr>
  </w:style>
  <w:style w:type="paragraph" w:customStyle="1" w:styleId="afffffff2">
    <w:name w:val="终结线"/>
    <w:basedOn w:val="afa"/>
    <w:qFormat/>
    <w:pPr>
      <w:framePr w:hSpace="181" w:vSpace="181" w:wrap="around" w:vAnchor="text" w:hAnchor="margin" w:xAlign="center" w:y="285"/>
    </w:pPr>
  </w:style>
  <w:style w:type="paragraph" w:customStyle="1" w:styleId="afffffff3">
    <w:name w:val="其他发布日期"/>
    <w:basedOn w:val="affffc"/>
    <w:qFormat/>
    <w:pPr>
      <w:framePr w:wrap="around" w:vAnchor="page" w:hAnchor="text" w:x="1419"/>
    </w:pPr>
  </w:style>
  <w:style w:type="paragraph" w:customStyle="1" w:styleId="afffffff4">
    <w:name w:val="其他实施日期"/>
    <w:basedOn w:val="affffff8"/>
    <w:qFormat/>
    <w:pPr>
      <w:framePr w:wrap="around"/>
    </w:pPr>
  </w:style>
  <w:style w:type="paragraph" w:customStyle="1" w:styleId="23">
    <w:name w:val="封面标准名称2"/>
    <w:basedOn w:val="affffe"/>
    <w:qFormat/>
    <w:pPr>
      <w:framePr w:wrap="around" w:y="4469"/>
      <w:spacing w:beforeLines="630"/>
    </w:pPr>
  </w:style>
  <w:style w:type="paragraph" w:customStyle="1" w:styleId="24">
    <w:name w:val="封面标准英文名称2"/>
    <w:basedOn w:val="afffff"/>
    <w:qFormat/>
    <w:pPr>
      <w:framePr w:wrap="around" w:y="4469"/>
    </w:pPr>
  </w:style>
  <w:style w:type="paragraph" w:customStyle="1" w:styleId="25">
    <w:name w:val="封面一致性程度标识2"/>
    <w:basedOn w:val="afffff0"/>
    <w:qFormat/>
    <w:pPr>
      <w:framePr w:wrap="around" w:y="4469"/>
    </w:pPr>
  </w:style>
  <w:style w:type="paragraph" w:customStyle="1" w:styleId="26">
    <w:name w:val="封面标准文稿类别2"/>
    <w:basedOn w:val="afffff1"/>
    <w:qFormat/>
    <w:pPr>
      <w:framePr w:wrap="around" w:y="4469"/>
    </w:pPr>
  </w:style>
  <w:style w:type="paragraph" w:customStyle="1" w:styleId="27">
    <w:name w:val="封面标准文稿编辑信息2"/>
    <w:basedOn w:val="afffff2"/>
    <w:qFormat/>
    <w:pPr>
      <w:framePr w:wrap="around" w:y="4469"/>
    </w:pPr>
  </w:style>
  <w:style w:type="paragraph" w:customStyle="1" w:styleId="Default">
    <w:name w:val="Default"/>
    <w:qFormat/>
    <w:pPr>
      <w:widowControl w:val="0"/>
      <w:autoSpaceDE w:val="0"/>
      <w:autoSpaceDN w:val="0"/>
      <w:adjustRightInd w:val="0"/>
    </w:pPr>
    <w:rPr>
      <w:rFonts w:ascii="宋体"/>
    </w:rPr>
  </w:style>
  <w:style w:type="character" w:customStyle="1" w:styleId="Char3">
    <w:name w:val="批注框文本 Char"/>
    <w:link w:val="aff6"/>
    <w:qFormat/>
    <w:rPr>
      <w:kern w:val="2"/>
      <w:sz w:val="18"/>
      <w:szCs w:val="18"/>
    </w:rPr>
  </w:style>
  <w:style w:type="character" w:customStyle="1" w:styleId="Char0">
    <w:name w:val="批注文字 Char"/>
    <w:link w:val="aff0"/>
    <w:qFormat/>
    <w:rPr>
      <w:kern w:val="2"/>
      <w:sz w:val="21"/>
      <w:szCs w:val="24"/>
    </w:rPr>
  </w:style>
  <w:style w:type="character" w:customStyle="1" w:styleId="Char8">
    <w:name w:val="批注主题 Char"/>
    <w:link w:val="affe"/>
    <w:qFormat/>
    <w:rPr>
      <w:b/>
      <w:bCs/>
      <w:kern w:val="2"/>
      <w:sz w:val="21"/>
      <w:szCs w:val="24"/>
    </w:rPr>
  </w:style>
  <w:style w:type="paragraph" w:customStyle="1" w:styleId="Revision168d0d63-7386-4d39-ae08-893cd08d9c81">
    <w:name w:val="Revision_168d0d63-7386-4d39-ae08-893cd08d9c81"/>
    <w:uiPriority w:val="99"/>
    <w:qFormat/>
    <w:rPr>
      <w:kern w:val="2"/>
      <w:sz w:val="21"/>
      <w:szCs w:val="24"/>
    </w:rPr>
  </w:style>
  <w:style w:type="character" w:customStyle="1" w:styleId="Char1">
    <w:name w:val="正文文本缩进 Char"/>
    <w:link w:val="aff2"/>
    <w:qFormat/>
    <w:rPr>
      <w:kern w:val="2"/>
      <w:sz w:val="21"/>
      <w:szCs w:val="24"/>
    </w:rPr>
  </w:style>
  <w:style w:type="paragraph" w:customStyle="1" w:styleId="14">
    <w:name w:val="正文1"/>
    <w:qFormat/>
    <w:pPr>
      <w:ind w:firstLine="480"/>
      <w:jc w:val="both"/>
    </w:pPr>
  </w:style>
  <w:style w:type="character" w:customStyle="1" w:styleId="2Char">
    <w:name w:val="标题 2 Char"/>
    <w:link w:val="2"/>
    <w:qFormat/>
    <w:rPr>
      <w:rFonts w:ascii="楷体_GB2312" w:eastAsia="楷体_GB2312" w:hAnsi="宋体"/>
      <w:sz w:val="30"/>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Cambria" w:eastAsia="宋体" w:hAnsi="Cambria" w:cs="Times New Roman"/>
      <w:b/>
      <w:bCs/>
      <w:kern w:val="2"/>
      <w:sz w:val="28"/>
      <w:szCs w:val="28"/>
    </w:rPr>
  </w:style>
  <w:style w:type="character" w:customStyle="1" w:styleId="Char7">
    <w:name w:val="标题 Char"/>
    <w:link w:val="affd"/>
    <w:qFormat/>
    <w:rPr>
      <w:rFonts w:ascii="Cambria" w:hAnsi="Cambria" w:cs="Times New Roman"/>
      <w:b/>
      <w:bCs/>
      <w:kern w:val="2"/>
      <w:sz w:val="32"/>
      <w:szCs w:val="32"/>
    </w:rPr>
  </w:style>
  <w:style w:type="character" w:customStyle="1" w:styleId="Heading1Charfc538dad-85ce-46b8-bb80-c173e5b24fa2">
    <w:name w:val="Heading 1 Char_fc538dad-85ce-46b8-bb80-c173e5b24fa2"/>
    <w:qFormat/>
    <w:rPr>
      <w:rFonts w:eastAsia="仿宋" w:cs="Calibri"/>
      <w:b/>
      <w:bCs/>
      <w:kern w:val="44"/>
      <w:sz w:val="44"/>
      <w:szCs w:val="44"/>
    </w:rPr>
  </w:style>
  <w:style w:type="character" w:customStyle="1" w:styleId="1Char">
    <w:name w:val="标题 1 Char"/>
    <w:link w:val="1"/>
    <w:qFormat/>
    <w:rPr>
      <w:b/>
      <w:bCs/>
      <w:kern w:val="44"/>
      <w:sz w:val="44"/>
      <w:szCs w:val="44"/>
    </w:rPr>
  </w:style>
  <w:style w:type="character" w:customStyle="1" w:styleId="Char">
    <w:name w:val="题注 Char"/>
    <w:link w:val="afe"/>
    <w:qFormat/>
    <w:rPr>
      <w:rFonts w:ascii="Arial" w:eastAsia="黑体" w:hAnsi="Arial"/>
      <w:kern w:val="2"/>
    </w:rPr>
  </w:style>
  <w:style w:type="paragraph" w:customStyle="1" w:styleId="TableSource2006GL">
    <w:name w:val="Table Source 2006GL"/>
    <w:basedOn w:val="Default"/>
    <w:next w:val="Default"/>
    <w:qFormat/>
    <w:rPr>
      <w:rFonts w:hAnsi="Calibri" w:cs="宋体"/>
      <w:sz w:val="24"/>
      <w:szCs w:val="24"/>
    </w:rPr>
  </w:style>
  <w:style w:type="character" w:customStyle="1" w:styleId="CharChar">
    <w:name w:val="段 Char Char"/>
    <w:qFormat/>
    <w:rPr>
      <w:rFonts w:ascii="宋体" w:hAnsi="Times New Roman" w:cs="宋体"/>
      <w:sz w:val="21"/>
      <w:szCs w:val="21"/>
      <w:lang w:val="en-US" w:eastAsia="zh-CN" w:bidi="ar-SA"/>
    </w:rPr>
  </w:style>
  <w:style w:type="paragraph" w:customStyle="1" w:styleId="TOCHeading96d1129b-bcee-4964-9146-dc6a40466b18">
    <w:name w:val="TOC Heading_96d1129b-bcee-4964-9146-dc6a40466b18"/>
    <w:basedOn w:val="1"/>
    <w:next w:val="afa"/>
    <w:uiPriority w:val="39"/>
    <w:qFormat/>
    <w:pPr>
      <w:widowControl/>
      <w:spacing w:before="480" w:after="0" w:line="276" w:lineRule="auto"/>
      <w:jc w:val="left"/>
      <w:outlineLvl w:val="9"/>
    </w:pPr>
    <w:rPr>
      <w:rFonts w:ascii="Cambria" w:hAnsi="Cambria"/>
      <w:color w:val="365F91"/>
      <w:kern w:val="0"/>
      <w:sz w:val="28"/>
      <w:szCs w:val="28"/>
    </w:rPr>
  </w:style>
  <w:style w:type="paragraph" w:styleId="a5">
    <w:name w:val="List Paragraph"/>
    <w:basedOn w:val="afa"/>
    <w:uiPriority w:val="34"/>
    <w:qFormat/>
    <w:pPr>
      <w:widowControl/>
      <w:numPr>
        <w:ilvl w:val="2"/>
        <w:numId w:val="1"/>
      </w:numPr>
      <w:snapToGrid w:val="0"/>
      <w:ind w:firstLineChars="0"/>
    </w:pPr>
    <w:rPr>
      <w:kern w:val="0"/>
      <w:szCs w:val="21"/>
    </w:rPr>
  </w:style>
  <w:style w:type="character" w:customStyle="1" w:styleId="Char4">
    <w:name w:val="页脚 Char"/>
    <w:link w:val="aff7"/>
    <w:uiPriority w:val="99"/>
    <w:qFormat/>
    <w:rPr>
      <w:kern w:val="2"/>
      <w:sz w:val="18"/>
      <w:szCs w:val="18"/>
    </w:rPr>
  </w:style>
  <w:style w:type="paragraph" w:customStyle="1" w:styleId="afffffff5">
    <w:name w:val="附录"/>
    <w:basedOn w:val="af3"/>
    <w:link w:val="Charc"/>
    <w:qFormat/>
  </w:style>
  <w:style w:type="character" w:customStyle="1" w:styleId="Char9">
    <w:name w:val="附录标识 Char"/>
    <w:basedOn w:val="afb"/>
    <w:link w:val="af3"/>
    <w:qFormat/>
    <w:rPr>
      <w:rFonts w:ascii="黑体" w:eastAsia="黑体"/>
      <w:sz w:val="21"/>
    </w:rPr>
  </w:style>
  <w:style w:type="character" w:customStyle="1" w:styleId="Charc">
    <w:name w:val="附录 Char"/>
    <w:basedOn w:val="Char9"/>
    <w:link w:val="afffffff5"/>
    <w:qFormat/>
    <w:rPr>
      <w:rFonts w:ascii="黑体" w:eastAsia="黑体"/>
      <w:sz w:val="21"/>
      <w:shd w:val="clear" w:color="FFFFFF" w:fill="FFFFFF"/>
    </w:rPr>
  </w:style>
  <w:style w:type="character" w:customStyle="1" w:styleId="fontstyle01">
    <w:name w:val="fontstyle01"/>
    <w:basedOn w:val="afb"/>
    <w:qFormat/>
    <w:rPr>
      <w:rFonts w:ascii="宋体" w:eastAsia="宋体" w:hAnsi="宋体" w:hint="eastAsia"/>
      <w:color w:val="000000"/>
      <w:sz w:val="22"/>
      <w:szCs w:val="22"/>
    </w:rPr>
  </w:style>
  <w:style w:type="paragraph" w:customStyle="1" w:styleId="15">
    <w:name w:val="修订1"/>
    <w:uiPriority w:val="99"/>
    <w:qFormat/>
    <w:rPr>
      <w:kern w:val="2"/>
      <w:sz w:val="21"/>
      <w:szCs w:val="24"/>
    </w:rPr>
  </w:style>
  <w:style w:type="paragraph" w:customStyle="1" w:styleId="16">
    <w:name w:val="明显引用1"/>
    <w:basedOn w:val="afa"/>
    <w:next w:val="afa"/>
    <w:uiPriority w:val="30"/>
    <w:qFormat/>
    <w:pPr>
      <w:pBdr>
        <w:bottom w:val="single" w:sz="4" w:space="4" w:color="4F81BD"/>
      </w:pBdr>
      <w:spacing w:before="200" w:after="280"/>
      <w:ind w:left="936" w:right="936"/>
    </w:pPr>
    <w:rPr>
      <w:b/>
      <w:bCs/>
      <w:i/>
      <w:iCs/>
      <w:color w:val="4F81BD"/>
    </w:rPr>
  </w:style>
  <w:style w:type="character" w:customStyle="1" w:styleId="font61">
    <w:name w:val="font61"/>
    <w:basedOn w:val="afb"/>
    <w:qFormat/>
    <w:rPr>
      <w:rFonts w:ascii="方正楷体_GBK" w:eastAsia="方正楷体_GBK" w:hAnsi="方正楷体_GBK" w:cs="方正楷体_GBK" w:hint="default"/>
      <w:color w:val="000000"/>
      <w:sz w:val="21"/>
      <w:szCs w:val="21"/>
      <w:u w:val="none"/>
    </w:rPr>
  </w:style>
  <w:style w:type="character" w:customStyle="1" w:styleId="font171">
    <w:name w:val="font171"/>
    <w:basedOn w:val="afb"/>
    <w:qFormat/>
    <w:rPr>
      <w:rFonts w:ascii="Times New Roman" w:hAnsi="Times New Roman" w:cs="Times New Roman" w:hint="default"/>
      <w:color w:val="000000"/>
      <w:sz w:val="21"/>
      <w:szCs w:val="21"/>
      <w:u w:val="none"/>
      <w:vertAlign w:val="superscript"/>
    </w:rPr>
  </w:style>
  <w:style w:type="character" w:customStyle="1" w:styleId="font91">
    <w:name w:val="font91"/>
    <w:basedOn w:val="afb"/>
    <w:qFormat/>
    <w:rPr>
      <w:rFonts w:ascii="Times New Roman" w:hAnsi="Times New Roman" w:cs="Times New Roman" w:hint="default"/>
      <w:color w:val="000000"/>
      <w:sz w:val="21"/>
      <w:szCs w:val="21"/>
      <w:u w:val="none"/>
    </w:rPr>
  </w:style>
  <w:style w:type="character" w:customStyle="1" w:styleId="font81">
    <w:name w:val="font81"/>
    <w:basedOn w:val="afb"/>
    <w:qFormat/>
    <w:rPr>
      <w:rFonts w:ascii="方正仿宋_GBK" w:eastAsia="方正仿宋_GBK" w:hAnsi="方正仿宋_GBK" w:cs="方正仿宋_GBK" w:hint="default"/>
      <w:color w:val="000000"/>
      <w:sz w:val="21"/>
      <w:szCs w:val="21"/>
      <w:u w:val="none"/>
    </w:rPr>
  </w:style>
  <w:style w:type="character" w:customStyle="1" w:styleId="font181">
    <w:name w:val="font181"/>
    <w:basedOn w:val="afb"/>
    <w:qFormat/>
    <w:rPr>
      <w:rFonts w:ascii="Times New Roman" w:hAnsi="Times New Roman" w:cs="Times New Roman" w:hint="default"/>
      <w:color w:val="000000"/>
      <w:sz w:val="21"/>
      <w:szCs w:val="21"/>
      <w:u w:val="none"/>
      <w:vertAlign w:val="subscript"/>
    </w:rPr>
  </w:style>
  <w:style w:type="character" w:customStyle="1" w:styleId="font112">
    <w:name w:val="font112"/>
    <w:basedOn w:val="afb"/>
    <w:qFormat/>
    <w:rPr>
      <w:rFonts w:ascii="宋体" w:eastAsia="宋体" w:hAnsi="宋体" w:cs="宋体" w:hint="eastAsia"/>
      <w:color w:val="000000"/>
      <w:sz w:val="21"/>
      <w:szCs w:val="21"/>
      <w:u w:val="none"/>
    </w:rPr>
  </w:style>
  <w:style w:type="character" w:customStyle="1" w:styleId="font131">
    <w:name w:val="font131"/>
    <w:basedOn w:val="afb"/>
    <w:qFormat/>
    <w:rPr>
      <w:rFonts w:ascii="Times New Roman" w:hAnsi="Times New Roman" w:cs="Times New Roman" w:hint="default"/>
      <w:i/>
      <w:iCs/>
      <w:color w:val="000000"/>
      <w:sz w:val="21"/>
      <w:szCs w:val="21"/>
      <w:u w:val="none"/>
    </w:rPr>
  </w:style>
  <w:style w:type="character" w:customStyle="1" w:styleId="font191">
    <w:name w:val="font191"/>
    <w:basedOn w:val="afb"/>
    <w:qFormat/>
    <w:rPr>
      <w:rFonts w:ascii="Times New Roman" w:hAnsi="Times New Roman" w:cs="Times New Roman" w:hint="default"/>
      <w:i/>
      <w:iCs/>
      <w:color w:val="000000"/>
      <w:sz w:val="21"/>
      <w:szCs w:val="21"/>
      <w:u w:val="none"/>
      <w:vertAlign w:val="subscript"/>
    </w:rPr>
  </w:style>
  <w:style w:type="character" w:customStyle="1" w:styleId="font151">
    <w:name w:val="font151"/>
    <w:basedOn w:val="afb"/>
    <w:qFormat/>
    <w:rPr>
      <w:rFonts w:ascii="Wingdings" w:hAnsi="Wingdings" w:cs="Wingdings" w:hint="default"/>
      <w:color w:val="000000"/>
      <w:sz w:val="21"/>
      <w:szCs w:val="21"/>
      <w:u w:val="none"/>
    </w:rPr>
  </w:style>
  <w:style w:type="character" w:customStyle="1" w:styleId="font201">
    <w:name w:val="font201"/>
    <w:basedOn w:val="afb"/>
    <w:qFormat/>
    <w:rPr>
      <w:rFonts w:ascii="Times New Roman" w:hAnsi="Times New Roman" w:cs="Times New Roman" w:hint="default"/>
      <w:color w:val="000000"/>
      <w:sz w:val="14"/>
      <w:szCs w:val="14"/>
      <w:u w:val="none"/>
    </w:rPr>
  </w:style>
  <w:style w:type="character" w:customStyle="1" w:styleId="font212">
    <w:name w:val="font212"/>
    <w:basedOn w:val="afb"/>
    <w:qFormat/>
    <w:rPr>
      <w:rFonts w:ascii="方正仿宋_GBK" w:eastAsia="方正仿宋_GBK" w:hAnsi="方正仿宋_GBK" w:cs="方正仿宋_GBK" w:hint="default"/>
      <w:b/>
      <w:bCs/>
      <w:color w:val="000000"/>
      <w:sz w:val="20"/>
      <w:szCs w:val="20"/>
      <w:u w:val="none"/>
    </w:rPr>
  </w:style>
  <w:style w:type="character" w:customStyle="1" w:styleId="font71">
    <w:name w:val="font71"/>
    <w:basedOn w:val="afb"/>
    <w:qFormat/>
    <w:rPr>
      <w:rFonts w:ascii="Times New Roman" w:hAnsi="Times New Roman" w:cs="Times New Roman" w:hint="default"/>
      <w:color w:val="000000"/>
      <w:sz w:val="20"/>
      <w:szCs w:val="20"/>
      <w:u w:val="none"/>
    </w:rPr>
  </w:style>
  <w:style w:type="character" w:customStyle="1" w:styleId="font221">
    <w:name w:val="font221"/>
    <w:basedOn w:val="afb"/>
    <w:qFormat/>
    <w:rPr>
      <w:rFonts w:ascii="方正仿宋_GBK" w:eastAsia="方正仿宋_GBK" w:hAnsi="方正仿宋_GBK" w:cs="方正仿宋_GBK" w:hint="default"/>
      <w:color w:val="000000"/>
      <w:sz w:val="20"/>
      <w:szCs w:val="20"/>
      <w:u w:val="none"/>
    </w:rPr>
  </w:style>
  <w:style w:type="character" w:customStyle="1" w:styleId="font231">
    <w:name w:val="font231"/>
    <w:basedOn w:val="afb"/>
    <w:qFormat/>
    <w:rPr>
      <w:rFonts w:ascii="宋体" w:eastAsia="宋体" w:hAnsi="宋体" w:cs="宋体" w:hint="eastAsia"/>
      <w:color w:val="000000"/>
      <w:sz w:val="20"/>
      <w:szCs w:val="20"/>
      <w:u w:val="none"/>
    </w:rPr>
  </w:style>
  <w:style w:type="paragraph" w:customStyle="1" w:styleId="Revision4f96cfea-5bdc-4516-bcc3-94df47886b02">
    <w:name w:val="Revision_4f96cfea-5bdc-4516-bcc3-94df47886b02"/>
    <w:uiPriority w:val="99"/>
    <w:qFormat/>
    <w:rPr>
      <w:kern w:val="2"/>
      <w:sz w:val="21"/>
      <w:szCs w:val="24"/>
    </w:rPr>
  </w:style>
  <w:style w:type="paragraph" w:customStyle="1" w:styleId="Revision207d92f8-dde4-4bc7-b5eb-47aaa643a660">
    <w:name w:val="Revision_207d92f8-dde4-4bc7-b5eb-47aaa643a660"/>
    <w:uiPriority w:val="99"/>
    <w:qFormat/>
    <w:rPr>
      <w:kern w:val="2"/>
      <w:sz w:val="21"/>
      <w:szCs w:val="24"/>
    </w:rPr>
  </w:style>
  <w:style w:type="paragraph" w:customStyle="1" w:styleId="28">
    <w:name w:val="修订2"/>
    <w:uiPriority w:val="99"/>
    <w:qFormat/>
    <w:rPr>
      <w:kern w:val="2"/>
      <w:sz w:val="21"/>
      <w:szCs w:val="24"/>
    </w:rPr>
  </w:style>
  <w:style w:type="paragraph" w:customStyle="1" w:styleId="33">
    <w:name w:val="修订3"/>
    <w:uiPriority w:val="99"/>
    <w:qFormat/>
    <w:rPr>
      <w:kern w:val="2"/>
      <w:sz w:val="21"/>
      <w:szCs w:val="24"/>
    </w:rPr>
  </w:style>
  <w:style w:type="character" w:customStyle="1" w:styleId="Char6">
    <w:name w:val="脚注文本 Char"/>
    <w:basedOn w:val="afb"/>
    <w:link w:val="affb"/>
    <w:qFormat/>
    <w:rPr>
      <w:rFonts w:ascii="宋体"/>
      <w:kern w:val="2"/>
      <w:sz w:val="18"/>
      <w:szCs w:val="18"/>
    </w:rPr>
  </w:style>
  <w:style w:type="paragraph" w:customStyle="1" w:styleId="MTDisplayEquation">
    <w:name w:val="MTDisplayEquation"/>
    <w:basedOn w:val="afa"/>
    <w:next w:val="afa"/>
    <w:link w:val="MTDisplayEquation0"/>
    <w:qFormat/>
    <w:pPr>
      <w:widowControl/>
      <w:tabs>
        <w:tab w:val="center" w:pos="4820"/>
        <w:tab w:val="right" w:pos="9640"/>
      </w:tabs>
      <w:spacing w:line="240" w:lineRule="auto"/>
      <w:jc w:val="right"/>
    </w:pPr>
    <w:rPr>
      <w:kern w:val="0"/>
      <w:szCs w:val="21"/>
    </w:rPr>
  </w:style>
  <w:style w:type="character" w:customStyle="1" w:styleId="MTDisplayEquation0">
    <w:name w:val="MTDisplayEquation 字符"/>
    <w:basedOn w:val="afb"/>
    <w:link w:val="MTDisplayEquation"/>
    <w:qFormat/>
    <w:rPr>
      <w:sz w:val="21"/>
      <w:szCs w:val="21"/>
    </w:rPr>
  </w:style>
  <w:style w:type="character" w:customStyle="1" w:styleId="MTEquationSection">
    <w:name w:val="MTEquationSection"/>
    <w:basedOn w:val="afb"/>
    <w:qFormat/>
    <w:rPr>
      <w:vanish/>
      <w:color w:val="FF0000"/>
    </w:rPr>
  </w:style>
  <w:style w:type="paragraph" w:customStyle="1" w:styleId="TOC1">
    <w:name w:val="TOC 标题1"/>
    <w:basedOn w:val="1"/>
    <w:next w:val="afa"/>
    <w:uiPriority w:val="39"/>
    <w:qFormat/>
    <w:pPr>
      <w:widowControl/>
      <w:tabs>
        <w:tab w:val="clear" w:pos="4338"/>
        <w:tab w:val="clear" w:pos="8675"/>
      </w:tabs>
      <w:spacing w:before="240" w:after="0" w:line="259" w:lineRule="auto"/>
      <w:jc w:val="left"/>
      <w:outlineLvl w:val="9"/>
    </w:pPr>
    <w:rPr>
      <w:rFonts w:ascii="Cambria" w:hAnsi="Cambria" w:cs="宋体"/>
      <w:b w:val="0"/>
      <w:bCs w:val="0"/>
      <w:color w:val="365F91"/>
      <w:kern w:val="0"/>
      <w:sz w:val="32"/>
      <w:szCs w:val="32"/>
    </w:rPr>
  </w:style>
  <w:style w:type="character" w:customStyle="1" w:styleId="font21">
    <w:name w:val="font21"/>
    <w:basedOn w:val="afb"/>
    <w:qFormat/>
    <w:rPr>
      <w:rFonts w:ascii="微软雅黑" w:eastAsia="微软雅黑" w:hAnsi="微软雅黑" w:cs="微软雅黑" w:hint="eastAsia"/>
      <w:color w:val="FF0000"/>
      <w:sz w:val="20"/>
      <w:szCs w:val="20"/>
      <w:u w:val="none"/>
    </w:rPr>
  </w:style>
  <w:style w:type="character" w:customStyle="1" w:styleId="font01">
    <w:name w:val="font01"/>
    <w:basedOn w:val="afb"/>
    <w:qFormat/>
    <w:rPr>
      <w:rFonts w:ascii="Times New Roman" w:hAnsi="Times New Roman" w:cs="Times New Roman" w:hint="default"/>
      <w:color w:val="FF0000"/>
      <w:sz w:val="20"/>
      <w:szCs w:val="20"/>
      <w:u w:val="none"/>
    </w:rPr>
  </w:style>
  <w:style w:type="character" w:customStyle="1" w:styleId="font31">
    <w:name w:val="font31"/>
    <w:basedOn w:val="afb"/>
    <w:qFormat/>
    <w:rPr>
      <w:rFonts w:ascii="微软雅黑" w:eastAsia="微软雅黑" w:hAnsi="微软雅黑" w:cs="微软雅黑" w:hint="eastAsia"/>
      <w:color w:val="FF0000"/>
      <w:sz w:val="20"/>
      <w:szCs w:val="20"/>
      <w:u w:val="none"/>
    </w:rPr>
  </w:style>
  <w:style w:type="character" w:customStyle="1" w:styleId="font101">
    <w:name w:val="font101"/>
    <w:basedOn w:val="afb"/>
    <w:qFormat/>
    <w:rPr>
      <w:rFonts w:ascii="Times New Roman" w:hAnsi="Times New Roman" w:cs="Times New Roman" w:hint="default"/>
      <w:color w:val="FF0000"/>
      <w:sz w:val="20"/>
      <w:szCs w:val="20"/>
      <w:u w:val="none"/>
    </w:rPr>
  </w:style>
  <w:style w:type="paragraph" w:customStyle="1" w:styleId="42">
    <w:name w:val="修订4"/>
    <w:uiPriority w:val="99"/>
    <w:qFormat/>
    <w:rPr>
      <w:kern w:val="2"/>
      <w:sz w:val="21"/>
      <w:szCs w:val="24"/>
    </w:rPr>
  </w:style>
  <w:style w:type="character" w:customStyle="1" w:styleId="font41">
    <w:name w:val="font41"/>
    <w:basedOn w:val="afb"/>
    <w:qFormat/>
    <w:rPr>
      <w:rFonts w:ascii="宋体" w:eastAsia="宋体" w:hAnsi="宋体" w:cs="宋体" w:hint="eastAsia"/>
      <w:color w:val="000000"/>
      <w:sz w:val="21"/>
      <w:szCs w:val="21"/>
      <w:u w:val="none"/>
    </w:rPr>
  </w:style>
  <w:style w:type="paragraph" w:customStyle="1" w:styleId="51">
    <w:name w:val="修订5"/>
    <w:uiPriority w:val="99"/>
    <w:qFormat/>
    <w:rPr>
      <w:kern w:val="2"/>
      <w:sz w:val="21"/>
      <w:szCs w:val="24"/>
    </w:rPr>
  </w:style>
  <w:style w:type="paragraph" w:customStyle="1" w:styleId="61">
    <w:name w:val="修订6"/>
    <w:uiPriority w:val="99"/>
    <w:qFormat/>
    <w:rPr>
      <w:kern w:val="2"/>
      <w:sz w:val="21"/>
      <w:szCs w:val="24"/>
    </w:rPr>
  </w:style>
  <w:style w:type="character" w:customStyle="1" w:styleId="Char2">
    <w:name w:val="日期 Char"/>
    <w:basedOn w:val="afb"/>
    <w:link w:val="aff4"/>
    <w:qFormat/>
    <w:rPr>
      <w:kern w:val="2"/>
      <w:sz w:val="21"/>
      <w:szCs w:val="24"/>
    </w:rPr>
  </w:style>
  <w:style w:type="paragraph" w:customStyle="1" w:styleId="71">
    <w:name w:val="修订7"/>
    <w:uiPriority w:val="99"/>
    <w:qFormat/>
    <w:rPr>
      <w:kern w:val="2"/>
      <w:sz w:val="21"/>
      <w:szCs w:val="24"/>
    </w:rPr>
  </w:style>
  <w:style w:type="character" w:styleId="afffffff6">
    <w:name w:val="Placeholder Text"/>
    <w:basedOn w:val="afb"/>
    <w:uiPriority w:val="99"/>
    <w:qFormat/>
    <w:rPr>
      <w:color w:val="808080"/>
    </w:rPr>
  </w:style>
  <w:style w:type="paragraph" w:customStyle="1" w:styleId="81">
    <w:name w:val="修订8"/>
    <w:uiPriority w:val="99"/>
    <w:qFormat/>
    <w:rPr>
      <w:kern w:val="2"/>
      <w:sz w:val="21"/>
      <w:szCs w:val="24"/>
    </w:rPr>
  </w:style>
  <w:style w:type="paragraph" w:customStyle="1" w:styleId="91">
    <w:name w:val="修订9"/>
    <w:uiPriority w:val="99"/>
    <w:qFormat/>
    <w:rPr>
      <w:kern w:val="2"/>
      <w:sz w:val="21"/>
      <w:szCs w:val="24"/>
    </w:rPr>
  </w:style>
  <w:style w:type="paragraph" w:customStyle="1" w:styleId="100">
    <w:name w:val="修订10"/>
    <w:uiPriority w:val="99"/>
    <w:qFormat/>
    <w:rPr>
      <w:kern w:val="2"/>
      <w:sz w:val="21"/>
      <w:szCs w:val="24"/>
    </w:rPr>
  </w:style>
  <w:style w:type="paragraph" w:customStyle="1" w:styleId="110">
    <w:name w:val="修订11"/>
    <w:uiPriority w:val="99"/>
    <w:qFormat/>
    <w:rPr>
      <w:kern w:val="2"/>
      <w:sz w:val="21"/>
      <w:szCs w:val="24"/>
    </w:rPr>
  </w:style>
  <w:style w:type="paragraph" w:customStyle="1" w:styleId="120">
    <w:name w:val="修订12"/>
    <w:uiPriority w:val="99"/>
    <w:qFormat/>
    <w:rPr>
      <w:kern w:val="2"/>
      <w:sz w:val="21"/>
      <w:szCs w:val="24"/>
    </w:rPr>
  </w:style>
  <w:style w:type="character" w:customStyle="1" w:styleId="17">
    <w:name w:val="未处理的提及1"/>
    <w:basedOn w:val="afb"/>
    <w:uiPriority w:val="99"/>
    <w:qFormat/>
    <w:rPr>
      <w:color w:val="605E5C"/>
      <w:shd w:val="clear" w:color="auto" w:fill="E1DFDD"/>
    </w:rPr>
  </w:style>
  <w:style w:type="paragraph" w:customStyle="1" w:styleId="130">
    <w:name w:val="修订13"/>
    <w:uiPriority w:val="99"/>
    <w:qFormat/>
    <w:rPr>
      <w:kern w:val="2"/>
      <w:sz w:val="21"/>
      <w:szCs w:val="24"/>
    </w:rPr>
  </w:style>
  <w:style w:type="paragraph" w:customStyle="1" w:styleId="140">
    <w:name w:val="修订14"/>
    <w:uiPriority w:val="99"/>
    <w:qFormat/>
    <w:rPr>
      <w:kern w:val="2"/>
      <w:sz w:val="21"/>
      <w:szCs w:val="24"/>
    </w:rPr>
  </w:style>
  <w:style w:type="paragraph" w:customStyle="1" w:styleId="150">
    <w:name w:val="修订15"/>
    <w:uiPriority w:val="99"/>
    <w:qFormat/>
    <w:rPr>
      <w:kern w:val="2"/>
      <w:sz w:val="21"/>
      <w:szCs w:val="24"/>
    </w:rPr>
  </w:style>
  <w:style w:type="paragraph" w:customStyle="1" w:styleId="160">
    <w:name w:val="修订16"/>
    <w:uiPriority w:val="99"/>
    <w:qFormat/>
    <w:rPr>
      <w:kern w:val="2"/>
      <w:sz w:val="21"/>
      <w:szCs w:val="24"/>
    </w:rPr>
  </w:style>
  <w:style w:type="paragraph" w:customStyle="1" w:styleId="170">
    <w:name w:val="修订17"/>
    <w:uiPriority w:val="99"/>
    <w:qFormat/>
    <w:rPr>
      <w:kern w:val="2"/>
      <w:sz w:val="21"/>
      <w:szCs w:val="24"/>
    </w:rPr>
  </w:style>
  <w:style w:type="paragraph" w:customStyle="1" w:styleId="18">
    <w:name w:val="修订18"/>
    <w:uiPriority w:val="99"/>
    <w:qFormat/>
    <w:rPr>
      <w:kern w:val="2"/>
      <w:sz w:val="21"/>
      <w:szCs w:val="24"/>
    </w:rPr>
  </w:style>
  <w:style w:type="paragraph" w:customStyle="1" w:styleId="19">
    <w:name w:val="修订19"/>
    <w:uiPriority w:val="99"/>
    <w:qFormat/>
    <w:rPr>
      <w:kern w:val="2"/>
      <w:sz w:val="21"/>
      <w:szCs w:val="24"/>
    </w:rPr>
  </w:style>
  <w:style w:type="paragraph" w:customStyle="1" w:styleId="200">
    <w:name w:val="修订20"/>
    <w:uiPriority w:val="99"/>
    <w:qFormat/>
    <w:rPr>
      <w:kern w:val="2"/>
      <w:sz w:val="21"/>
      <w:szCs w:val="24"/>
    </w:rPr>
  </w:style>
  <w:style w:type="paragraph" w:customStyle="1" w:styleId="210">
    <w:name w:val="修订21"/>
    <w:uiPriority w:val="99"/>
    <w:qFormat/>
    <w:rPr>
      <w:kern w:val="2"/>
      <w:sz w:val="21"/>
      <w:szCs w:val="24"/>
    </w:rPr>
  </w:style>
  <w:style w:type="paragraph" w:customStyle="1" w:styleId="220">
    <w:name w:val="修订22"/>
    <w:uiPriority w:val="99"/>
    <w:qFormat/>
    <w:rPr>
      <w:kern w:val="2"/>
      <w:sz w:val="21"/>
      <w:szCs w:val="24"/>
    </w:rPr>
  </w:style>
  <w:style w:type="paragraph" w:customStyle="1" w:styleId="230">
    <w:name w:val="修订23"/>
    <w:uiPriority w:val="99"/>
    <w:qFormat/>
    <w:rPr>
      <w:kern w:val="2"/>
      <w:sz w:val="21"/>
      <w:szCs w:val="24"/>
    </w:rPr>
  </w:style>
  <w:style w:type="character" w:customStyle="1" w:styleId="font51">
    <w:name w:val="font51"/>
    <w:basedOn w:val="afb"/>
    <w:qFormat/>
    <w:rPr>
      <w:rFonts w:ascii="宋体" w:eastAsia="宋体" w:hAnsi="宋体" w:cs="宋体" w:hint="eastAsia"/>
      <w:color w:val="000000"/>
      <w:sz w:val="18"/>
      <w:szCs w:val="18"/>
      <w:u w:val="none"/>
    </w:rPr>
  </w:style>
  <w:style w:type="paragraph" w:customStyle="1" w:styleId="msolistparagraph0">
    <w:name w:val="msolistparagraph"/>
    <w:basedOn w:val="afa"/>
    <w:qFormat/>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footnote reference" w:uiPriority="99" w:qFormat="1"/>
    <w:lsdException w:name="annotation reference" w:qFormat="1"/>
    <w:lsdException w:name="page number" w:qFormat="1"/>
    <w:lsdException w:name="endnote reference" w:qFormat="1"/>
    <w:lsdException w:name="endnote text"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Hyperlink" w:uiPriority="99" w:qFormat="1"/>
    <w:lsdException w:name="FollowedHyperlink"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qFormat="1"/>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a">
    <w:name w:val="Normal"/>
    <w:qFormat/>
    <w:pPr>
      <w:widowControl w:val="0"/>
      <w:tabs>
        <w:tab w:val="center" w:pos="4338"/>
        <w:tab w:val="right" w:pos="8675"/>
      </w:tabs>
      <w:spacing w:line="360" w:lineRule="exact"/>
      <w:ind w:firstLineChars="200" w:firstLine="420"/>
      <w:jc w:val="both"/>
    </w:pPr>
    <w:rPr>
      <w:kern w:val="2"/>
      <w:sz w:val="21"/>
      <w:szCs w:val="24"/>
    </w:rPr>
  </w:style>
  <w:style w:type="paragraph" w:styleId="1">
    <w:name w:val="heading 1"/>
    <w:basedOn w:val="afa"/>
    <w:next w:val="afa"/>
    <w:link w:val="1Char"/>
    <w:uiPriority w:val="9"/>
    <w:qFormat/>
    <w:pPr>
      <w:keepNext/>
      <w:keepLines/>
      <w:spacing w:before="340" w:after="330" w:line="578" w:lineRule="auto"/>
      <w:outlineLvl w:val="0"/>
    </w:pPr>
    <w:rPr>
      <w:b/>
      <w:bCs/>
      <w:kern w:val="44"/>
      <w:sz w:val="44"/>
      <w:szCs w:val="44"/>
    </w:rPr>
  </w:style>
  <w:style w:type="paragraph" w:styleId="2">
    <w:name w:val="heading 2"/>
    <w:basedOn w:val="afa"/>
    <w:next w:val="afa"/>
    <w:link w:val="2Char"/>
    <w:uiPriority w:val="9"/>
    <w:qFormat/>
    <w:pPr>
      <w:keepNext/>
      <w:keepLines/>
      <w:spacing w:before="260" w:after="260" w:line="416" w:lineRule="auto"/>
      <w:outlineLvl w:val="1"/>
    </w:pPr>
    <w:rPr>
      <w:rFonts w:ascii="楷体_GB2312" w:eastAsia="楷体_GB2312" w:hAnsi="宋体"/>
      <w:kern w:val="0"/>
      <w:sz w:val="30"/>
      <w:szCs w:val="20"/>
    </w:rPr>
  </w:style>
  <w:style w:type="paragraph" w:styleId="3">
    <w:name w:val="heading 3"/>
    <w:basedOn w:val="afa"/>
    <w:next w:val="afa"/>
    <w:link w:val="3Char"/>
    <w:uiPriority w:val="9"/>
    <w:qFormat/>
    <w:pPr>
      <w:keepNext/>
      <w:keepLines/>
      <w:spacing w:before="260" w:after="260" w:line="416" w:lineRule="auto"/>
      <w:outlineLvl w:val="2"/>
    </w:pPr>
    <w:rPr>
      <w:b/>
      <w:bCs/>
      <w:sz w:val="32"/>
      <w:szCs w:val="32"/>
    </w:rPr>
  </w:style>
  <w:style w:type="paragraph" w:styleId="4">
    <w:name w:val="heading 4"/>
    <w:basedOn w:val="afa"/>
    <w:next w:val="afa"/>
    <w:link w:val="4Char"/>
    <w:uiPriority w:val="9"/>
    <w:qFormat/>
    <w:pPr>
      <w:keepNext/>
      <w:keepLines/>
      <w:spacing w:before="280" w:after="290" w:line="376" w:lineRule="auto"/>
      <w:outlineLvl w:val="3"/>
    </w:pPr>
    <w:rPr>
      <w:rFonts w:ascii="Cambria" w:hAnsi="Cambria"/>
      <w:b/>
      <w:bCs/>
      <w:sz w:val="28"/>
      <w:szCs w:val="28"/>
    </w:rPr>
  </w:style>
  <w:style w:type="character" w:default="1" w:styleId="afb">
    <w:name w:val="Default Paragraph Font"/>
    <w:uiPriority w:val="1"/>
    <w:semiHidden/>
    <w:unhideWhenUsed/>
  </w:style>
  <w:style w:type="table" w:default="1" w:styleId="afc">
    <w:name w:val="Normal Table"/>
    <w:uiPriority w:val="99"/>
    <w:semiHidden/>
    <w:unhideWhenUsed/>
    <w:tblPr>
      <w:tblInd w:w="0" w:type="dxa"/>
      <w:tblCellMar>
        <w:top w:w="0" w:type="dxa"/>
        <w:left w:w="108" w:type="dxa"/>
        <w:bottom w:w="0" w:type="dxa"/>
        <w:right w:w="108" w:type="dxa"/>
      </w:tblCellMar>
    </w:tblPr>
  </w:style>
  <w:style w:type="numbering" w:default="1" w:styleId="afd">
    <w:name w:val="No List"/>
    <w:uiPriority w:val="99"/>
    <w:semiHidden/>
    <w:unhideWhenUsed/>
  </w:style>
  <w:style w:type="paragraph" w:styleId="7">
    <w:name w:val="toc 7"/>
    <w:basedOn w:val="afa"/>
    <w:next w:val="afa"/>
    <w:qFormat/>
    <w:pPr>
      <w:tabs>
        <w:tab w:val="clear" w:pos="4338"/>
        <w:tab w:val="clear" w:pos="8675"/>
      </w:tabs>
      <w:ind w:left="1260"/>
      <w:jc w:val="left"/>
    </w:pPr>
    <w:rPr>
      <w:rFonts w:ascii="Calibri" w:hAnsi="Calibri" w:cs="Calibri"/>
      <w:sz w:val="18"/>
      <w:szCs w:val="18"/>
    </w:rPr>
  </w:style>
  <w:style w:type="paragraph" w:styleId="8">
    <w:name w:val="index 8"/>
    <w:basedOn w:val="afa"/>
    <w:next w:val="afa"/>
    <w:qFormat/>
    <w:pPr>
      <w:ind w:left="1680" w:hanging="210"/>
      <w:jc w:val="left"/>
    </w:pPr>
    <w:rPr>
      <w:rFonts w:ascii="Calibri" w:hAnsi="Calibri"/>
      <w:sz w:val="20"/>
      <w:szCs w:val="20"/>
    </w:rPr>
  </w:style>
  <w:style w:type="paragraph" w:styleId="afe">
    <w:name w:val="caption"/>
    <w:basedOn w:val="afa"/>
    <w:next w:val="afa"/>
    <w:link w:val="Char"/>
    <w:qFormat/>
    <w:pPr>
      <w:tabs>
        <w:tab w:val="clear" w:pos="4338"/>
        <w:tab w:val="clear" w:pos="8675"/>
      </w:tabs>
      <w:spacing w:beforeLines="50" w:before="156" w:line="276" w:lineRule="auto"/>
      <w:jc w:val="right"/>
    </w:pPr>
    <w:rPr>
      <w:rFonts w:ascii="Arial" w:eastAsia="黑体" w:hAnsi="Arial"/>
      <w:sz w:val="20"/>
      <w:szCs w:val="20"/>
    </w:rPr>
  </w:style>
  <w:style w:type="paragraph" w:styleId="5">
    <w:name w:val="index 5"/>
    <w:basedOn w:val="afa"/>
    <w:next w:val="afa"/>
    <w:qFormat/>
    <w:pPr>
      <w:ind w:left="1050" w:hanging="210"/>
      <w:jc w:val="left"/>
    </w:pPr>
    <w:rPr>
      <w:rFonts w:ascii="Calibri" w:hAnsi="Calibri"/>
      <w:sz w:val="20"/>
      <w:szCs w:val="20"/>
    </w:rPr>
  </w:style>
  <w:style w:type="paragraph" w:styleId="aff">
    <w:name w:val="Document Map"/>
    <w:basedOn w:val="afa"/>
    <w:qFormat/>
    <w:pPr>
      <w:shd w:val="clear" w:color="auto" w:fill="000080"/>
    </w:pPr>
  </w:style>
  <w:style w:type="paragraph" w:styleId="aff0">
    <w:name w:val="annotation text"/>
    <w:basedOn w:val="afa"/>
    <w:link w:val="Char0"/>
    <w:qFormat/>
    <w:pPr>
      <w:jc w:val="left"/>
    </w:pPr>
  </w:style>
  <w:style w:type="paragraph" w:styleId="6">
    <w:name w:val="index 6"/>
    <w:basedOn w:val="afa"/>
    <w:next w:val="afa"/>
    <w:qFormat/>
    <w:pPr>
      <w:ind w:left="1260" w:hanging="210"/>
      <w:jc w:val="left"/>
    </w:pPr>
    <w:rPr>
      <w:rFonts w:ascii="Calibri" w:hAnsi="Calibri"/>
      <w:sz w:val="20"/>
      <w:szCs w:val="20"/>
    </w:rPr>
  </w:style>
  <w:style w:type="paragraph" w:styleId="aff1">
    <w:name w:val="Body Text"/>
    <w:basedOn w:val="afa"/>
    <w:qFormat/>
    <w:rPr>
      <w:rFonts w:ascii="Arial" w:hAnsi="Arial" w:cs="Arial"/>
      <w:b/>
      <w:bCs/>
    </w:rPr>
  </w:style>
  <w:style w:type="paragraph" w:styleId="aff2">
    <w:name w:val="Body Text Indent"/>
    <w:basedOn w:val="afa"/>
    <w:link w:val="Char1"/>
    <w:qFormat/>
    <w:pPr>
      <w:spacing w:after="120"/>
      <w:ind w:leftChars="200" w:left="420"/>
    </w:pPr>
  </w:style>
  <w:style w:type="paragraph" w:styleId="40">
    <w:name w:val="index 4"/>
    <w:basedOn w:val="afa"/>
    <w:next w:val="afa"/>
    <w:qFormat/>
    <w:pPr>
      <w:ind w:left="840" w:hanging="210"/>
      <w:jc w:val="left"/>
    </w:pPr>
    <w:rPr>
      <w:rFonts w:ascii="Calibri" w:hAnsi="Calibri"/>
      <w:sz w:val="20"/>
      <w:szCs w:val="20"/>
    </w:rPr>
  </w:style>
  <w:style w:type="paragraph" w:styleId="50">
    <w:name w:val="toc 5"/>
    <w:basedOn w:val="afa"/>
    <w:next w:val="afa"/>
    <w:qFormat/>
    <w:pPr>
      <w:tabs>
        <w:tab w:val="clear" w:pos="4338"/>
        <w:tab w:val="clear" w:pos="8675"/>
      </w:tabs>
      <w:ind w:left="840"/>
      <w:jc w:val="left"/>
    </w:pPr>
    <w:rPr>
      <w:rFonts w:ascii="Calibri" w:hAnsi="Calibri" w:cs="Calibri"/>
      <w:sz w:val="18"/>
      <w:szCs w:val="18"/>
    </w:rPr>
  </w:style>
  <w:style w:type="paragraph" w:styleId="30">
    <w:name w:val="toc 3"/>
    <w:basedOn w:val="afa"/>
    <w:next w:val="afa"/>
    <w:uiPriority w:val="39"/>
    <w:qFormat/>
    <w:pPr>
      <w:tabs>
        <w:tab w:val="clear" w:pos="4338"/>
        <w:tab w:val="clear" w:pos="8675"/>
      </w:tabs>
      <w:ind w:left="420"/>
      <w:jc w:val="left"/>
    </w:pPr>
    <w:rPr>
      <w:rFonts w:ascii="Calibri" w:hAnsi="Calibri" w:cs="Calibri"/>
      <w:i/>
      <w:iCs/>
      <w:sz w:val="20"/>
      <w:szCs w:val="20"/>
    </w:rPr>
  </w:style>
  <w:style w:type="paragraph" w:styleId="aff3">
    <w:name w:val="Plain Text"/>
    <w:basedOn w:val="afa"/>
    <w:qFormat/>
    <w:rPr>
      <w:rFonts w:ascii="宋体" w:hAnsi="Courier New"/>
      <w:szCs w:val="20"/>
    </w:rPr>
  </w:style>
  <w:style w:type="paragraph" w:styleId="80">
    <w:name w:val="toc 8"/>
    <w:basedOn w:val="afa"/>
    <w:next w:val="afa"/>
    <w:qFormat/>
    <w:pPr>
      <w:tabs>
        <w:tab w:val="clear" w:pos="4338"/>
        <w:tab w:val="clear" w:pos="8675"/>
      </w:tabs>
      <w:ind w:left="1470"/>
      <w:jc w:val="left"/>
    </w:pPr>
    <w:rPr>
      <w:rFonts w:ascii="Calibri" w:hAnsi="Calibri" w:cs="Calibri"/>
      <w:sz w:val="18"/>
      <w:szCs w:val="18"/>
    </w:rPr>
  </w:style>
  <w:style w:type="paragraph" w:styleId="31">
    <w:name w:val="index 3"/>
    <w:basedOn w:val="afa"/>
    <w:next w:val="afa"/>
    <w:qFormat/>
    <w:pPr>
      <w:ind w:left="630" w:hanging="210"/>
      <w:jc w:val="left"/>
    </w:pPr>
    <w:rPr>
      <w:rFonts w:ascii="Calibri" w:hAnsi="Calibri"/>
      <w:sz w:val="20"/>
      <w:szCs w:val="20"/>
    </w:rPr>
  </w:style>
  <w:style w:type="paragraph" w:styleId="aff4">
    <w:name w:val="Date"/>
    <w:basedOn w:val="afa"/>
    <w:next w:val="afa"/>
    <w:link w:val="Char2"/>
    <w:qFormat/>
    <w:pPr>
      <w:ind w:leftChars="2500" w:left="100"/>
    </w:pPr>
  </w:style>
  <w:style w:type="paragraph" w:styleId="aff5">
    <w:name w:val="endnote text"/>
    <w:basedOn w:val="afa"/>
    <w:qFormat/>
    <w:pPr>
      <w:snapToGrid w:val="0"/>
      <w:jc w:val="left"/>
    </w:pPr>
  </w:style>
  <w:style w:type="paragraph" w:styleId="aff6">
    <w:name w:val="Balloon Text"/>
    <w:basedOn w:val="afa"/>
    <w:link w:val="Char3"/>
    <w:qFormat/>
    <w:rPr>
      <w:sz w:val="18"/>
      <w:szCs w:val="18"/>
    </w:rPr>
  </w:style>
  <w:style w:type="paragraph" w:styleId="aff7">
    <w:name w:val="footer"/>
    <w:basedOn w:val="afa"/>
    <w:link w:val="Char4"/>
    <w:uiPriority w:val="99"/>
    <w:qFormat/>
    <w:pPr>
      <w:snapToGrid w:val="0"/>
      <w:ind w:rightChars="100" w:right="210"/>
      <w:jc w:val="right"/>
    </w:pPr>
    <w:rPr>
      <w:sz w:val="18"/>
      <w:szCs w:val="18"/>
    </w:rPr>
  </w:style>
  <w:style w:type="paragraph" w:styleId="aff8">
    <w:name w:val="header"/>
    <w:basedOn w:val="afa"/>
    <w:qFormat/>
    <w:pPr>
      <w:snapToGrid w:val="0"/>
      <w:jc w:val="left"/>
    </w:pPr>
    <w:rPr>
      <w:sz w:val="18"/>
      <w:szCs w:val="18"/>
    </w:rPr>
  </w:style>
  <w:style w:type="paragraph" w:styleId="10">
    <w:name w:val="toc 1"/>
    <w:basedOn w:val="afa"/>
    <w:next w:val="afa"/>
    <w:uiPriority w:val="39"/>
    <w:qFormat/>
    <w:pPr>
      <w:tabs>
        <w:tab w:val="clear" w:pos="4338"/>
        <w:tab w:val="clear" w:pos="8675"/>
      </w:tabs>
      <w:spacing w:before="120" w:after="120"/>
      <w:jc w:val="left"/>
    </w:pPr>
    <w:rPr>
      <w:rFonts w:ascii="Calibri" w:hAnsi="Calibri" w:cs="Calibri"/>
      <w:b/>
      <w:bCs/>
      <w:caps/>
      <w:sz w:val="20"/>
      <w:szCs w:val="20"/>
    </w:rPr>
  </w:style>
  <w:style w:type="paragraph" w:styleId="41">
    <w:name w:val="toc 4"/>
    <w:basedOn w:val="afa"/>
    <w:next w:val="afa"/>
    <w:qFormat/>
    <w:pPr>
      <w:tabs>
        <w:tab w:val="clear" w:pos="4338"/>
        <w:tab w:val="clear" w:pos="8675"/>
      </w:tabs>
      <w:ind w:left="630"/>
      <w:jc w:val="left"/>
    </w:pPr>
    <w:rPr>
      <w:rFonts w:ascii="Calibri" w:hAnsi="Calibri" w:cs="Calibri"/>
      <w:sz w:val="18"/>
      <w:szCs w:val="18"/>
    </w:rPr>
  </w:style>
  <w:style w:type="paragraph" w:styleId="aff9">
    <w:name w:val="index heading"/>
    <w:basedOn w:val="afa"/>
    <w:next w:val="11"/>
    <w:qFormat/>
    <w:pPr>
      <w:spacing w:before="120" w:after="120"/>
      <w:jc w:val="center"/>
    </w:pPr>
    <w:rPr>
      <w:rFonts w:ascii="Calibri" w:hAnsi="Calibri"/>
      <w:b/>
      <w:bCs/>
      <w:iCs/>
      <w:szCs w:val="20"/>
    </w:rPr>
  </w:style>
  <w:style w:type="paragraph" w:styleId="11">
    <w:name w:val="index 1"/>
    <w:basedOn w:val="afa"/>
    <w:next w:val="affa"/>
    <w:qFormat/>
    <w:pPr>
      <w:tabs>
        <w:tab w:val="right" w:leader="dot" w:pos="9299"/>
      </w:tabs>
      <w:jc w:val="left"/>
    </w:pPr>
    <w:rPr>
      <w:rFonts w:ascii="宋体"/>
      <w:szCs w:val="21"/>
    </w:rPr>
  </w:style>
  <w:style w:type="paragraph" w:customStyle="1" w:styleId="affa">
    <w:name w:val="段"/>
    <w:link w:val="Char5"/>
    <w:qFormat/>
    <w:pPr>
      <w:tabs>
        <w:tab w:val="center" w:pos="-420"/>
        <w:tab w:val="center" w:pos="0"/>
        <w:tab w:val="center" w:pos="4201"/>
        <w:tab w:val="right" w:leader="dot" w:pos="9298"/>
      </w:tabs>
      <w:autoSpaceDE w:val="0"/>
      <w:autoSpaceDN w:val="0"/>
      <w:ind w:firstLineChars="200" w:firstLine="420"/>
      <w:jc w:val="both"/>
    </w:pPr>
    <w:rPr>
      <w:sz w:val="21"/>
    </w:rPr>
  </w:style>
  <w:style w:type="paragraph" w:styleId="affb">
    <w:name w:val="footnote text"/>
    <w:basedOn w:val="afa"/>
    <w:link w:val="Char6"/>
    <w:qFormat/>
    <w:pPr>
      <w:snapToGrid w:val="0"/>
      <w:jc w:val="left"/>
    </w:pPr>
    <w:rPr>
      <w:rFonts w:ascii="宋体"/>
      <w:sz w:val="18"/>
      <w:szCs w:val="18"/>
    </w:rPr>
  </w:style>
  <w:style w:type="paragraph" w:styleId="60">
    <w:name w:val="toc 6"/>
    <w:basedOn w:val="afa"/>
    <w:next w:val="afa"/>
    <w:qFormat/>
    <w:pPr>
      <w:tabs>
        <w:tab w:val="clear" w:pos="4338"/>
        <w:tab w:val="clear" w:pos="8675"/>
      </w:tabs>
      <w:ind w:left="1050"/>
      <w:jc w:val="left"/>
    </w:pPr>
    <w:rPr>
      <w:rFonts w:ascii="Calibri" w:hAnsi="Calibri" w:cs="Calibri"/>
      <w:sz w:val="18"/>
      <w:szCs w:val="18"/>
    </w:rPr>
  </w:style>
  <w:style w:type="paragraph" w:styleId="70">
    <w:name w:val="index 7"/>
    <w:basedOn w:val="afa"/>
    <w:next w:val="afa"/>
    <w:qFormat/>
    <w:pPr>
      <w:ind w:left="1470" w:hanging="210"/>
      <w:jc w:val="left"/>
    </w:pPr>
    <w:rPr>
      <w:rFonts w:ascii="Calibri" w:hAnsi="Calibri"/>
      <w:sz w:val="20"/>
      <w:szCs w:val="20"/>
    </w:rPr>
  </w:style>
  <w:style w:type="paragraph" w:styleId="9">
    <w:name w:val="index 9"/>
    <w:basedOn w:val="afa"/>
    <w:next w:val="afa"/>
    <w:qFormat/>
    <w:pPr>
      <w:ind w:left="1890" w:hanging="210"/>
      <w:jc w:val="left"/>
    </w:pPr>
    <w:rPr>
      <w:rFonts w:ascii="Calibri" w:hAnsi="Calibri"/>
      <w:sz w:val="20"/>
      <w:szCs w:val="20"/>
    </w:rPr>
  </w:style>
  <w:style w:type="paragraph" w:styleId="20">
    <w:name w:val="toc 2"/>
    <w:basedOn w:val="afa"/>
    <w:next w:val="afa"/>
    <w:uiPriority w:val="39"/>
    <w:qFormat/>
    <w:pPr>
      <w:tabs>
        <w:tab w:val="clear" w:pos="4338"/>
        <w:tab w:val="clear" w:pos="8675"/>
      </w:tabs>
      <w:ind w:left="210"/>
      <w:jc w:val="left"/>
    </w:pPr>
    <w:rPr>
      <w:rFonts w:ascii="Calibri" w:hAnsi="Calibri" w:cs="Calibri"/>
      <w:smallCaps/>
      <w:sz w:val="20"/>
      <w:szCs w:val="20"/>
    </w:rPr>
  </w:style>
  <w:style w:type="paragraph" w:styleId="90">
    <w:name w:val="toc 9"/>
    <w:basedOn w:val="afa"/>
    <w:next w:val="afa"/>
    <w:qFormat/>
    <w:pPr>
      <w:tabs>
        <w:tab w:val="clear" w:pos="4338"/>
        <w:tab w:val="clear" w:pos="8675"/>
      </w:tabs>
      <w:ind w:left="1680"/>
      <w:jc w:val="left"/>
    </w:pPr>
    <w:rPr>
      <w:rFonts w:ascii="Calibri" w:hAnsi="Calibri" w:cs="Calibri"/>
      <w:sz w:val="18"/>
      <w:szCs w:val="18"/>
    </w:rPr>
  </w:style>
  <w:style w:type="paragraph" w:styleId="affc">
    <w:name w:val="Normal (Web)"/>
    <w:basedOn w:val="afa"/>
    <w:uiPriority w:val="99"/>
    <w:qFormat/>
    <w:rPr>
      <w:sz w:val="24"/>
    </w:rPr>
  </w:style>
  <w:style w:type="paragraph" w:styleId="21">
    <w:name w:val="index 2"/>
    <w:basedOn w:val="afa"/>
    <w:next w:val="afa"/>
    <w:qFormat/>
    <w:pPr>
      <w:ind w:left="420" w:hanging="210"/>
      <w:jc w:val="left"/>
    </w:pPr>
    <w:rPr>
      <w:rFonts w:ascii="Calibri" w:hAnsi="Calibri"/>
      <w:sz w:val="20"/>
      <w:szCs w:val="20"/>
    </w:rPr>
  </w:style>
  <w:style w:type="paragraph" w:styleId="affd">
    <w:name w:val="Title"/>
    <w:basedOn w:val="afa"/>
    <w:next w:val="afa"/>
    <w:link w:val="Char7"/>
    <w:uiPriority w:val="10"/>
    <w:qFormat/>
    <w:pPr>
      <w:spacing w:before="240" w:after="60"/>
      <w:jc w:val="center"/>
      <w:outlineLvl w:val="0"/>
    </w:pPr>
    <w:rPr>
      <w:rFonts w:ascii="Cambria" w:hAnsi="Cambria"/>
      <w:b/>
      <w:bCs/>
      <w:sz w:val="32"/>
      <w:szCs w:val="32"/>
    </w:rPr>
  </w:style>
  <w:style w:type="paragraph" w:styleId="affe">
    <w:name w:val="annotation subject"/>
    <w:basedOn w:val="aff0"/>
    <w:next w:val="aff0"/>
    <w:link w:val="Char8"/>
    <w:qFormat/>
    <w:rPr>
      <w:b/>
      <w:bCs/>
    </w:rPr>
  </w:style>
  <w:style w:type="table" w:styleId="afff">
    <w:name w:val="Table Grid"/>
    <w:basedOn w:val="afc"/>
    <w:uiPriority w:val="59"/>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0">
    <w:name w:val="Table Elegant"/>
    <w:basedOn w:val="afc"/>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32">
    <w:name w:val="Medium Grid 3"/>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3-1">
    <w:name w:val="Medium Grid 3 Accent 1"/>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fc"/>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styleId="afff1">
    <w:name w:val="Strong"/>
    <w:uiPriority w:val="22"/>
    <w:qFormat/>
    <w:rPr>
      <w:b/>
      <w:bCs/>
    </w:rPr>
  </w:style>
  <w:style w:type="character" w:styleId="afff2">
    <w:name w:val="endnote reference"/>
    <w:qFormat/>
    <w:rPr>
      <w:vertAlign w:val="superscript"/>
    </w:rPr>
  </w:style>
  <w:style w:type="character" w:styleId="afff3">
    <w:name w:val="page number"/>
    <w:qFormat/>
    <w:rPr>
      <w:rFonts w:ascii="Times New Roman" w:eastAsia="宋体" w:hAnsi="Times New Roman"/>
      <w:sz w:val="18"/>
    </w:rPr>
  </w:style>
  <w:style w:type="character" w:styleId="afff4">
    <w:name w:val="FollowedHyperlink"/>
    <w:basedOn w:val="afb"/>
    <w:qFormat/>
    <w:rPr>
      <w:color w:val="800080"/>
      <w:u w:val="single"/>
    </w:rPr>
  </w:style>
  <w:style w:type="character" w:styleId="afff5">
    <w:name w:val="Emphasis"/>
    <w:basedOn w:val="afb"/>
    <w:uiPriority w:val="20"/>
    <w:qFormat/>
    <w:rPr>
      <w:i/>
      <w:iCs/>
    </w:rPr>
  </w:style>
  <w:style w:type="character" w:styleId="afff6">
    <w:name w:val="Hyperlink"/>
    <w:uiPriority w:val="99"/>
    <w:qFormat/>
    <w:rPr>
      <w:color w:val="0000FF"/>
      <w:spacing w:val="0"/>
      <w:w w:val="100"/>
      <w:szCs w:val="21"/>
      <w:u w:val="single"/>
    </w:rPr>
  </w:style>
  <w:style w:type="character" w:styleId="afff7">
    <w:name w:val="annotation reference"/>
    <w:qFormat/>
    <w:rPr>
      <w:sz w:val="21"/>
      <w:szCs w:val="21"/>
    </w:rPr>
  </w:style>
  <w:style w:type="character" w:styleId="afff8">
    <w:name w:val="footnote reference"/>
    <w:uiPriority w:val="99"/>
    <w:qFormat/>
    <w:rPr>
      <w:vertAlign w:val="superscript"/>
    </w:rPr>
  </w:style>
  <w:style w:type="character" w:customStyle="1" w:styleId="Char5">
    <w:name w:val="段 Char"/>
    <w:link w:val="affa"/>
    <w:qFormat/>
    <w:rPr>
      <w:rFonts w:eastAsia="宋体"/>
      <w:sz w:val="21"/>
    </w:rPr>
  </w:style>
  <w:style w:type="paragraph" w:customStyle="1" w:styleId="a4">
    <w:name w:val="一级条标题"/>
    <w:next w:val="affa"/>
    <w:qFormat/>
    <w:pPr>
      <w:numPr>
        <w:ilvl w:val="1"/>
        <w:numId w:val="1"/>
      </w:numPr>
      <w:spacing w:beforeLines="50" w:afterLines="50"/>
      <w:outlineLvl w:val="2"/>
    </w:pPr>
    <w:rPr>
      <w:rFonts w:ascii="黑体" w:eastAsia="黑体"/>
      <w:sz w:val="21"/>
      <w:szCs w:val="21"/>
    </w:rPr>
  </w:style>
  <w:style w:type="paragraph" w:customStyle="1" w:styleId="afff9">
    <w:name w:val="标准书脚_奇数页"/>
    <w:qFormat/>
    <w:pPr>
      <w:spacing w:before="120"/>
      <w:ind w:right="198"/>
      <w:jc w:val="right"/>
    </w:pPr>
    <w:rPr>
      <w:rFonts w:ascii="宋体"/>
      <w:sz w:val="18"/>
      <w:szCs w:val="18"/>
    </w:rPr>
  </w:style>
  <w:style w:type="paragraph" w:customStyle="1" w:styleId="afffa">
    <w:name w:val="标准书眉_奇数页"/>
    <w:next w:val="afa"/>
    <w:qFormat/>
    <w:pPr>
      <w:tabs>
        <w:tab w:val="center" w:pos="4154"/>
        <w:tab w:val="right" w:pos="8306"/>
      </w:tabs>
      <w:spacing w:after="220"/>
      <w:jc w:val="right"/>
    </w:pPr>
    <w:rPr>
      <w:rFonts w:ascii="黑体" w:eastAsia="黑体"/>
      <w:sz w:val="21"/>
      <w:szCs w:val="21"/>
    </w:rPr>
  </w:style>
  <w:style w:type="paragraph" w:customStyle="1" w:styleId="a3">
    <w:name w:val="章标题"/>
    <w:next w:val="affa"/>
    <w:qFormat/>
    <w:pPr>
      <w:numPr>
        <w:numId w:val="1"/>
      </w:numPr>
      <w:spacing w:beforeLines="100" w:afterLines="100"/>
      <w:jc w:val="both"/>
      <w:outlineLvl w:val="1"/>
    </w:pPr>
    <w:rPr>
      <w:rFonts w:ascii="黑体" w:eastAsia="黑体"/>
      <w:sz w:val="21"/>
    </w:rPr>
  </w:style>
  <w:style w:type="paragraph" w:customStyle="1" w:styleId="afffb">
    <w:name w:val="二级条标题"/>
    <w:basedOn w:val="a4"/>
    <w:next w:val="affa"/>
    <w:qFormat/>
    <w:pPr>
      <w:numPr>
        <w:ilvl w:val="2"/>
        <w:numId w:val="0"/>
      </w:numPr>
      <w:spacing w:before="50" w:after="50"/>
      <w:outlineLvl w:val="3"/>
    </w:pPr>
  </w:style>
  <w:style w:type="paragraph" w:customStyle="1" w:styleId="22">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8">
    <w:name w:val="列项——（一级）"/>
    <w:qFormat/>
    <w:pPr>
      <w:widowControl w:val="0"/>
      <w:numPr>
        <w:numId w:val="2"/>
      </w:numPr>
      <w:jc w:val="both"/>
    </w:pPr>
    <w:rPr>
      <w:rFonts w:ascii="宋体"/>
      <w:sz w:val="21"/>
    </w:rPr>
  </w:style>
  <w:style w:type="paragraph" w:customStyle="1" w:styleId="a9">
    <w:name w:val="列项●（二级）"/>
    <w:qFormat/>
    <w:pPr>
      <w:numPr>
        <w:ilvl w:val="1"/>
        <w:numId w:val="2"/>
      </w:numPr>
      <w:tabs>
        <w:tab w:val="left" w:pos="840"/>
      </w:tabs>
      <w:jc w:val="both"/>
    </w:pPr>
    <w:rPr>
      <w:rFonts w:ascii="宋体"/>
      <w:sz w:val="21"/>
    </w:rPr>
  </w:style>
  <w:style w:type="paragraph" w:customStyle="1" w:styleId="afffc">
    <w:name w:val="目次、标准名称标题"/>
    <w:basedOn w:val="afa"/>
    <w:next w:val="affa"/>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d">
    <w:name w:val="三级条标题"/>
    <w:basedOn w:val="afffb"/>
    <w:next w:val="affa"/>
    <w:qFormat/>
    <w:pPr>
      <w:numPr>
        <w:ilvl w:val="3"/>
      </w:numPr>
      <w:outlineLvl w:val="4"/>
    </w:pPr>
  </w:style>
  <w:style w:type="paragraph" w:customStyle="1" w:styleId="af8">
    <w:name w:val="示例"/>
    <w:next w:val="afffe"/>
    <w:qFormat/>
    <w:pPr>
      <w:widowControl w:val="0"/>
      <w:numPr>
        <w:numId w:val="3"/>
      </w:numPr>
      <w:jc w:val="both"/>
    </w:pPr>
    <w:rPr>
      <w:rFonts w:ascii="宋体"/>
      <w:sz w:val="18"/>
      <w:szCs w:val="18"/>
    </w:rPr>
  </w:style>
  <w:style w:type="paragraph" w:customStyle="1" w:styleId="afffe">
    <w:name w:val="示例内容"/>
    <w:qFormat/>
    <w:pPr>
      <w:ind w:firstLineChars="200" w:firstLine="200"/>
    </w:pPr>
    <w:rPr>
      <w:rFonts w:ascii="宋体"/>
      <w:sz w:val="18"/>
      <w:szCs w:val="18"/>
    </w:rPr>
  </w:style>
  <w:style w:type="paragraph" w:customStyle="1" w:styleId="a0">
    <w:name w:val="数字编号列项（二级）"/>
    <w:qFormat/>
    <w:pPr>
      <w:numPr>
        <w:ilvl w:val="1"/>
        <w:numId w:val="4"/>
      </w:numPr>
      <w:jc w:val="both"/>
    </w:pPr>
    <w:rPr>
      <w:rFonts w:ascii="宋体"/>
      <w:sz w:val="21"/>
    </w:rPr>
  </w:style>
  <w:style w:type="paragraph" w:customStyle="1" w:styleId="affff">
    <w:name w:val="四级条标题"/>
    <w:basedOn w:val="afffd"/>
    <w:next w:val="affa"/>
    <w:qFormat/>
    <w:pPr>
      <w:numPr>
        <w:ilvl w:val="4"/>
      </w:numPr>
      <w:outlineLvl w:val="5"/>
    </w:pPr>
  </w:style>
  <w:style w:type="paragraph" w:customStyle="1" w:styleId="affff0">
    <w:name w:val="五级条标题"/>
    <w:basedOn w:val="affff"/>
    <w:next w:val="affa"/>
    <w:qFormat/>
    <w:pPr>
      <w:numPr>
        <w:ilvl w:val="5"/>
      </w:numPr>
      <w:outlineLvl w:val="6"/>
    </w:pPr>
  </w:style>
  <w:style w:type="paragraph" w:customStyle="1" w:styleId="af2">
    <w:name w:val="注："/>
    <w:next w:val="affa"/>
    <w:qFormat/>
    <w:pPr>
      <w:widowControl w:val="0"/>
      <w:numPr>
        <w:numId w:val="5"/>
      </w:numPr>
      <w:autoSpaceDE w:val="0"/>
      <w:autoSpaceDN w:val="0"/>
      <w:jc w:val="both"/>
    </w:pPr>
    <w:rPr>
      <w:rFonts w:ascii="宋体"/>
      <w:sz w:val="18"/>
      <w:szCs w:val="18"/>
    </w:rPr>
  </w:style>
  <w:style w:type="paragraph" w:customStyle="1" w:styleId="af6">
    <w:name w:val="注×："/>
    <w:qFormat/>
    <w:pPr>
      <w:widowControl w:val="0"/>
      <w:numPr>
        <w:numId w:val="6"/>
      </w:numPr>
      <w:autoSpaceDE w:val="0"/>
      <w:autoSpaceDN w:val="0"/>
      <w:jc w:val="both"/>
    </w:pPr>
    <w:rPr>
      <w:rFonts w:ascii="宋体"/>
      <w:sz w:val="18"/>
      <w:szCs w:val="18"/>
    </w:rPr>
  </w:style>
  <w:style w:type="paragraph" w:customStyle="1" w:styleId="a">
    <w:name w:val="字母编号列项（一级）"/>
    <w:qFormat/>
    <w:pPr>
      <w:numPr>
        <w:numId w:val="4"/>
      </w:numPr>
      <w:jc w:val="both"/>
    </w:pPr>
    <w:rPr>
      <w:rFonts w:ascii="宋体"/>
      <w:sz w:val="21"/>
    </w:rPr>
  </w:style>
  <w:style w:type="paragraph" w:customStyle="1" w:styleId="aa">
    <w:name w:val="列项◆（三级）"/>
    <w:basedOn w:val="afa"/>
    <w:qFormat/>
    <w:pPr>
      <w:numPr>
        <w:ilvl w:val="2"/>
        <w:numId w:val="2"/>
      </w:numPr>
    </w:pPr>
    <w:rPr>
      <w:rFonts w:ascii="宋体"/>
      <w:szCs w:val="21"/>
    </w:rPr>
  </w:style>
  <w:style w:type="paragraph" w:customStyle="1" w:styleId="a1">
    <w:name w:val="编号列项（三级）"/>
    <w:qFormat/>
    <w:pPr>
      <w:numPr>
        <w:ilvl w:val="2"/>
        <w:numId w:val="4"/>
      </w:numPr>
    </w:pPr>
    <w:rPr>
      <w:rFonts w:ascii="宋体"/>
      <w:sz w:val="21"/>
    </w:rPr>
  </w:style>
  <w:style w:type="paragraph" w:customStyle="1" w:styleId="ab">
    <w:name w:val="示例×："/>
    <w:basedOn w:val="a3"/>
    <w:qFormat/>
    <w:pPr>
      <w:numPr>
        <w:numId w:val="7"/>
      </w:numPr>
      <w:outlineLvl w:val="9"/>
    </w:pPr>
    <w:rPr>
      <w:rFonts w:ascii="宋体" w:eastAsia="宋体"/>
      <w:sz w:val="18"/>
      <w:szCs w:val="18"/>
    </w:rPr>
  </w:style>
  <w:style w:type="paragraph" w:customStyle="1" w:styleId="affff1">
    <w:name w:val="二级无"/>
    <w:basedOn w:val="afffb"/>
    <w:qFormat/>
    <w:rPr>
      <w:rFonts w:ascii="宋体" w:eastAsia="宋体"/>
    </w:rPr>
  </w:style>
  <w:style w:type="paragraph" w:customStyle="1" w:styleId="affff2">
    <w:name w:val="注：（正文）"/>
    <w:basedOn w:val="af2"/>
    <w:next w:val="affa"/>
    <w:qFormat/>
  </w:style>
  <w:style w:type="paragraph" w:customStyle="1" w:styleId="a2">
    <w:name w:val="注×：（正文）"/>
    <w:qFormat/>
    <w:pPr>
      <w:numPr>
        <w:numId w:val="8"/>
      </w:numPr>
      <w:jc w:val="both"/>
    </w:pPr>
    <w:rPr>
      <w:rFonts w:ascii="宋体"/>
      <w:sz w:val="18"/>
      <w:szCs w:val="18"/>
    </w:rPr>
  </w:style>
  <w:style w:type="paragraph" w:customStyle="1" w:styleId="affff3">
    <w:name w:val="标准标志"/>
    <w:next w:val="afa"/>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4">
    <w:name w:val="标准称谓"/>
    <w:next w:val="afa"/>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5">
    <w:name w:val="标准书脚_偶数页"/>
    <w:qFormat/>
    <w:pPr>
      <w:spacing w:before="120"/>
      <w:ind w:left="221"/>
    </w:pPr>
    <w:rPr>
      <w:rFonts w:ascii="宋体"/>
      <w:sz w:val="18"/>
      <w:szCs w:val="18"/>
    </w:rPr>
  </w:style>
  <w:style w:type="paragraph" w:customStyle="1" w:styleId="affff6">
    <w:name w:val="标准书眉_偶数页"/>
    <w:basedOn w:val="afffa"/>
    <w:next w:val="afa"/>
    <w:qFormat/>
    <w:pPr>
      <w:jc w:val="left"/>
    </w:pPr>
  </w:style>
  <w:style w:type="paragraph" w:customStyle="1" w:styleId="affff7">
    <w:name w:val="标准书眉一"/>
    <w:qFormat/>
    <w:pPr>
      <w:jc w:val="both"/>
    </w:pPr>
  </w:style>
  <w:style w:type="paragraph" w:customStyle="1" w:styleId="affff8">
    <w:name w:val="参考文献"/>
    <w:basedOn w:val="afa"/>
    <w:next w:val="affa"/>
    <w:qFormat/>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9">
    <w:name w:val="参考文献、索引标题"/>
    <w:basedOn w:val="afa"/>
    <w:next w:val="affa"/>
    <w:qFormat/>
    <w:pPr>
      <w:keepNext/>
      <w:pageBreakBefore/>
      <w:widowControl/>
      <w:shd w:val="clear" w:color="FFFFFF" w:fill="FFFFFF"/>
      <w:spacing w:before="640" w:after="200"/>
      <w:jc w:val="center"/>
      <w:outlineLvl w:val="0"/>
    </w:pPr>
    <w:rPr>
      <w:rFonts w:ascii="黑体" w:eastAsia="黑体"/>
      <w:kern w:val="0"/>
      <w:szCs w:val="20"/>
    </w:rPr>
  </w:style>
  <w:style w:type="character" w:customStyle="1" w:styleId="affffa">
    <w:name w:val="发布"/>
    <w:qFormat/>
    <w:rPr>
      <w:rFonts w:ascii="黑体" w:eastAsia="黑体"/>
      <w:spacing w:val="85"/>
      <w:w w:val="100"/>
      <w:position w:val="3"/>
      <w:sz w:val="28"/>
      <w:szCs w:val="28"/>
    </w:rPr>
  </w:style>
  <w:style w:type="paragraph" w:customStyle="1" w:styleId="affffb">
    <w:name w:val="发布部门"/>
    <w:next w:val="affa"/>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fffc">
    <w:name w:val="发布日期"/>
    <w:qFormat/>
    <w:pPr>
      <w:framePr w:w="3997" w:h="471" w:hRule="exact" w:vSpace="181" w:wrap="around" w:hAnchor="page" w:x="7089" w:y="14097" w:anchorLock="1"/>
    </w:pPr>
    <w:rPr>
      <w:rFonts w:eastAsia="黑体"/>
      <w:sz w:val="28"/>
    </w:rPr>
  </w:style>
  <w:style w:type="paragraph" w:customStyle="1" w:styleId="affffd">
    <w:name w:val="封面标准代替信息"/>
    <w:qFormat/>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2">
    <w:name w:val="封面标准号1"/>
    <w:qFormat/>
    <w:pPr>
      <w:widowControl w:val="0"/>
      <w:kinsoku w:val="0"/>
      <w:overflowPunct w:val="0"/>
      <w:autoSpaceDE w:val="0"/>
      <w:autoSpaceDN w:val="0"/>
      <w:spacing w:before="308"/>
      <w:jc w:val="right"/>
      <w:textAlignment w:val="center"/>
    </w:pPr>
    <w:rPr>
      <w:sz w:val="28"/>
    </w:rPr>
  </w:style>
  <w:style w:type="paragraph" w:customStyle="1" w:styleId="affffe">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f">
    <w:name w:val="封面标准英文名称"/>
    <w:basedOn w:val="affffe"/>
    <w:qFormat/>
    <w:pPr>
      <w:framePr w:wrap="around"/>
      <w:spacing w:before="370" w:line="400" w:lineRule="exact"/>
    </w:pPr>
    <w:rPr>
      <w:rFonts w:ascii="Times New Roman"/>
      <w:sz w:val="28"/>
      <w:szCs w:val="28"/>
    </w:rPr>
  </w:style>
  <w:style w:type="paragraph" w:customStyle="1" w:styleId="afffff0">
    <w:name w:val="封面一致性程度标识"/>
    <w:basedOn w:val="afffff"/>
    <w:qFormat/>
    <w:pPr>
      <w:framePr w:wrap="around"/>
      <w:spacing w:before="440"/>
    </w:pPr>
    <w:rPr>
      <w:rFonts w:ascii="宋体" w:eastAsia="宋体"/>
    </w:rPr>
  </w:style>
  <w:style w:type="paragraph" w:customStyle="1" w:styleId="afffff1">
    <w:name w:val="封面标准文稿类别"/>
    <w:basedOn w:val="afffff0"/>
    <w:qFormat/>
    <w:pPr>
      <w:framePr w:wrap="around"/>
      <w:spacing w:after="160" w:line="240" w:lineRule="auto"/>
    </w:pPr>
    <w:rPr>
      <w:sz w:val="24"/>
    </w:rPr>
  </w:style>
  <w:style w:type="paragraph" w:customStyle="1" w:styleId="afffff2">
    <w:name w:val="封面标准文稿编辑信息"/>
    <w:basedOn w:val="afffff1"/>
    <w:qFormat/>
    <w:pPr>
      <w:framePr w:wrap="around"/>
      <w:spacing w:before="180" w:line="180" w:lineRule="exact"/>
    </w:pPr>
    <w:rPr>
      <w:sz w:val="21"/>
    </w:rPr>
  </w:style>
  <w:style w:type="paragraph" w:customStyle="1" w:styleId="afffff3">
    <w:name w:val="封面正文"/>
    <w:qFormat/>
    <w:pPr>
      <w:jc w:val="both"/>
    </w:pPr>
  </w:style>
  <w:style w:type="paragraph" w:customStyle="1" w:styleId="af3">
    <w:name w:val="附录标识"/>
    <w:basedOn w:val="afa"/>
    <w:next w:val="affa"/>
    <w:link w:val="Char9"/>
    <w:qFormat/>
    <w:pPr>
      <w:keepNext/>
      <w:widowControl/>
      <w:numPr>
        <w:numId w:val="9"/>
      </w:numPr>
      <w:spacing w:before="240" w:after="280"/>
      <w:ind w:firstLineChars="0"/>
      <w:jc w:val="center"/>
      <w:outlineLvl w:val="0"/>
    </w:pPr>
    <w:rPr>
      <w:rFonts w:ascii="黑体" w:eastAsia="黑体"/>
      <w:kern w:val="0"/>
      <w:szCs w:val="20"/>
    </w:rPr>
  </w:style>
  <w:style w:type="paragraph" w:customStyle="1" w:styleId="afffff4">
    <w:name w:val="附录标题"/>
    <w:basedOn w:val="affa"/>
    <w:next w:val="affa"/>
    <w:qFormat/>
    <w:pPr>
      <w:tabs>
        <w:tab w:val="clear" w:pos="-420"/>
        <w:tab w:val="clear" w:pos="0"/>
      </w:tabs>
      <w:ind w:firstLineChars="0" w:firstLine="0"/>
      <w:jc w:val="center"/>
    </w:pPr>
    <w:rPr>
      <w:rFonts w:ascii="黑体" w:eastAsia="黑体"/>
    </w:rPr>
  </w:style>
  <w:style w:type="paragraph" w:customStyle="1" w:styleId="ad">
    <w:name w:val="附录表标号"/>
    <w:basedOn w:val="afa"/>
    <w:next w:val="affa"/>
    <w:qFormat/>
    <w:pPr>
      <w:numPr>
        <w:numId w:val="10"/>
      </w:numPr>
      <w:spacing w:line="14" w:lineRule="exact"/>
      <w:jc w:val="center"/>
      <w:outlineLvl w:val="0"/>
    </w:pPr>
    <w:rPr>
      <w:color w:val="FFFFFF"/>
    </w:rPr>
  </w:style>
  <w:style w:type="paragraph" w:customStyle="1" w:styleId="ae">
    <w:name w:val="附录表标题"/>
    <w:basedOn w:val="afa"/>
    <w:next w:val="affa"/>
    <w:qFormat/>
    <w:pPr>
      <w:numPr>
        <w:ilvl w:val="1"/>
        <w:numId w:val="10"/>
      </w:numPr>
      <w:spacing w:beforeLines="50" w:afterLines="50"/>
      <w:jc w:val="center"/>
    </w:pPr>
    <w:rPr>
      <w:rFonts w:ascii="黑体" w:eastAsia="黑体"/>
      <w:szCs w:val="21"/>
    </w:rPr>
  </w:style>
  <w:style w:type="paragraph" w:customStyle="1" w:styleId="af5">
    <w:name w:val="附录二级条标题"/>
    <w:basedOn w:val="afa"/>
    <w:next w:val="affa"/>
    <w:qFormat/>
    <w:pPr>
      <w:widowControl/>
      <w:numPr>
        <w:ilvl w:val="3"/>
        <w:numId w:val="9"/>
      </w:numPr>
      <w:tabs>
        <w:tab w:val="left" w:pos="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f5">
    <w:name w:val="附录二级无"/>
    <w:basedOn w:val="af5"/>
    <w:qFormat/>
    <w:rPr>
      <w:rFonts w:ascii="宋体" w:eastAsia="宋体"/>
      <w:szCs w:val="21"/>
    </w:rPr>
  </w:style>
  <w:style w:type="paragraph" w:customStyle="1" w:styleId="afffff6">
    <w:name w:val="附录公式"/>
    <w:basedOn w:val="affa"/>
    <w:next w:val="affa"/>
    <w:link w:val="Chara"/>
    <w:qFormat/>
    <w:pPr>
      <w:tabs>
        <w:tab w:val="clear" w:pos="-420"/>
        <w:tab w:val="clear" w:pos="0"/>
      </w:tabs>
    </w:pPr>
  </w:style>
  <w:style w:type="character" w:customStyle="1" w:styleId="Chara">
    <w:name w:val="附录公式 Char"/>
    <w:link w:val="afffff6"/>
    <w:qFormat/>
    <w:rPr>
      <w:rFonts w:ascii="宋体"/>
      <w:sz w:val="21"/>
      <w:lang w:val="en-US" w:eastAsia="zh-CN" w:bidi="ar-SA"/>
    </w:rPr>
  </w:style>
  <w:style w:type="paragraph" w:customStyle="1" w:styleId="afffff7">
    <w:name w:val="附录公式编号制表符"/>
    <w:basedOn w:val="afa"/>
    <w:next w:val="affa"/>
    <w:qFormat/>
    <w:pPr>
      <w:widowControl/>
      <w:tabs>
        <w:tab w:val="center" w:pos="4201"/>
        <w:tab w:val="right" w:leader="dot" w:pos="9298"/>
      </w:tabs>
      <w:autoSpaceDE w:val="0"/>
      <w:autoSpaceDN w:val="0"/>
    </w:pPr>
    <w:rPr>
      <w:rFonts w:ascii="宋体"/>
      <w:kern w:val="0"/>
      <w:szCs w:val="20"/>
    </w:rPr>
  </w:style>
  <w:style w:type="paragraph" w:customStyle="1" w:styleId="afffff8">
    <w:name w:val="附录三级条标题"/>
    <w:basedOn w:val="af5"/>
    <w:next w:val="affa"/>
    <w:qFormat/>
    <w:pPr>
      <w:numPr>
        <w:ilvl w:val="0"/>
        <w:numId w:val="0"/>
      </w:numPr>
      <w:outlineLvl w:val="4"/>
    </w:pPr>
  </w:style>
  <w:style w:type="paragraph" w:customStyle="1" w:styleId="afffff9">
    <w:name w:val="附录三级无"/>
    <w:basedOn w:val="afffff8"/>
    <w:qFormat/>
    <w:rPr>
      <w:rFonts w:ascii="宋体" w:eastAsia="宋体"/>
      <w:szCs w:val="21"/>
    </w:rPr>
  </w:style>
  <w:style w:type="paragraph" w:customStyle="1" w:styleId="af1">
    <w:name w:val="附录数字编号列项（二级）"/>
    <w:qFormat/>
    <w:pPr>
      <w:numPr>
        <w:ilvl w:val="1"/>
        <w:numId w:val="11"/>
      </w:numPr>
    </w:pPr>
    <w:rPr>
      <w:rFonts w:ascii="宋体"/>
      <w:sz w:val="21"/>
    </w:rPr>
  </w:style>
  <w:style w:type="paragraph" w:customStyle="1" w:styleId="afffffa">
    <w:name w:val="附录四级条标题"/>
    <w:basedOn w:val="afffff8"/>
    <w:next w:val="affa"/>
    <w:qFormat/>
    <w:pPr>
      <w:numPr>
        <w:ilvl w:val="5"/>
      </w:numPr>
      <w:tabs>
        <w:tab w:val="left" w:pos="360"/>
      </w:tabs>
      <w:outlineLvl w:val="5"/>
    </w:pPr>
  </w:style>
  <w:style w:type="paragraph" w:customStyle="1" w:styleId="afffffb">
    <w:name w:val="附录四级无"/>
    <w:basedOn w:val="afffffa"/>
    <w:qFormat/>
    <w:pPr>
      <w:tabs>
        <w:tab w:val="clear" w:pos="360"/>
      </w:tabs>
    </w:pPr>
    <w:rPr>
      <w:rFonts w:ascii="宋体" w:eastAsia="宋体"/>
      <w:szCs w:val="21"/>
    </w:rPr>
  </w:style>
  <w:style w:type="paragraph" w:customStyle="1" w:styleId="a6">
    <w:name w:val="附录图标号"/>
    <w:basedOn w:val="afa"/>
    <w:qFormat/>
    <w:pPr>
      <w:keepNext/>
      <w:pageBreakBefore/>
      <w:widowControl/>
      <w:numPr>
        <w:numId w:val="12"/>
      </w:numPr>
      <w:spacing w:line="14" w:lineRule="exact"/>
      <w:ind w:left="0" w:firstLine="363"/>
      <w:jc w:val="center"/>
      <w:outlineLvl w:val="0"/>
    </w:pPr>
    <w:rPr>
      <w:color w:val="FFFFFF"/>
    </w:rPr>
  </w:style>
  <w:style w:type="paragraph" w:customStyle="1" w:styleId="a7">
    <w:name w:val="附录图标题"/>
    <w:basedOn w:val="afa"/>
    <w:next w:val="affa"/>
    <w:qFormat/>
    <w:pPr>
      <w:numPr>
        <w:ilvl w:val="1"/>
        <w:numId w:val="12"/>
      </w:numPr>
      <w:tabs>
        <w:tab w:val="left" w:pos="363"/>
      </w:tabs>
      <w:spacing w:beforeLines="50" w:afterLines="50"/>
      <w:ind w:left="0" w:firstLine="0"/>
      <w:jc w:val="center"/>
    </w:pPr>
    <w:rPr>
      <w:rFonts w:ascii="黑体" w:eastAsia="黑体"/>
      <w:szCs w:val="21"/>
    </w:rPr>
  </w:style>
  <w:style w:type="paragraph" w:customStyle="1" w:styleId="afffffc">
    <w:name w:val="附录五级条标题"/>
    <w:basedOn w:val="afffffa"/>
    <w:next w:val="affa"/>
    <w:qFormat/>
    <w:pPr>
      <w:numPr>
        <w:ilvl w:val="6"/>
      </w:numPr>
      <w:outlineLvl w:val="6"/>
    </w:pPr>
  </w:style>
  <w:style w:type="paragraph" w:customStyle="1" w:styleId="afffffd">
    <w:name w:val="附录五级无"/>
    <w:basedOn w:val="afffffc"/>
    <w:qFormat/>
    <w:pPr>
      <w:tabs>
        <w:tab w:val="clear" w:pos="360"/>
      </w:tabs>
    </w:pPr>
    <w:rPr>
      <w:rFonts w:ascii="宋体" w:eastAsia="宋体"/>
      <w:szCs w:val="21"/>
    </w:rPr>
  </w:style>
  <w:style w:type="paragraph" w:customStyle="1" w:styleId="af4">
    <w:name w:val="附录章标题"/>
    <w:next w:val="affa"/>
    <w:qFormat/>
    <w:pPr>
      <w:numPr>
        <w:ilvl w:val="1"/>
        <w:numId w:val="9"/>
      </w:numPr>
      <w:tabs>
        <w:tab w:val="left" w:pos="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ffe">
    <w:name w:val="附录一级条标题"/>
    <w:basedOn w:val="af4"/>
    <w:next w:val="affa"/>
    <w:qFormat/>
    <w:pPr>
      <w:numPr>
        <w:ilvl w:val="0"/>
        <w:numId w:val="0"/>
      </w:numPr>
      <w:autoSpaceDN w:val="0"/>
      <w:spacing w:beforeLines="50" w:afterLines="50"/>
      <w:outlineLvl w:val="2"/>
    </w:pPr>
  </w:style>
  <w:style w:type="paragraph" w:customStyle="1" w:styleId="affffff">
    <w:name w:val="附录一级无"/>
    <w:basedOn w:val="afffffe"/>
    <w:qFormat/>
    <w:rPr>
      <w:rFonts w:ascii="宋体" w:eastAsia="宋体"/>
      <w:szCs w:val="21"/>
    </w:rPr>
  </w:style>
  <w:style w:type="paragraph" w:customStyle="1" w:styleId="af0">
    <w:name w:val="附录字母编号列项（一级）"/>
    <w:qFormat/>
    <w:pPr>
      <w:numPr>
        <w:numId w:val="11"/>
      </w:numPr>
    </w:pPr>
    <w:rPr>
      <w:rFonts w:ascii="宋体"/>
      <w:sz w:val="21"/>
    </w:rPr>
  </w:style>
  <w:style w:type="paragraph" w:customStyle="1" w:styleId="affffff0">
    <w:name w:val="列项说明"/>
    <w:basedOn w:val="afa"/>
    <w:qFormat/>
    <w:pPr>
      <w:adjustRightInd w:val="0"/>
      <w:spacing w:line="320" w:lineRule="exact"/>
      <w:ind w:leftChars="200" w:left="400" w:hangingChars="200" w:hanging="200"/>
      <w:jc w:val="left"/>
      <w:textAlignment w:val="baseline"/>
    </w:pPr>
    <w:rPr>
      <w:rFonts w:ascii="宋体"/>
      <w:kern w:val="0"/>
      <w:szCs w:val="20"/>
    </w:rPr>
  </w:style>
  <w:style w:type="paragraph" w:customStyle="1" w:styleId="affffff1">
    <w:name w:val="列项说明数字编号"/>
    <w:qFormat/>
    <w:pPr>
      <w:ind w:leftChars="400" w:left="600" w:hangingChars="200" w:hanging="200"/>
    </w:pPr>
    <w:rPr>
      <w:rFonts w:ascii="宋体"/>
      <w:sz w:val="21"/>
    </w:rPr>
  </w:style>
  <w:style w:type="paragraph" w:customStyle="1" w:styleId="affffff2">
    <w:name w:val="目次、索引正文"/>
    <w:qFormat/>
    <w:pPr>
      <w:spacing w:line="320" w:lineRule="exact"/>
      <w:jc w:val="both"/>
    </w:pPr>
    <w:rPr>
      <w:rFonts w:ascii="宋体"/>
      <w:sz w:val="21"/>
    </w:rPr>
  </w:style>
  <w:style w:type="paragraph" w:customStyle="1" w:styleId="affffff3">
    <w:name w:val="其他标准标志"/>
    <w:basedOn w:val="affff3"/>
    <w:qFormat/>
    <w:pPr>
      <w:framePr w:w="6101" w:wrap="around" w:vAnchor="page" w:hAnchor="page" w:x="4673" w:y="942"/>
    </w:pPr>
    <w:rPr>
      <w:w w:val="130"/>
    </w:rPr>
  </w:style>
  <w:style w:type="paragraph" w:customStyle="1" w:styleId="affffff4">
    <w:name w:val="其他标准称谓"/>
    <w:next w:val="afa"/>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5">
    <w:name w:val="其他发布部门"/>
    <w:basedOn w:val="affffb"/>
    <w:qFormat/>
    <w:pPr>
      <w:framePr w:wrap="around" w:y="15310"/>
      <w:spacing w:line="0" w:lineRule="atLeast"/>
    </w:pPr>
    <w:rPr>
      <w:rFonts w:ascii="黑体" w:eastAsia="黑体"/>
      <w:b w:val="0"/>
    </w:rPr>
  </w:style>
  <w:style w:type="paragraph" w:customStyle="1" w:styleId="affffff6">
    <w:name w:val="前言、引言标题"/>
    <w:next w:val="affa"/>
    <w:qFormat/>
    <w:pPr>
      <w:keepNext/>
      <w:pageBreakBefore/>
      <w:shd w:val="clear" w:color="FFFFFF" w:fill="FFFFFF"/>
      <w:spacing w:before="640" w:after="560"/>
      <w:jc w:val="center"/>
      <w:outlineLvl w:val="0"/>
    </w:pPr>
    <w:rPr>
      <w:rFonts w:ascii="黑体" w:eastAsia="黑体"/>
      <w:sz w:val="32"/>
    </w:rPr>
  </w:style>
  <w:style w:type="paragraph" w:customStyle="1" w:styleId="affffff7">
    <w:name w:val="三级无"/>
    <w:basedOn w:val="afffd"/>
    <w:qFormat/>
    <w:rPr>
      <w:rFonts w:ascii="宋体" w:eastAsia="宋体"/>
    </w:rPr>
  </w:style>
  <w:style w:type="paragraph" w:customStyle="1" w:styleId="affffff8">
    <w:name w:val="实施日期"/>
    <w:basedOn w:val="affffc"/>
    <w:qFormat/>
    <w:pPr>
      <w:framePr w:wrap="around" w:vAnchor="page" w:hAnchor="text"/>
      <w:jc w:val="right"/>
    </w:pPr>
  </w:style>
  <w:style w:type="paragraph" w:customStyle="1" w:styleId="affffff9">
    <w:name w:val="示例后文字"/>
    <w:basedOn w:val="affa"/>
    <w:next w:val="affa"/>
    <w:qFormat/>
    <w:pPr>
      <w:tabs>
        <w:tab w:val="clear" w:pos="-420"/>
        <w:tab w:val="clear" w:pos="0"/>
      </w:tabs>
      <w:ind w:firstLine="360"/>
    </w:pPr>
    <w:rPr>
      <w:sz w:val="18"/>
    </w:rPr>
  </w:style>
  <w:style w:type="paragraph" w:customStyle="1" w:styleId="af7">
    <w:name w:val="首示例"/>
    <w:next w:val="affa"/>
    <w:link w:val="Charb"/>
    <w:qFormat/>
    <w:pPr>
      <w:numPr>
        <w:numId w:val="13"/>
      </w:numPr>
      <w:tabs>
        <w:tab w:val="left" w:pos="360"/>
      </w:tabs>
      <w:ind w:firstLine="0"/>
    </w:pPr>
    <w:rPr>
      <w:rFonts w:ascii="宋体" w:hAnsi="宋体"/>
      <w:kern w:val="2"/>
      <w:sz w:val="18"/>
      <w:szCs w:val="18"/>
    </w:rPr>
  </w:style>
  <w:style w:type="character" w:customStyle="1" w:styleId="Charb">
    <w:name w:val="首示例 Char"/>
    <w:link w:val="af7"/>
    <w:qFormat/>
    <w:rPr>
      <w:rFonts w:ascii="宋体" w:hAnsi="宋体"/>
      <w:kern w:val="2"/>
      <w:sz w:val="18"/>
      <w:szCs w:val="18"/>
    </w:rPr>
  </w:style>
  <w:style w:type="paragraph" w:customStyle="1" w:styleId="affffffa">
    <w:name w:val="四级无"/>
    <w:basedOn w:val="affff"/>
    <w:qFormat/>
    <w:rPr>
      <w:rFonts w:ascii="宋体" w:eastAsia="宋体"/>
    </w:rPr>
  </w:style>
  <w:style w:type="paragraph" w:customStyle="1" w:styleId="affffffb">
    <w:name w:val="条文脚注"/>
    <w:basedOn w:val="affb"/>
    <w:qFormat/>
    <w:pPr>
      <w:jc w:val="both"/>
    </w:pPr>
  </w:style>
  <w:style w:type="paragraph" w:customStyle="1" w:styleId="affffffc">
    <w:name w:val="图标脚注说明"/>
    <w:basedOn w:val="affa"/>
    <w:qFormat/>
    <w:pPr>
      <w:tabs>
        <w:tab w:val="clear" w:pos="-420"/>
        <w:tab w:val="clear" w:pos="0"/>
      </w:tabs>
      <w:ind w:left="840" w:firstLineChars="0" w:hanging="420"/>
    </w:pPr>
    <w:rPr>
      <w:sz w:val="18"/>
      <w:szCs w:val="18"/>
    </w:rPr>
  </w:style>
  <w:style w:type="paragraph" w:customStyle="1" w:styleId="af9">
    <w:name w:val="图表脚注说明"/>
    <w:basedOn w:val="afa"/>
    <w:qFormat/>
    <w:pPr>
      <w:numPr>
        <w:numId w:val="14"/>
      </w:numPr>
    </w:pPr>
    <w:rPr>
      <w:rFonts w:ascii="宋体"/>
      <w:sz w:val="18"/>
      <w:szCs w:val="18"/>
    </w:rPr>
  </w:style>
  <w:style w:type="paragraph" w:customStyle="1" w:styleId="affffffd">
    <w:name w:val="图的脚注"/>
    <w:next w:val="affa"/>
    <w:qFormat/>
    <w:pPr>
      <w:widowControl w:val="0"/>
      <w:ind w:leftChars="200" w:left="840" w:hangingChars="200" w:hanging="420"/>
      <w:jc w:val="both"/>
    </w:pPr>
    <w:rPr>
      <w:rFonts w:ascii="宋体"/>
      <w:sz w:val="18"/>
    </w:rPr>
  </w:style>
  <w:style w:type="paragraph" w:customStyle="1" w:styleId="affffffe">
    <w:name w:val="文献分类号"/>
    <w:qFormat/>
    <w:pPr>
      <w:framePr w:hSpace="180" w:vSpace="180" w:wrap="around" w:hAnchor="margin" w:y="1" w:anchorLock="1"/>
      <w:widowControl w:val="0"/>
      <w:textAlignment w:val="center"/>
    </w:pPr>
    <w:rPr>
      <w:rFonts w:ascii="黑体" w:eastAsia="黑体"/>
      <w:sz w:val="21"/>
      <w:szCs w:val="21"/>
    </w:rPr>
  </w:style>
  <w:style w:type="paragraph" w:customStyle="1" w:styleId="afffffff">
    <w:name w:val="五级无"/>
    <w:basedOn w:val="affff0"/>
    <w:qFormat/>
    <w:rPr>
      <w:rFonts w:ascii="宋体" w:eastAsia="宋体"/>
    </w:rPr>
  </w:style>
  <w:style w:type="paragraph" w:customStyle="1" w:styleId="afffffff0">
    <w:name w:val="一级无"/>
    <w:basedOn w:val="a4"/>
    <w:qFormat/>
    <w:rPr>
      <w:rFonts w:ascii="宋体" w:eastAsia="宋体"/>
    </w:rPr>
  </w:style>
  <w:style w:type="character" w:customStyle="1" w:styleId="13">
    <w:name w:val="访问过的超链接1"/>
    <w:qFormat/>
    <w:rPr>
      <w:color w:val="800080"/>
      <w:u w:val="single"/>
    </w:rPr>
  </w:style>
  <w:style w:type="paragraph" w:customStyle="1" w:styleId="af">
    <w:name w:val="正文表标题"/>
    <w:next w:val="affa"/>
    <w:qFormat/>
    <w:pPr>
      <w:numPr>
        <w:numId w:val="15"/>
      </w:numPr>
      <w:tabs>
        <w:tab w:val="left" w:pos="360"/>
      </w:tabs>
      <w:spacing w:beforeLines="50" w:afterLines="50"/>
      <w:jc w:val="center"/>
    </w:pPr>
    <w:rPr>
      <w:rFonts w:ascii="黑体" w:eastAsia="黑体"/>
      <w:sz w:val="21"/>
    </w:rPr>
  </w:style>
  <w:style w:type="paragraph" w:customStyle="1" w:styleId="afffffff1">
    <w:name w:val="正文公式编号制表符"/>
    <w:basedOn w:val="affa"/>
    <w:next w:val="affa"/>
    <w:qFormat/>
    <w:pPr>
      <w:tabs>
        <w:tab w:val="clear" w:pos="-420"/>
        <w:tab w:val="clear" w:pos="0"/>
      </w:tabs>
      <w:ind w:firstLineChars="0" w:firstLine="0"/>
    </w:pPr>
  </w:style>
  <w:style w:type="paragraph" w:customStyle="1" w:styleId="ac">
    <w:name w:val="正文图标题"/>
    <w:next w:val="affa"/>
    <w:qFormat/>
    <w:pPr>
      <w:numPr>
        <w:numId w:val="16"/>
      </w:numPr>
      <w:tabs>
        <w:tab w:val="left" w:pos="360"/>
      </w:tabs>
      <w:spacing w:beforeLines="50" w:afterLines="50"/>
      <w:jc w:val="center"/>
    </w:pPr>
    <w:rPr>
      <w:rFonts w:ascii="黑体" w:eastAsia="黑体"/>
      <w:sz w:val="21"/>
    </w:rPr>
  </w:style>
  <w:style w:type="paragraph" w:customStyle="1" w:styleId="afffffff2">
    <w:name w:val="终结线"/>
    <w:basedOn w:val="afa"/>
    <w:qFormat/>
    <w:pPr>
      <w:framePr w:hSpace="181" w:vSpace="181" w:wrap="around" w:vAnchor="text" w:hAnchor="margin" w:xAlign="center" w:y="285"/>
    </w:pPr>
  </w:style>
  <w:style w:type="paragraph" w:customStyle="1" w:styleId="afffffff3">
    <w:name w:val="其他发布日期"/>
    <w:basedOn w:val="affffc"/>
    <w:qFormat/>
    <w:pPr>
      <w:framePr w:wrap="around" w:vAnchor="page" w:hAnchor="text" w:x="1419"/>
    </w:pPr>
  </w:style>
  <w:style w:type="paragraph" w:customStyle="1" w:styleId="afffffff4">
    <w:name w:val="其他实施日期"/>
    <w:basedOn w:val="affffff8"/>
    <w:qFormat/>
    <w:pPr>
      <w:framePr w:wrap="around"/>
    </w:pPr>
  </w:style>
  <w:style w:type="paragraph" w:customStyle="1" w:styleId="23">
    <w:name w:val="封面标准名称2"/>
    <w:basedOn w:val="affffe"/>
    <w:qFormat/>
    <w:pPr>
      <w:framePr w:wrap="around" w:y="4469"/>
      <w:spacing w:beforeLines="630"/>
    </w:pPr>
  </w:style>
  <w:style w:type="paragraph" w:customStyle="1" w:styleId="24">
    <w:name w:val="封面标准英文名称2"/>
    <w:basedOn w:val="afffff"/>
    <w:qFormat/>
    <w:pPr>
      <w:framePr w:wrap="around" w:y="4469"/>
    </w:pPr>
  </w:style>
  <w:style w:type="paragraph" w:customStyle="1" w:styleId="25">
    <w:name w:val="封面一致性程度标识2"/>
    <w:basedOn w:val="afffff0"/>
    <w:qFormat/>
    <w:pPr>
      <w:framePr w:wrap="around" w:y="4469"/>
    </w:pPr>
  </w:style>
  <w:style w:type="paragraph" w:customStyle="1" w:styleId="26">
    <w:name w:val="封面标准文稿类别2"/>
    <w:basedOn w:val="afffff1"/>
    <w:qFormat/>
    <w:pPr>
      <w:framePr w:wrap="around" w:y="4469"/>
    </w:pPr>
  </w:style>
  <w:style w:type="paragraph" w:customStyle="1" w:styleId="27">
    <w:name w:val="封面标准文稿编辑信息2"/>
    <w:basedOn w:val="afffff2"/>
    <w:qFormat/>
    <w:pPr>
      <w:framePr w:wrap="around" w:y="4469"/>
    </w:pPr>
  </w:style>
  <w:style w:type="paragraph" w:customStyle="1" w:styleId="Default">
    <w:name w:val="Default"/>
    <w:qFormat/>
    <w:pPr>
      <w:widowControl w:val="0"/>
      <w:autoSpaceDE w:val="0"/>
      <w:autoSpaceDN w:val="0"/>
      <w:adjustRightInd w:val="0"/>
    </w:pPr>
    <w:rPr>
      <w:rFonts w:ascii="宋体"/>
    </w:rPr>
  </w:style>
  <w:style w:type="character" w:customStyle="1" w:styleId="Char3">
    <w:name w:val="批注框文本 Char"/>
    <w:link w:val="aff6"/>
    <w:qFormat/>
    <w:rPr>
      <w:kern w:val="2"/>
      <w:sz w:val="18"/>
      <w:szCs w:val="18"/>
    </w:rPr>
  </w:style>
  <w:style w:type="character" w:customStyle="1" w:styleId="Char0">
    <w:name w:val="批注文字 Char"/>
    <w:link w:val="aff0"/>
    <w:qFormat/>
    <w:rPr>
      <w:kern w:val="2"/>
      <w:sz w:val="21"/>
      <w:szCs w:val="24"/>
    </w:rPr>
  </w:style>
  <w:style w:type="character" w:customStyle="1" w:styleId="Char8">
    <w:name w:val="批注主题 Char"/>
    <w:link w:val="affe"/>
    <w:qFormat/>
    <w:rPr>
      <w:b/>
      <w:bCs/>
      <w:kern w:val="2"/>
      <w:sz w:val="21"/>
      <w:szCs w:val="24"/>
    </w:rPr>
  </w:style>
  <w:style w:type="paragraph" w:customStyle="1" w:styleId="Revision168d0d63-7386-4d39-ae08-893cd08d9c81">
    <w:name w:val="Revision_168d0d63-7386-4d39-ae08-893cd08d9c81"/>
    <w:uiPriority w:val="99"/>
    <w:qFormat/>
    <w:rPr>
      <w:kern w:val="2"/>
      <w:sz w:val="21"/>
      <w:szCs w:val="24"/>
    </w:rPr>
  </w:style>
  <w:style w:type="character" w:customStyle="1" w:styleId="Char1">
    <w:name w:val="正文文本缩进 Char"/>
    <w:link w:val="aff2"/>
    <w:qFormat/>
    <w:rPr>
      <w:kern w:val="2"/>
      <w:sz w:val="21"/>
      <w:szCs w:val="24"/>
    </w:rPr>
  </w:style>
  <w:style w:type="paragraph" w:customStyle="1" w:styleId="14">
    <w:name w:val="正文1"/>
    <w:qFormat/>
    <w:pPr>
      <w:ind w:firstLine="480"/>
      <w:jc w:val="both"/>
    </w:pPr>
  </w:style>
  <w:style w:type="character" w:customStyle="1" w:styleId="2Char">
    <w:name w:val="标题 2 Char"/>
    <w:link w:val="2"/>
    <w:qFormat/>
    <w:rPr>
      <w:rFonts w:ascii="楷体_GB2312" w:eastAsia="楷体_GB2312" w:hAnsi="宋体"/>
      <w:sz w:val="30"/>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Cambria" w:eastAsia="宋体" w:hAnsi="Cambria" w:cs="Times New Roman"/>
      <w:b/>
      <w:bCs/>
      <w:kern w:val="2"/>
      <w:sz w:val="28"/>
      <w:szCs w:val="28"/>
    </w:rPr>
  </w:style>
  <w:style w:type="character" w:customStyle="1" w:styleId="Char7">
    <w:name w:val="标题 Char"/>
    <w:link w:val="affd"/>
    <w:qFormat/>
    <w:rPr>
      <w:rFonts w:ascii="Cambria" w:hAnsi="Cambria" w:cs="Times New Roman"/>
      <w:b/>
      <w:bCs/>
      <w:kern w:val="2"/>
      <w:sz w:val="32"/>
      <w:szCs w:val="32"/>
    </w:rPr>
  </w:style>
  <w:style w:type="character" w:customStyle="1" w:styleId="Heading1Charfc538dad-85ce-46b8-bb80-c173e5b24fa2">
    <w:name w:val="Heading 1 Char_fc538dad-85ce-46b8-bb80-c173e5b24fa2"/>
    <w:qFormat/>
    <w:rPr>
      <w:rFonts w:eastAsia="仿宋" w:cs="Calibri"/>
      <w:b/>
      <w:bCs/>
      <w:kern w:val="44"/>
      <w:sz w:val="44"/>
      <w:szCs w:val="44"/>
    </w:rPr>
  </w:style>
  <w:style w:type="character" w:customStyle="1" w:styleId="1Char">
    <w:name w:val="标题 1 Char"/>
    <w:link w:val="1"/>
    <w:qFormat/>
    <w:rPr>
      <w:b/>
      <w:bCs/>
      <w:kern w:val="44"/>
      <w:sz w:val="44"/>
      <w:szCs w:val="44"/>
    </w:rPr>
  </w:style>
  <w:style w:type="character" w:customStyle="1" w:styleId="Char">
    <w:name w:val="题注 Char"/>
    <w:link w:val="afe"/>
    <w:qFormat/>
    <w:rPr>
      <w:rFonts w:ascii="Arial" w:eastAsia="黑体" w:hAnsi="Arial"/>
      <w:kern w:val="2"/>
    </w:rPr>
  </w:style>
  <w:style w:type="paragraph" w:customStyle="1" w:styleId="TableSource2006GL">
    <w:name w:val="Table Source 2006GL"/>
    <w:basedOn w:val="Default"/>
    <w:next w:val="Default"/>
    <w:qFormat/>
    <w:rPr>
      <w:rFonts w:hAnsi="Calibri" w:cs="宋体"/>
      <w:sz w:val="24"/>
      <w:szCs w:val="24"/>
    </w:rPr>
  </w:style>
  <w:style w:type="character" w:customStyle="1" w:styleId="CharChar">
    <w:name w:val="段 Char Char"/>
    <w:qFormat/>
    <w:rPr>
      <w:rFonts w:ascii="宋体" w:hAnsi="Times New Roman" w:cs="宋体"/>
      <w:sz w:val="21"/>
      <w:szCs w:val="21"/>
      <w:lang w:val="en-US" w:eastAsia="zh-CN" w:bidi="ar-SA"/>
    </w:rPr>
  </w:style>
  <w:style w:type="paragraph" w:customStyle="1" w:styleId="TOCHeading96d1129b-bcee-4964-9146-dc6a40466b18">
    <w:name w:val="TOC Heading_96d1129b-bcee-4964-9146-dc6a40466b18"/>
    <w:basedOn w:val="1"/>
    <w:next w:val="afa"/>
    <w:uiPriority w:val="39"/>
    <w:qFormat/>
    <w:pPr>
      <w:widowControl/>
      <w:spacing w:before="480" w:after="0" w:line="276" w:lineRule="auto"/>
      <w:jc w:val="left"/>
      <w:outlineLvl w:val="9"/>
    </w:pPr>
    <w:rPr>
      <w:rFonts w:ascii="Cambria" w:hAnsi="Cambria"/>
      <w:color w:val="365F91"/>
      <w:kern w:val="0"/>
      <w:sz w:val="28"/>
      <w:szCs w:val="28"/>
    </w:rPr>
  </w:style>
  <w:style w:type="paragraph" w:styleId="a5">
    <w:name w:val="List Paragraph"/>
    <w:basedOn w:val="afa"/>
    <w:uiPriority w:val="34"/>
    <w:qFormat/>
    <w:pPr>
      <w:widowControl/>
      <w:numPr>
        <w:ilvl w:val="2"/>
        <w:numId w:val="1"/>
      </w:numPr>
      <w:snapToGrid w:val="0"/>
      <w:ind w:firstLineChars="0"/>
    </w:pPr>
    <w:rPr>
      <w:kern w:val="0"/>
      <w:szCs w:val="21"/>
    </w:rPr>
  </w:style>
  <w:style w:type="character" w:customStyle="1" w:styleId="Char4">
    <w:name w:val="页脚 Char"/>
    <w:link w:val="aff7"/>
    <w:uiPriority w:val="99"/>
    <w:qFormat/>
    <w:rPr>
      <w:kern w:val="2"/>
      <w:sz w:val="18"/>
      <w:szCs w:val="18"/>
    </w:rPr>
  </w:style>
  <w:style w:type="paragraph" w:customStyle="1" w:styleId="afffffff5">
    <w:name w:val="附录"/>
    <w:basedOn w:val="af3"/>
    <w:link w:val="Charc"/>
    <w:qFormat/>
  </w:style>
  <w:style w:type="character" w:customStyle="1" w:styleId="Char9">
    <w:name w:val="附录标识 Char"/>
    <w:basedOn w:val="afb"/>
    <w:link w:val="af3"/>
    <w:qFormat/>
    <w:rPr>
      <w:rFonts w:ascii="黑体" w:eastAsia="黑体"/>
      <w:sz w:val="21"/>
    </w:rPr>
  </w:style>
  <w:style w:type="character" w:customStyle="1" w:styleId="Charc">
    <w:name w:val="附录 Char"/>
    <w:basedOn w:val="Char9"/>
    <w:link w:val="afffffff5"/>
    <w:qFormat/>
    <w:rPr>
      <w:rFonts w:ascii="黑体" w:eastAsia="黑体"/>
      <w:sz w:val="21"/>
      <w:shd w:val="clear" w:color="FFFFFF" w:fill="FFFFFF"/>
    </w:rPr>
  </w:style>
  <w:style w:type="character" w:customStyle="1" w:styleId="fontstyle01">
    <w:name w:val="fontstyle01"/>
    <w:basedOn w:val="afb"/>
    <w:qFormat/>
    <w:rPr>
      <w:rFonts w:ascii="宋体" w:eastAsia="宋体" w:hAnsi="宋体" w:hint="eastAsia"/>
      <w:color w:val="000000"/>
      <w:sz w:val="22"/>
      <w:szCs w:val="22"/>
    </w:rPr>
  </w:style>
  <w:style w:type="paragraph" w:customStyle="1" w:styleId="15">
    <w:name w:val="修订1"/>
    <w:uiPriority w:val="99"/>
    <w:qFormat/>
    <w:rPr>
      <w:kern w:val="2"/>
      <w:sz w:val="21"/>
      <w:szCs w:val="24"/>
    </w:rPr>
  </w:style>
  <w:style w:type="paragraph" w:customStyle="1" w:styleId="16">
    <w:name w:val="明显引用1"/>
    <w:basedOn w:val="afa"/>
    <w:next w:val="afa"/>
    <w:uiPriority w:val="30"/>
    <w:qFormat/>
    <w:pPr>
      <w:pBdr>
        <w:bottom w:val="single" w:sz="4" w:space="4" w:color="4F81BD"/>
      </w:pBdr>
      <w:spacing w:before="200" w:after="280"/>
      <w:ind w:left="936" w:right="936"/>
    </w:pPr>
    <w:rPr>
      <w:b/>
      <w:bCs/>
      <w:i/>
      <w:iCs/>
      <w:color w:val="4F81BD"/>
    </w:rPr>
  </w:style>
  <w:style w:type="character" w:customStyle="1" w:styleId="font61">
    <w:name w:val="font61"/>
    <w:basedOn w:val="afb"/>
    <w:qFormat/>
    <w:rPr>
      <w:rFonts w:ascii="方正楷体_GBK" w:eastAsia="方正楷体_GBK" w:hAnsi="方正楷体_GBK" w:cs="方正楷体_GBK" w:hint="default"/>
      <w:color w:val="000000"/>
      <w:sz w:val="21"/>
      <w:szCs w:val="21"/>
      <w:u w:val="none"/>
    </w:rPr>
  </w:style>
  <w:style w:type="character" w:customStyle="1" w:styleId="font171">
    <w:name w:val="font171"/>
    <w:basedOn w:val="afb"/>
    <w:qFormat/>
    <w:rPr>
      <w:rFonts w:ascii="Times New Roman" w:hAnsi="Times New Roman" w:cs="Times New Roman" w:hint="default"/>
      <w:color w:val="000000"/>
      <w:sz w:val="21"/>
      <w:szCs w:val="21"/>
      <w:u w:val="none"/>
      <w:vertAlign w:val="superscript"/>
    </w:rPr>
  </w:style>
  <w:style w:type="character" w:customStyle="1" w:styleId="font91">
    <w:name w:val="font91"/>
    <w:basedOn w:val="afb"/>
    <w:qFormat/>
    <w:rPr>
      <w:rFonts w:ascii="Times New Roman" w:hAnsi="Times New Roman" w:cs="Times New Roman" w:hint="default"/>
      <w:color w:val="000000"/>
      <w:sz w:val="21"/>
      <w:szCs w:val="21"/>
      <w:u w:val="none"/>
    </w:rPr>
  </w:style>
  <w:style w:type="character" w:customStyle="1" w:styleId="font81">
    <w:name w:val="font81"/>
    <w:basedOn w:val="afb"/>
    <w:qFormat/>
    <w:rPr>
      <w:rFonts w:ascii="方正仿宋_GBK" w:eastAsia="方正仿宋_GBK" w:hAnsi="方正仿宋_GBK" w:cs="方正仿宋_GBK" w:hint="default"/>
      <w:color w:val="000000"/>
      <w:sz w:val="21"/>
      <w:szCs w:val="21"/>
      <w:u w:val="none"/>
    </w:rPr>
  </w:style>
  <w:style w:type="character" w:customStyle="1" w:styleId="font181">
    <w:name w:val="font181"/>
    <w:basedOn w:val="afb"/>
    <w:qFormat/>
    <w:rPr>
      <w:rFonts w:ascii="Times New Roman" w:hAnsi="Times New Roman" w:cs="Times New Roman" w:hint="default"/>
      <w:color w:val="000000"/>
      <w:sz w:val="21"/>
      <w:szCs w:val="21"/>
      <w:u w:val="none"/>
      <w:vertAlign w:val="subscript"/>
    </w:rPr>
  </w:style>
  <w:style w:type="character" w:customStyle="1" w:styleId="font112">
    <w:name w:val="font112"/>
    <w:basedOn w:val="afb"/>
    <w:qFormat/>
    <w:rPr>
      <w:rFonts w:ascii="宋体" w:eastAsia="宋体" w:hAnsi="宋体" w:cs="宋体" w:hint="eastAsia"/>
      <w:color w:val="000000"/>
      <w:sz w:val="21"/>
      <w:szCs w:val="21"/>
      <w:u w:val="none"/>
    </w:rPr>
  </w:style>
  <w:style w:type="character" w:customStyle="1" w:styleId="font131">
    <w:name w:val="font131"/>
    <w:basedOn w:val="afb"/>
    <w:qFormat/>
    <w:rPr>
      <w:rFonts w:ascii="Times New Roman" w:hAnsi="Times New Roman" w:cs="Times New Roman" w:hint="default"/>
      <w:i/>
      <w:iCs/>
      <w:color w:val="000000"/>
      <w:sz w:val="21"/>
      <w:szCs w:val="21"/>
      <w:u w:val="none"/>
    </w:rPr>
  </w:style>
  <w:style w:type="character" w:customStyle="1" w:styleId="font191">
    <w:name w:val="font191"/>
    <w:basedOn w:val="afb"/>
    <w:qFormat/>
    <w:rPr>
      <w:rFonts w:ascii="Times New Roman" w:hAnsi="Times New Roman" w:cs="Times New Roman" w:hint="default"/>
      <w:i/>
      <w:iCs/>
      <w:color w:val="000000"/>
      <w:sz w:val="21"/>
      <w:szCs w:val="21"/>
      <w:u w:val="none"/>
      <w:vertAlign w:val="subscript"/>
    </w:rPr>
  </w:style>
  <w:style w:type="character" w:customStyle="1" w:styleId="font151">
    <w:name w:val="font151"/>
    <w:basedOn w:val="afb"/>
    <w:qFormat/>
    <w:rPr>
      <w:rFonts w:ascii="Wingdings" w:hAnsi="Wingdings" w:cs="Wingdings" w:hint="default"/>
      <w:color w:val="000000"/>
      <w:sz w:val="21"/>
      <w:szCs w:val="21"/>
      <w:u w:val="none"/>
    </w:rPr>
  </w:style>
  <w:style w:type="character" w:customStyle="1" w:styleId="font201">
    <w:name w:val="font201"/>
    <w:basedOn w:val="afb"/>
    <w:qFormat/>
    <w:rPr>
      <w:rFonts w:ascii="Times New Roman" w:hAnsi="Times New Roman" w:cs="Times New Roman" w:hint="default"/>
      <w:color w:val="000000"/>
      <w:sz w:val="14"/>
      <w:szCs w:val="14"/>
      <w:u w:val="none"/>
    </w:rPr>
  </w:style>
  <w:style w:type="character" w:customStyle="1" w:styleId="font212">
    <w:name w:val="font212"/>
    <w:basedOn w:val="afb"/>
    <w:qFormat/>
    <w:rPr>
      <w:rFonts w:ascii="方正仿宋_GBK" w:eastAsia="方正仿宋_GBK" w:hAnsi="方正仿宋_GBK" w:cs="方正仿宋_GBK" w:hint="default"/>
      <w:b/>
      <w:bCs/>
      <w:color w:val="000000"/>
      <w:sz w:val="20"/>
      <w:szCs w:val="20"/>
      <w:u w:val="none"/>
    </w:rPr>
  </w:style>
  <w:style w:type="character" w:customStyle="1" w:styleId="font71">
    <w:name w:val="font71"/>
    <w:basedOn w:val="afb"/>
    <w:qFormat/>
    <w:rPr>
      <w:rFonts w:ascii="Times New Roman" w:hAnsi="Times New Roman" w:cs="Times New Roman" w:hint="default"/>
      <w:color w:val="000000"/>
      <w:sz w:val="20"/>
      <w:szCs w:val="20"/>
      <w:u w:val="none"/>
    </w:rPr>
  </w:style>
  <w:style w:type="character" w:customStyle="1" w:styleId="font221">
    <w:name w:val="font221"/>
    <w:basedOn w:val="afb"/>
    <w:qFormat/>
    <w:rPr>
      <w:rFonts w:ascii="方正仿宋_GBK" w:eastAsia="方正仿宋_GBK" w:hAnsi="方正仿宋_GBK" w:cs="方正仿宋_GBK" w:hint="default"/>
      <w:color w:val="000000"/>
      <w:sz w:val="20"/>
      <w:szCs w:val="20"/>
      <w:u w:val="none"/>
    </w:rPr>
  </w:style>
  <w:style w:type="character" w:customStyle="1" w:styleId="font231">
    <w:name w:val="font231"/>
    <w:basedOn w:val="afb"/>
    <w:qFormat/>
    <w:rPr>
      <w:rFonts w:ascii="宋体" w:eastAsia="宋体" w:hAnsi="宋体" w:cs="宋体" w:hint="eastAsia"/>
      <w:color w:val="000000"/>
      <w:sz w:val="20"/>
      <w:szCs w:val="20"/>
      <w:u w:val="none"/>
    </w:rPr>
  </w:style>
  <w:style w:type="paragraph" w:customStyle="1" w:styleId="Revision4f96cfea-5bdc-4516-bcc3-94df47886b02">
    <w:name w:val="Revision_4f96cfea-5bdc-4516-bcc3-94df47886b02"/>
    <w:uiPriority w:val="99"/>
    <w:qFormat/>
    <w:rPr>
      <w:kern w:val="2"/>
      <w:sz w:val="21"/>
      <w:szCs w:val="24"/>
    </w:rPr>
  </w:style>
  <w:style w:type="paragraph" w:customStyle="1" w:styleId="Revision207d92f8-dde4-4bc7-b5eb-47aaa643a660">
    <w:name w:val="Revision_207d92f8-dde4-4bc7-b5eb-47aaa643a660"/>
    <w:uiPriority w:val="99"/>
    <w:qFormat/>
    <w:rPr>
      <w:kern w:val="2"/>
      <w:sz w:val="21"/>
      <w:szCs w:val="24"/>
    </w:rPr>
  </w:style>
  <w:style w:type="paragraph" w:customStyle="1" w:styleId="28">
    <w:name w:val="修订2"/>
    <w:uiPriority w:val="99"/>
    <w:qFormat/>
    <w:rPr>
      <w:kern w:val="2"/>
      <w:sz w:val="21"/>
      <w:szCs w:val="24"/>
    </w:rPr>
  </w:style>
  <w:style w:type="paragraph" w:customStyle="1" w:styleId="33">
    <w:name w:val="修订3"/>
    <w:uiPriority w:val="99"/>
    <w:qFormat/>
    <w:rPr>
      <w:kern w:val="2"/>
      <w:sz w:val="21"/>
      <w:szCs w:val="24"/>
    </w:rPr>
  </w:style>
  <w:style w:type="character" w:customStyle="1" w:styleId="Char6">
    <w:name w:val="脚注文本 Char"/>
    <w:basedOn w:val="afb"/>
    <w:link w:val="affb"/>
    <w:qFormat/>
    <w:rPr>
      <w:rFonts w:ascii="宋体"/>
      <w:kern w:val="2"/>
      <w:sz w:val="18"/>
      <w:szCs w:val="18"/>
    </w:rPr>
  </w:style>
  <w:style w:type="paragraph" w:customStyle="1" w:styleId="MTDisplayEquation">
    <w:name w:val="MTDisplayEquation"/>
    <w:basedOn w:val="afa"/>
    <w:next w:val="afa"/>
    <w:link w:val="MTDisplayEquation0"/>
    <w:qFormat/>
    <w:pPr>
      <w:widowControl/>
      <w:tabs>
        <w:tab w:val="center" w:pos="4820"/>
        <w:tab w:val="right" w:pos="9640"/>
      </w:tabs>
      <w:spacing w:line="240" w:lineRule="auto"/>
      <w:jc w:val="right"/>
    </w:pPr>
    <w:rPr>
      <w:kern w:val="0"/>
      <w:szCs w:val="21"/>
    </w:rPr>
  </w:style>
  <w:style w:type="character" w:customStyle="1" w:styleId="MTDisplayEquation0">
    <w:name w:val="MTDisplayEquation 字符"/>
    <w:basedOn w:val="afb"/>
    <w:link w:val="MTDisplayEquation"/>
    <w:qFormat/>
    <w:rPr>
      <w:sz w:val="21"/>
      <w:szCs w:val="21"/>
    </w:rPr>
  </w:style>
  <w:style w:type="character" w:customStyle="1" w:styleId="MTEquationSection">
    <w:name w:val="MTEquationSection"/>
    <w:basedOn w:val="afb"/>
    <w:qFormat/>
    <w:rPr>
      <w:vanish/>
      <w:color w:val="FF0000"/>
    </w:rPr>
  </w:style>
  <w:style w:type="paragraph" w:customStyle="1" w:styleId="TOC1">
    <w:name w:val="TOC 标题1"/>
    <w:basedOn w:val="1"/>
    <w:next w:val="afa"/>
    <w:uiPriority w:val="39"/>
    <w:qFormat/>
    <w:pPr>
      <w:widowControl/>
      <w:tabs>
        <w:tab w:val="clear" w:pos="4338"/>
        <w:tab w:val="clear" w:pos="8675"/>
      </w:tabs>
      <w:spacing w:before="240" w:after="0" w:line="259" w:lineRule="auto"/>
      <w:jc w:val="left"/>
      <w:outlineLvl w:val="9"/>
    </w:pPr>
    <w:rPr>
      <w:rFonts w:ascii="Cambria" w:hAnsi="Cambria" w:cs="宋体"/>
      <w:b w:val="0"/>
      <w:bCs w:val="0"/>
      <w:color w:val="365F91"/>
      <w:kern w:val="0"/>
      <w:sz w:val="32"/>
      <w:szCs w:val="32"/>
    </w:rPr>
  </w:style>
  <w:style w:type="character" w:customStyle="1" w:styleId="font21">
    <w:name w:val="font21"/>
    <w:basedOn w:val="afb"/>
    <w:qFormat/>
    <w:rPr>
      <w:rFonts w:ascii="微软雅黑" w:eastAsia="微软雅黑" w:hAnsi="微软雅黑" w:cs="微软雅黑" w:hint="eastAsia"/>
      <w:color w:val="FF0000"/>
      <w:sz w:val="20"/>
      <w:szCs w:val="20"/>
      <w:u w:val="none"/>
    </w:rPr>
  </w:style>
  <w:style w:type="character" w:customStyle="1" w:styleId="font01">
    <w:name w:val="font01"/>
    <w:basedOn w:val="afb"/>
    <w:qFormat/>
    <w:rPr>
      <w:rFonts w:ascii="Times New Roman" w:hAnsi="Times New Roman" w:cs="Times New Roman" w:hint="default"/>
      <w:color w:val="FF0000"/>
      <w:sz w:val="20"/>
      <w:szCs w:val="20"/>
      <w:u w:val="none"/>
    </w:rPr>
  </w:style>
  <w:style w:type="character" w:customStyle="1" w:styleId="font31">
    <w:name w:val="font31"/>
    <w:basedOn w:val="afb"/>
    <w:qFormat/>
    <w:rPr>
      <w:rFonts w:ascii="微软雅黑" w:eastAsia="微软雅黑" w:hAnsi="微软雅黑" w:cs="微软雅黑" w:hint="eastAsia"/>
      <w:color w:val="FF0000"/>
      <w:sz w:val="20"/>
      <w:szCs w:val="20"/>
      <w:u w:val="none"/>
    </w:rPr>
  </w:style>
  <w:style w:type="character" w:customStyle="1" w:styleId="font101">
    <w:name w:val="font101"/>
    <w:basedOn w:val="afb"/>
    <w:qFormat/>
    <w:rPr>
      <w:rFonts w:ascii="Times New Roman" w:hAnsi="Times New Roman" w:cs="Times New Roman" w:hint="default"/>
      <w:color w:val="FF0000"/>
      <w:sz w:val="20"/>
      <w:szCs w:val="20"/>
      <w:u w:val="none"/>
    </w:rPr>
  </w:style>
  <w:style w:type="paragraph" w:customStyle="1" w:styleId="42">
    <w:name w:val="修订4"/>
    <w:uiPriority w:val="99"/>
    <w:qFormat/>
    <w:rPr>
      <w:kern w:val="2"/>
      <w:sz w:val="21"/>
      <w:szCs w:val="24"/>
    </w:rPr>
  </w:style>
  <w:style w:type="character" w:customStyle="1" w:styleId="font41">
    <w:name w:val="font41"/>
    <w:basedOn w:val="afb"/>
    <w:qFormat/>
    <w:rPr>
      <w:rFonts w:ascii="宋体" w:eastAsia="宋体" w:hAnsi="宋体" w:cs="宋体" w:hint="eastAsia"/>
      <w:color w:val="000000"/>
      <w:sz w:val="21"/>
      <w:szCs w:val="21"/>
      <w:u w:val="none"/>
    </w:rPr>
  </w:style>
  <w:style w:type="paragraph" w:customStyle="1" w:styleId="51">
    <w:name w:val="修订5"/>
    <w:uiPriority w:val="99"/>
    <w:qFormat/>
    <w:rPr>
      <w:kern w:val="2"/>
      <w:sz w:val="21"/>
      <w:szCs w:val="24"/>
    </w:rPr>
  </w:style>
  <w:style w:type="paragraph" w:customStyle="1" w:styleId="61">
    <w:name w:val="修订6"/>
    <w:uiPriority w:val="99"/>
    <w:qFormat/>
    <w:rPr>
      <w:kern w:val="2"/>
      <w:sz w:val="21"/>
      <w:szCs w:val="24"/>
    </w:rPr>
  </w:style>
  <w:style w:type="character" w:customStyle="1" w:styleId="Char2">
    <w:name w:val="日期 Char"/>
    <w:basedOn w:val="afb"/>
    <w:link w:val="aff4"/>
    <w:qFormat/>
    <w:rPr>
      <w:kern w:val="2"/>
      <w:sz w:val="21"/>
      <w:szCs w:val="24"/>
    </w:rPr>
  </w:style>
  <w:style w:type="paragraph" w:customStyle="1" w:styleId="71">
    <w:name w:val="修订7"/>
    <w:uiPriority w:val="99"/>
    <w:qFormat/>
    <w:rPr>
      <w:kern w:val="2"/>
      <w:sz w:val="21"/>
      <w:szCs w:val="24"/>
    </w:rPr>
  </w:style>
  <w:style w:type="character" w:styleId="afffffff6">
    <w:name w:val="Placeholder Text"/>
    <w:basedOn w:val="afb"/>
    <w:uiPriority w:val="99"/>
    <w:qFormat/>
    <w:rPr>
      <w:color w:val="808080"/>
    </w:rPr>
  </w:style>
  <w:style w:type="paragraph" w:customStyle="1" w:styleId="81">
    <w:name w:val="修订8"/>
    <w:uiPriority w:val="99"/>
    <w:qFormat/>
    <w:rPr>
      <w:kern w:val="2"/>
      <w:sz w:val="21"/>
      <w:szCs w:val="24"/>
    </w:rPr>
  </w:style>
  <w:style w:type="paragraph" w:customStyle="1" w:styleId="91">
    <w:name w:val="修订9"/>
    <w:uiPriority w:val="99"/>
    <w:qFormat/>
    <w:rPr>
      <w:kern w:val="2"/>
      <w:sz w:val="21"/>
      <w:szCs w:val="24"/>
    </w:rPr>
  </w:style>
  <w:style w:type="paragraph" w:customStyle="1" w:styleId="100">
    <w:name w:val="修订10"/>
    <w:uiPriority w:val="99"/>
    <w:qFormat/>
    <w:rPr>
      <w:kern w:val="2"/>
      <w:sz w:val="21"/>
      <w:szCs w:val="24"/>
    </w:rPr>
  </w:style>
  <w:style w:type="paragraph" w:customStyle="1" w:styleId="110">
    <w:name w:val="修订11"/>
    <w:uiPriority w:val="99"/>
    <w:qFormat/>
    <w:rPr>
      <w:kern w:val="2"/>
      <w:sz w:val="21"/>
      <w:szCs w:val="24"/>
    </w:rPr>
  </w:style>
  <w:style w:type="paragraph" w:customStyle="1" w:styleId="120">
    <w:name w:val="修订12"/>
    <w:uiPriority w:val="99"/>
    <w:qFormat/>
    <w:rPr>
      <w:kern w:val="2"/>
      <w:sz w:val="21"/>
      <w:szCs w:val="24"/>
    </w:rPr>
  </w:style>
  <w:style w:type="character" w:customStyle="1" w:styleId="17">
    <w:name w:val="未处理的提及1"/>
    <w:basedOn w:val="afb"/>
    <w:uiPriority w:val="99"/>
    <w:qFormat/>
    <w:rPr>
      <w:color w:val="605E5C"/>
      <w:shd w:val="clear" w:color="auto" w:fill="E1DFDD"/>
    </w:rPr>
  </w:style>
  <w:style w:type="paragraph" w:customStyle="1" w:styleId="130">
    <w:name w:val="修订13"/>
    <w:uiPriority w:val="99"/>
    <w:qFormat/>
    <w:rPr>
      <w:kern w:val="2"/>
      <w:sz w:val="21"/>
      <w:szCs w:val="24"/>
    </w:rPr>
  </w:style>
  <w:style w:type="paragraph" w:customStyle="1" w:styleId="140">
    <w:name w:val="修订14"/>
    <w:uiPriority w:val="99"/>
    <w:qFormat/>
    <w:rPr>
      <w:kern w:val="2"/>
      <w:sz w:val="21"/>
      <w:szCs w:val="24"/>
    </w:rPr>
  </w:style>
  <w:style w:type="paragraph" w:customStyle="1" w:styleId="150">
    <w:name w:val="修订15"/>
    <w:uiPriority w:val="99"/>
    <w:qFormat/>
    <w:rPr>
      <w:kern w:val="2"/>
      <w:sz w:val="21"/>
      <w:szCs w:val="24"/>
    </w:rPr>
  </w:style>
  <w:style w:type="paragraph" w:customStyle="1" w:styleId="160">
    <w:name w:val="修订16"/>
    <w:uiPriority w:val="99"/>
    <w:qFormat/>
    <w:rPr>
      <w:kern w:val="2"/>
      <w:sz w:val="21"/>
      <w:szCs w:val="24"/>
    </w:rPr>
  </w:style>
  <w:style w:type="paragraph" w:customStyle="1" w:styleId="170">
    <w:name w:val="修订17"/>
    <w:uiPriority w:val="99"/>
    <w:qFormat/>
    <w:rPr>
      <w:kern w:val="2"/>
      <w:sz w:val="21"/>
      <w:szCs w:val="24"/>
    </w:rPr>
  </w:style>
  <w:style w:type="paragraph" w:customStyle="1" w:styleId="18">
    <w:name w:val="修订18"/>
    <w:uiPriority w:val="99"/>
    <w:qFormat/>
    <w:rPr>
      <w:kern w:val="2"/>
      <w:sz w:val="21"/>
      <w:szCs w:val="24"/>
    </w:rPr>
  </w:style>
  <w:style w:type="paragraph" w:customStyle="1" w:styleId="19">
    <w:name w:val="修订19"/>
    <w:uiPriority w:val="99"/>
    <w:qFormat/>
    <w:rPr>
      <w:kern w:val="2"/>
      <w:sz w:val="21"/>
      <w:szCs w:val="24"/>
    </w:rPr>
  </w:style>
  <w:style w:type="paragraph" w:customStyle="1" w:styleId="200">
    <w:name w:val="修订20"/>
    <w:uiPriority w:val="99"/>
    <w:qFormat/>
    <w:rPr>
      <w:kern w:val="2"/>
      <w:sz w:val="21"/>
      <w:szCs w:val="24"/>
    </w:rPr>
  </w:style>
  <w:style w:type="paragraph" w:customStyle="1" w:styleId="210">
    <w:name w:val="修订21"/>
    <w:uiPriority w:val="99"/>
    <w:qFormat/>
    <w:rPr>
      <w:kern w:val="2"/>
      <w:sz w:val="21"/>
      <w:szCs w:val="24"/>
    </w:rPr>
  </w:style>
  <w:style w:type="paragraph" w:customStyle="1" w:styleId="220">
    <w:name w:val="修订22"/>
    <w:uiPriority w:val="99"/>
    <w:qFormat/>
    <w:rPr>
      <w:kern w:val="2"/>
      <w:sz w:val="21"/>
      <w:szCs w:val="24"/>
    </w:rPr>
  </w:style>
  <w:style w:type="paragraph" w:customStyle="1" w:styleId="230">
    <w:name w:val="修订23"/>
    <w:uiPriority w:val="99"/>
    <w:qFormat/>
    <w:rPr>
      <w:kern w:val="2"/>
      <w:sz w:val="21"/>
      <w:szCs w:val="24"/>
    </w:rPr>
  </w:style>
  <w:style w:type="character" w:customStyle="1" w:styleId="font51">
    <w:name w:val="font51"/>
    <w:basedOn w:val="afb"/>
    <w:qFormat/>
    <w:rPr>
      <w:rFonts w:ascii="宋体" w:eastAsia="宋体" w:hAnsi="宋体" w:cs="宋体" w:hint="eastAsia"/>
      <w:color w:val="000000"/>
      <w:sz w:val="18"/>
      <w:szCs w:val="18"/>
      <w:u w:val="none"/>
    </w:rPr>
  </w:style>
  <w:style w:type="paragraph" w:customStyle="1" w:styleId="msolistparagraph0">
    <w:name w:val="msolistparagraph"/>
    <w:basedOn w:val="afa"/>
    <w:qFormat/>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4718</Words>
  <Characters>26897</Characters>
  <Application>Microsoft Office Word</Application>
  <DocSecurity>0</DocSecurity>
  <Lines>224</Lines>
  <Paragraphs>63</Paragraphs>
  <ScaleCrop>false</ScaleCrop>
  <Company>zle</Company>
  <LinksUpToDate>false</LinksUpToDate>
  <CharactersWithSpaces>31552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CNIS</dc:creator>
  <cp:lastModifiedBy>周兵</cp:lastModifiedBy>
  <cp:revision>908</cp:revision>
  <cp:lastPrinted>2024-03-13T09:04:00Z</cp:lastPrinted>
  <dcterms:created xsi:type="dcterms:W3CDTF">2023-09-29T02:08:00Z</dcterms:created>
  <dcterms:modified xsi:type="dcterms:W3CDTF">2024-04-03T02:59:00Z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36C79E094CDE48F5B4398502EAA59E76_13</vt:lpwstr>
  </property>
  <property fmtid="{D5CDD505-2E9C-101B-9397-08002B2CF9AE}" pid="4" name="MTWinEqns">
    <vt:bool>true</vt:bool>
  </property>
  <property fmtid="{D5CDD505-2E9C-101B-9397-08002B2CF9AE}" pid="5" name="MTEquationSection">
    <vt:lpwstr>1</vt:lpwstr>
  </property>
  <property fmtid="{D5CDD505-2E9C-101B-9397-08002B2CF9AE}" pid="6" name="MTEquationNumber2">
    <vt:lpwstr>(#E1)</vt:lpwstr>
  </property>
</Properties>
</file>