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autoSpaceDE/>
        <w:autoSpaceDN/>
        <w:bidi w:val="0"/>
        <w:snapToGrid w:val="0"/>
        <w:spacing w:line="336" w:lineRule="auto"/>
        <w:jc w:val="center"/>
        <w:rPr>
          <w:rFonts w:hint="eastAsia" w:asciiTheme="minorEastAsia" w:hAnsiTheme="minorEastAsia" w:eastAsiaTheme="minorEastAsia" w:cstheme="minorEastAsia"/>
          <w:sz w:val="32"/>
          <w:szCs w:val="32"/>
          <w:lang w:val="en-US" w:eastAsia="zh-CN"/>
        </w:rPr>
      </w:pPr>
      <w:bookmarkStart w:id="0" w:name="_GoBack"/>
      <w:bookmarkEnd w:id="0"/>
    </w:p>
    <w:p>
      <w:pPr>
        <w:keepNext w:val="0"/>
        <w:keepLines w:val="0"/>
        <w:pageBreakBefore w:val="0"/>
        <w:kinsoku/>
        <w:wordWrap/>
        <w:overflowPunct/>
        <w:autoSpaceDE/>
        <w:autoSpaceDN/>
        <w:bidi w:val="0"/>
        <w:snapToGrid w:val="0"/>
        <w:spacing w:line="336" w:lineRule="auto"/>
        <w:jc w:val="both"/>
        <w:rPr>
          <w:rFonts w:hint="eastAsia" w:asciiTheme="minorEastAsia" w:hAnsiTheme="minorEastAsia" w:eastAsiaTheme="minorEastAsia" w:cstheme="minorEastAsia"/>
          <w:sz w:val="32"/>
          <w:szCs w:val="32"/>
          <w:lang w:val="en-US" w:eastAsia="zh-CN"/>
        </w:rPr>
      </w:pPr>
    </w:p>
    <w:p>
      <w:pPr>
        <w:keepNext w:val="0"/>
        <w:keepLines w:val="0"/>
        <w:pageBreakBefore w:val="0"/>
        <w:kinsoku/>
        <w:wordWrap/>
        <w:overflowPunct/>
        <w:topLinePunct/>
        <w:autoSpaceDE/>
        <w:autoSpaceDN/>
        <w:bidi w:val="0"/>
        <w:adjustRightInd w:val="0"/>
        <w:snapToGrid w:val="0"/>
        <w:spacing w:before="0" w:beforeLines="0" w:line="336" w:lineRule="auto"/>
        <w:jc w:val="center"/>
        <w:textAlignment w:val="baseline"/>
        <w:rPr>
          <w:rFonts w:hint="eastAsia" w:ascii="宋体" w:hAnsi="宋体" w:eastAsia="宋体" w:cs="宋体"/>
          <w:spacing w:val="-10"/>
          <w:sz w:val="44"/>
          <w:szCs w:val="44"/>
        </w:rPr>
      </w:pPr>
      <w:r>
        <w:rPr>
          <w:rFonts w:hint="eastAsia" w:ascii="宋体" w:hAnsi="宋体" w:eastAsia="宋体" w:cs="宋体"/>
          <w:spacing w:val="10"/>
          <w:sz w:val="44"/>
          <w:szCs w:val="44"/>
        </w:rPr>
        <w:t>农用地土壤环境管理办法</w:t>
      </w:r>
      <w:r>
        <w:rPr>
          <w:rFonts w:hint="eastAsia" w:ascii="宋体" w:hAnsi="宋体" w:eastAsia="宋体" w:cs="宋体"/>
          <w:spacing w:val="-10"/>
          <w:sz w:val="44"/>
          <w:szCs w:val="44"/>
        </w:rPr>
        <w:t>（试行）</w:t>
      </w:r>
    </w:p>
    <w:p>
      <w:pPr>
        <w:keepNext w:val="0"/>
        <w:keepLines w:val="0"/>
        <w:pageBreakBefore w:val="0"/>
        <w:kinsoku/>
        <w:wordWrap/>
        <w:overflowPunct/>
        <w:topLinePunct/>
        <w:autoSpaceDE/>
        <w:autoSpaceDN/>
        <w:bidi w:val="0"/>
        <w:adjustRightInd w:val="0"/>
        <w:snapToGrid w:val="0"/>
        <w:spacing w:line="336" w:lineRule="auto"/>
        <w:ind w:firstLine="600" w:firstLineChars="200"/>
        <w:jc w:val="left"/>
        <w:textAlignment w:val="baseline"/>
        <w:rPr>
          <w:rFonts w:hint="eastAsia" w:ascii="楷体_GB2312" w:hAnsi="楷体_GB2312" w:eastAsia="楷体_GB2312" w:cs="楷体_GB2312"/>
          <w:spacing w:val="-10"/>
          <w:sz w:val="32"/>
          <w:szCs w:val="32"/>
          <w:lang w:eastAsia="zh-CN"/>
        </w:rPr>
      </w:pPr>
      <w:r>
        <w:rPr>
          <w:rFonts w:hint="eastAsia" w:ascii="楷体_GB2312" w:hAnsi="楷体_GB2312" w:eastAsia="楷体_GB2312" w:cs="楷体_GB2312"/>
          <w:spacing w:val="-10"/>
          <w:sz w:val="32"/>
          <w:szCs w:val="32"/>
          <w:lang w:eastAsia="zh-CN"/>
        </w:rPr>
        <w:t>（</w:t>
      </w:r>
      <w:r>
        <w:rPr>
          <w:rFonts w:hint="eastAsia" w:ascii="楷体_GB2312" w:hAnsi="楷体_GB2312" w:eastAsia="楷体_GB2312" w:cs="楷体_GB2312"/>
          <w:spacing w:val="0"/>
          <w:sz w:val="32"/>
          <w:szCs w:val="32"/>
        </w:rPr>
        <w:t>2017年9月25日环境保护部</w:t>
      </w:r>
      <w:r>
        <w:rPr>
          <w:rFonts w:hint="eastAsia" w:ascii="楷体_GB2312" w:hAnsi="楷体_GB2312" w:eastAsia="楷体_GB2312" w:cs="楷体_GB2312"/>
          <w:spacing w:val="0"/>
          <w:sz w:val="32"/>
          <w:szCs w:val="32"/>
          <w:lang w:eastAsia="zh-CN"/>
        </w:rPr>
        <w:t>、</w:t>
      </w:r>
      <w:r>
        <w:rPr>
          <w:rFonts w:hint="eastAsia" w:ascii="楷体_GB2312" w:hAnsi="楷体_GB2312" w:eastAsia="楷体_GB2312" w:cs="楷体_GB2312"/>
          <w:spacing w:val="0"/>
          <w:sz w:val="32"/>
          <w:szCs w:val="32"/>
        </w:rPr>
        <w:t>农业部令第46号公布，自2017年11月1日起施行</w:t>
      </w:r>
      <w:r>
        <w:rPr>
          <w:rFonts w:hint="eastAsia" w:ascii="楷体_GB2312" w:hAnsi="楷体_GB2312" w:eastAsia="楷体_GB2312" w:cs="楷体_GB2312"/>
          <w:spacing w:val="-10"/>
          <w:sz w:val="32"/>
          <w:szCs w:val="32"/>
          <w:lang w:eastAsia="zh-CN"/>
        </w:rPr>
        <w:t>）</w:t>
      </w:r>
    </w:p>
    <w:p>
      <w:pPr>
        <w:keepNext w:val="0"/>
        <w:keepLines w:val="0"/>
        <w:pageBreakBefore w:val="0"/>
        <w:kinsoku/>
        <w:wordWrap/>
        <w:overflowPunct/>
        <w:topLinePunct/>
        <w:autoSpaceDE/>
        <w:autoSpaceDN/>
        <w:bidi w:val="0"/>
        <w:adjustRightInd w:val="0"/>
        <w:snapToGrid w:val="0"/>
        <w:spacing w:line="336" w:lineRule="auto"/>
        <w:ind w:firstLine="0"/>
        <w:jc w:val="center"/>
        <w:textAlignment w:val="baseline"/>
        <w:rPr>
          <w:rFonts w:hint="eastAsia" w:ascii="楷体_GB2312" w:hAnsi="楷体_GB2312" w:eastAsia="楷体_GB2312" w:cs="楷体_GB2312"/>
          <w:spacing w:val="-10"/>
          <w:sz w:val="32"/>
          <w:szCs w:val="32"/>
        </w:rPr>
      </w:pPr>
    </w:p>
    <w:p>
      <w:pPr>
        <w:keepNext w:val="0"/>
        <w:keepLines w:val="0"/>
        <w:pageBreakBefore w:val="0"/>
        <w:numPr>
          <w:ilvl w:val="0"/>
          <w:numId w:val="1"/>
        </w:numPr>
        <w:kinsoku/>
        <w:wordWrap/>
        <w:overflowPunct/>
        <w:topLinePunct/>
        <w:autoSpaceDE/>
        <w:autoSpaceDN/>
        <w:bidi w:val="0"/>
        <w:adjustRightInd w:val="0"/>
        <w:snapToGrid w:val="0"/>
        <w:spacing w:line="336" w:lineRule="auto"/>
        <w:jc w:val="center"/>
        <w:outlineLvl w:val="0"/>
        <w:rPr>
          <w:rFonts w:hint="eastAsia" w:ascii="黑体" w:hAnsi="黑体" w:eastAsia="黑体"/>
          <w:sz w:val="32"/>
          <w:szCs w:val="32"/>
        </w:rPr>
      </w:pPr>
      <w:r>
        <w:rPr>
          <w:rFonts w:hint="eastAsia" w:ascii="黑体" w:hAnsi="黑体" w:eastAsia="黑体"/>
          <w:sz w:val="32"/>
          <w:szCs w:val="32"/>
        </w:rPr>
        <w:t xml:space="preserve"> 总  则</w:t>
      </w:r>
    </w:p>
    <w:p>
      <w:pPr>
        <w:keepNext w:val="0"/>
        <w:keepLines w:val="0"/>
        <w:pageBreakBefore w:val="0"/>
        <w:numPr>
          <w:numId w:val="0"/>
        </w:numPr>
        <w:kinsoku/>
        <w:wordWrap/>
        <w:overflowPunct/>
        <w:topLinePunct/>
        <w:autoSpaceDE/>
        <w:autoSpaceDN/>
        <w:bidi w:val="0"/>
        <w:adjustRightInd w:val="0"/>
        <w:snapToGrid w:val="0"/>
        <w:spacing w:line="336" w:lineRule="auto"/>
        <w:jc w:val="both"/>
        <w:outlineLvl w:val="0"/>
        <w:rPr>
          <w:rFonts w:hint="eastAsia" w:ascii="黑体" w:hAnsi="黑体" w:eastAsia="黑体"/>
          <w:sz w:val="32"/>
          <w:szCs w:val="32"/>
        </w:rPr>
      </w:pPr>
    </w:p>
    <w:p>
      <w:pPr>
        <w:keepNext w:val="0"/>
        <w:keepLines w:val="0"/>
        <w:pageBreakBefore w:val="0"/>
        <w:kinsoku/>
        <w:wordWrap/>
        <w:overflowPunct/>
        <w:topLinePunct/>
        <w:autoSpaceDE/>
        <w:autoSpaceDN/>
        <w:bidi w:val="0"/>
        <w:adjustRightInd w:val="0"/>
        <w:snapToGrid w:val="0"/>
        <w:spacing w:line="336" w:lineRule="auto"/>
        <w:ind w:firstLine="640" w:firstLineChars="200"/>
        <w:outlineLvl w:val="1"/>
        <w:rPr>
          <w:rFonts w:hint="eastAsia" w:ascii="仿宋_GB2312" w:hAnsi="Times New Roman" w:eastAsia="仿宋_GB2312"/>
          <w:sz w:val="32"/>
          <w:szCs w:val="32"/>
        </w:rPr>
      </w:pPr>
      <w:r>
        <w:rPr>
          <w:rFonts w:hint="eastAsia" w:ascii="黑体" w:hAnsi="黑体" w:eastAsia="黑体"/>
          <w:sz w:val="32"/>
          <w:szCs w:val="32"/>
        </w:rPr>
        <w:t>第一条</w:t>
      </w:r>
      <w:r>
        <w:rPr>
          <w:rFonts w:hint="eastAsia" w:ascii="仿宋_GB2312" w:hAnsi="黑体" w:eastAsia="仿宋_GB2312"/>
          <w:sz w:val="32"/>
          <w:szCs w:val="32"/>
        </w:rPr>
        <w:t xml:space="preserve"> </w:t>
      </w:r>
      <w:r>
        <w:rPr>
          <w:rFonts w:hint="eastAsia" w:ascii="仿宋_GB2312" w:hAnsi="Times New Roman" w:eastAsia="仿宋_GB2312"/>
          <w:sz w:val="32"/>
          <w:szCs w:val="32"/>
        </w:rPr>
        <w:t>为了加强农用地土壤环境保护监督管理，保护农用地土壤环境，管控农用地土壤环境风险，保障农产品质量安全，根据《中华人民共和国环境保护法》《中华人民共和国农产品质量安全法》等法律法规和《土壤污染防治行动计划》，制定本办法。</w:t>
      </w:r>
    </w:p>
    <w:p>
      <w:pPr>
        <w:keepNext w:val="0"/>
        <w:keepLines w:val="0"/>
        <w:pageBreakBefore w:val="0"/>
        <w:kinsoku/>
        <w:wordWrap/>
        <w:overflowPunct/>
        <w:topLinePunct/>
        <w:autoSpaceDE/>
        <w:autoSpaceDN/>
        <w:bidi w:val="0"/>
        <w:adjustRightInd w:val="0"/>
        <w:snapToGrid w:val="0"/>
        <w:spacing w:line="336" w:lineRule="auto"/>
        <w:ind w:firstLine="640" w:firstLineChars="200"/>
        <w:outlineLvl w:val="1"/>
        <w:rPr>
          <w:rFonts w:hint="eastAsia" w:ascii="仿宋_GB2312" w:hAnsi="Times New Roman" w:eastAsia="仿宋_GB2312"/>
          <w:sz w:val="32"/>
          <w:szCs w:val="32"/>
        </w:rPr>
      </w:pPr>
      <w:r>
        <w:rPr>
          <w:rFonts w:hint="eastAsia" w:ascii="黑体" w:hAnsi="黑体" w:eastAsia="黑体"/>
          <w:sz w:val="32"/>
          <w:szCs w:val="32"/>
        </w:rPr>
        <w:t>第二条</w:t>
      </w:r>
      <w:r>
        <w:rPr>
          <w:rFonts w:hint="eastAsia" w:ascii="仿宋_GB2312" w:hAnsi="黑体" w:eastAsia="仿宋_GB2312"/>
          <w:sz w:val="32"/>
          <w:szCs w:val="32"/>
        </w:rPr>
        <w:t xml:space="preserve"> </w:t>
      </w:r>
      <w:r>
        <w:rPr>
          <w:rFonts w:hint="eastAsia" w:ascii="仿宋_GB2312" w:hAnsi="Times New Roman" w:eastAsia="仿宋_GB2312"/>
          <w:sz w:val="32"/>
          <w:szCs w:val="32"/>
        </w:rPr>
        <w:t>农用地土壤污染防治相关活动及其监督管理适用本办法。</w:t>
      </w:r>
    </w:p>
    <w:p>
      <w:pPr>
        <w:keepNext w:val="0"/>
        <w:keepLines w:val="0"/>
        <w:pageBreakBefore w:val="0"/>
        <w:kinsoku/>
        <w:wordWrap/>
        <w:overflowPunct/>
        <w:topLinePunct/>
        <w:autoSpaceDE/>
        <w:autoSpaceDN/>
        <w:bidi w:val="0"/>
        <w:adjustRightInd w:val="0"/>
        <w:snapToGrid w:val="0"/>
        <w:spacing w:line="336" w:lineRule="auto"/>
        <w:ind w:firstLine="640" w:firstLineChars="200"/>
        <w:outlineLvl w:val="1"/>
        <w:rPr>
          <w:rFonts w:hint="eastAsia" w:ascii="仿宋_GB2312" w:hAnsi="Times New Roman" w:eastAsia="仿宋_GB2312"/>
          <w:sz w:val="32"/>
          <w:szCs w:val="32"/>
        </w:rPr>
      </w:pPr>
      <w:r>
        <w:rPr>
          <w:rFonts w:hint="eastAsia" w:ascii="仿宋_GB2312" w:hAnsi="Times New Roman" w:eastAsia="仿宋_GB2312"/>
          <w:sz w:val="32"/>
          <w:szCs w:val="32"/>
        </w:rPr>
        <w:t>前款所指的农用地土壤污染防治相关活动，是指对农用地开展的土壤污染预防、土壤污染状况调查、环境监测、环境质量类别划分、分类管理等活动。</w:t>
      </w:r>
    </w:p>
    <w:p>
      <w:pPr>
        <w:keepNext w:val="0"/>
        <w:keepLines w:val="0"/>
        <w:pageBreakBefore w:val="0"/>
        <w:kinsoku/>
        <w:wordWrap/>
        <w:overflowPunct/>
        <w:topLinePunct/>
        <w:autoSpaceDE/>
        <w:autoSpaceDN/>
        <w:bidi w:val="0"/>
        <w:adjustRightInd w:val="0"/>
        <w:snapToGrid w:val="0"/>
        <w:spacing w:line="336" w:lineRule="auto"/>
        <w:ind w:firstLine="640" w:firstLineChars="200"/>
        <w:outlineLvl w:val="1"/>
        <w:rPr>
          <w:rFonts w:hint="eastAsia" w:ascii="仿宋_GB2312" w:hAnsi="Times New Roman" w:eastAsia="仿宋_GB2312"/>
          <w:sz w:val="32"/>
          <w:szCs w:val="32"/>
        </w:rPr>
      </w:pPr>
      <w:r>
        <w:rPr>
          <w:rFonts w:hint="eastAsia" w:ascii="仿宋_GB2312" w:hAnsi="Times New Roman" w:eastAsia="仿宋_GB2312"/>
          <w:sz w:val="32"/>
          <w:szCs w:val="32"/>
        </w:rPr>
        <w:t>本办法所称的农用地土壤环境质量类别划分和分类管理，主要适用于耕地。园地、草地、林地可参照本办法。</w:t>
      </w:r>
    </w:p>
    <w:p>
      <w:pPr>
        <w:keepNext w:val="0"/>
        <w:keepLines w:val="0"/>
        <w:pageBreakBefore w:val="0"/>
        <w:kinsoku/>
        <w:wordWrap/>
        <w:overflowPunct/>
        <w:topLinePunct/>
        <w:autoSpaceDE/>
        <w:autoSpaceDN/>
        <w:bidi w:val="0"/>
        <w:adjustRightInd w:val="0"/>
        <w:snapToGrid w:val="0"/>
        <w:spacing w:line="336" w:lineRule="auto"/>
        <w:ind w:firstLine="640" w:firstLineChars="200"/>
        <w:outlineLvl w:val="1"/>
        <w:rPr>
          <w:rFonts w:hint="eastAsia" w:ascii="仿宋_GB2312" w:hAnsi="Times New Roman" w:eastAsia="仿宋_GB2312"/>
          <w:sz w:val="32"/>
          <w:szCs w:val="32"/>
        </w:rPr>
      </w:pPr>
      <w:r>
        <w:rPr>
          <w:rFonts w:hint="eastAsia" w:ascii="黑体" w:hAnsi="黑体" w:eastAsia="黑体"/>
          <w:sz w:val="32"/>
          <w:szCs w:val="32"/>
        </w:rPr>
        <w:t>第三条</w:t>
      </w:r>
      <w:r>
        <w:rPr>
          <w:rFonts w:hint="eastAsia" w:ascii="仿宋_GB2312" w:hAnsi="黑体" w:eastAsia="仿宋_GB2312"/>
          <w:sz w:val="32"/>
          <w:szCs w:val="32"/>
        </w:rPr>
        <w:t xml:space="preserve"> </w:t>
      </w:r>
      <w:r>
        <w:rPr>
          <w:rFonts w:hint="eastAsia" w:ascii="仿宋_GB2312" w:hAnsi="Times New Roman" w:eastAsia="仿宋_GB2312"/>
          <w:sz w:val="32"/>
          <w:szCs w:val="32"/>
        </w:rPr>
        <w:t>环境保护部对全国农用地土壤环境保护工作实施统一监督管理；县级以上地方环境保护主管部门对本行政区域内农用地土壤污染防治相关活动实施统一监督管理。</w:t>
      </w:r>
    </w:p>
    <w:p>
      <w:pPr>
        <w:keepNext w:val="0"/>
        <w:keepLines w:val="0"/>
        <w:pageBreakBefore w:val="0"/>
        <w:kinsoku/>
        <w:wordWrap/>
        <w:overflowPunct/>
        <w:topLinePunct/>
        <w:autoSpaceDE/>
        <w:autoSpaceDN/>
        <w:bidi w:val="0"/>
        <w:adjustRightInd w:val="0"/>
        <w:snapToGrid w:val="0"/>
        <w:spacing w:line="336" w:lineRule="auto"/>
        <w:ind w:firstLine="640" w:firstLineChars="200"/>
        <w:outlineLvl w:val="1"/>
        <w:rPr>
          <w:rFonts w:hint="eastAsia" w:ascii="仿宋_GB2312" w:hAnsi="Times New Roman" w:eastAsia="仿宋_GB2312"/>
          <w:sz w:val="32"/>
          <w:szCs w:val="32"/>
        </w:rPr>
      </w:pPr>
      <w:r>
        <w:rPr>
          <w:rFonts w:hint="eastAsia" w:ascii="仿宋_GB2312" w:hAnsi="Times New Roman" w:eastAsia="仿宋_GB2312"/>
          <w:sz w:val="32"/>
          <w:szCs w:val="32"/>
        </w:rPr>
        <w:t>农业部对全国农用地土壤安全利用、严格管控、治理与修复等工作实施监督管理；县级以上地方农业主管部门负责本行政区域内农用地土壤安全利用、严格管控、治理与修复等工作的组织实施。</w:t>
      </w:r>
    </w:p>
    <w:p>
      <w:pPr>
        <w:keepNext w:val="0"/>
        <w:keepLines w:val="0"/>
        <w:pageBreakBefore w:val="0"/>
        <w:kinsoku/>
        <w:wordWrap/>
        <w:overflowPunct/>
        <w:topLinePunct/>
        <w:autoSpaceDE/>
        <w:autoSpaceDN/>
        <w:bidi w:val="0"/>
        <w:adjustRightInd w:val="0"/>
        <w:snapToGrid w:val="0"/>
        <w:spacing w:line="336" w:lineRule="auto"/>
        <w:ind w:firstLine="640" w:firstLineChars="200"/>
        <w:outlineLvl w:val="1"/>
        <w:rPr>
          <w:rFonts w:hint="eastAsia" w:ascii="仿宋_GB2312" w:hAnsi="Times New Roman" w:eastAsia="仿宋_GB2312"/>
          <w:sz w:val="32"/>
          <w:szCs w:val="32"/>
        </w:rPr>
      </w:pPr>
      <w:r>
        <w:rPr>
          <w:rFonts w:hint="eastAsia" w:ascii="仿宋_GB2312" w:hAnsi="Times New Roman" w:eastAsia="仿宋_GB2312"/>
          <w:sz w:val="32"/>
          <w:szCs w:val="32"/>
        </w:rPr>
        <w:t>农用地土壤污染预防、土壤污染状况调查、环境监测、环境质量类别划分、农用地土壤优先保护、监督管理等工作，由县级以上环境保护和农业主管部门按照本办法有关规定组织实施。</w:t>
      </w:r>
    </w:p>
    <w:p>
      <w:pPr>
        <w:keepNext w:val="0"/>
        <w:keepLines w:val="0"/>
        <w:pageBreakBefore w:val="0"/>
        <w:kinsoku/>
        <w:wordWrap/>
        <w:overflowPunct/>
        <w:topLinePunct/>
        <w:autoSpaceDE/>
        <w:autoSpaceDN/>
        <w:bidi w:val="0"/>
        <w:adjustRightInd w:val="0"/>
        <w:snapToGrid w:val="0"/>
        <w:spacing w:line="336" w:lineRule="auto"/>
        <w:ind w:firstLine="640" w:firstLineChars="200"/>
        <w:outlineLvl w:val="1"/>
        <w:rPr>
          <w:rFonts w:hint="eastAsia" w:ascii="仿宋_GB2312" w:hAnsi="Times New Roman" w:eastAsia="仿宋_GB2312"/>
          <w:sz w:val="32"/>
          <w:szCs w:val="32"/>
        </w:rPr>
      </w:pPr>
      <w:r>
        <w:rPr>
          <w:rFonts w:hint="eastAsia" w:ascii="黑体" w:hAnsi="黑体" w:eastAsia="黑体"/>
          <w:sz w:val="32"/>
          <w:szCs w:val="32"/>
        </w:rPr>
        <w:t>第四条</w:t>
      </w:r>
      <w:r>
        <w:rPr>
          <w:rFonts w:hint="eastAsia" w:ascii="仿宋_GB2312" w:hAnsi="Times New Roman" w:eastAsia="仿宋_GB2312"/>
          <w:b/>
          <w:sz w:val="32"/>
          <w:szCs w:val="32"/>
        </w:rPr>
        <w:t xml:space="preserve"> </w:t>
      </w:r>
      <w:r>
        <w:rPr>
          <w:rFonts w:hint="eastAsia" w:ascii="仿宋_GB2312" w:hAnsi="Times New Roman" w:eastAsia="仿宋_GB2312"/>
          <w:sz w:val="32"/>
          <w:szCs w:val="32"/>
        </w:rPr>
        <w:t>环境保护部会同农业部制定农用地土壤污染状况调查、环境监测、环境质量类别划分等技术规范。</w:t>
      </w:r>
    </w:p>
    <w:p>
      <w:pPr>
        <w:keepNext w:val="0"/>
        <w:keepLines w:val="0"/>
        <w:pageBreakBefore w:val="0"/>
        <w:kinsoku/>
        <w:wordWrap/>
        <w:overflowPunct/>
        <w:topLinePunct/>
        <w:autoSpaceDE/>
        <w:autoSpaceDN/>
        <w:bidi w:val="0"/>
        <w:adjustRightInd w:val="0"/>
        <w:snapToGrid w:val="0"/>
        <w:spacing w:line="336" w:lineRule="auto"/>
        <w:ind w:firstLine="640" w:firstLineChars="200"/>
        <w:outlineLvl w:val="1"/>
        <w:rPr>
          <w:rFonts w:hint="eastAsia" w:ascii="仿宋_GB2312" w:hAnsi="Times New Roman" w:eastAsia="仿宋_GB2312"/>
          <w:sz w:val="32"/>
          <w:szCs w:val="32"/>
        </w:rPr>
      </w:pPr>
      <w:r>
        <w:rPr>
          <w:rFonts w:hint="eastAsia" w:ascii="仿宋_GB2312" w:hAnsi="Times New Roman" w:eastAsia="仿宋_GB2312"/>
          <w:sz w:val="32"/>
          <w:szCs w:val="32"/>
        </w:rPr>
        <w:t>农业部会同环境保护部制定农用地土壤安全利用、严格管控、治理与修复、治理与修复效果评估等技术规范。</w:t>
      </w:r>
    </w:p>
    <w:p>
      <w:pPr>
        <w:keepNext w:val="0"/>
        <w:keepLines w:val="0"/>
        <w:pageBreakBefore w:val="0"/>
        <w:kinsoku/>
        <w:wordWrap/>
        <w:overflowPunct/>
        <w:topLinePunct/>
        <w:autoSpaceDE/>
        <w:autoSpaceDN/>
        <w:bidi w:val="0"/>
        <w:adjustRightInd w:val="0"/>
        <w:snapToGrid w:val="0"/>
        <w:spacing w:line="336" w:lineRule="auto"/>
        <w:ind w:firstLine="640" w:firstLineChars="200"/>
        <w:outlineLvl w:val="1"/>
        <w:rPr>
          <w:rFonts w:hint="eastAsia" w:ascii="仿宋_GB2312" w:hAnsi="Times New Roman" w:eastAsia="仿宋_GB2312"/>
          <w:sz w:val="32"/>
          <w:szCs w:val="32"/>
        </w:rPr>
      </w:pPr>
      <w:r>
        <w:rPr>
          <w:rFonts w:hint="eastAsia" w:ascii="黑体" w:hAnsi="黑体" w:eastAsia="黑体"/>
          <w:sz w:val="32"/>
          <w:szCs w:val="32"/>
        </w:rPr>
        <w:t>第五条</w:t>
      </w:r>
      <w:r>
        <w:rPr>
          <w:rFonts w:hint="eastAsia" w:ascii="仿宋_GB2312" w:hAnsi="Times New Roman" w:eastAsia="仿宋_GB2312"/>
          <w:b/>
          <w:sz w:val="32"/>
          <w:szCs w:val="32"/>
        </w:rPr>
        <w:t xml:space="preserve"> </w:t>
      </w:r>
      <w:r>
        <w:rPr>
          <w:rFonts w:hint="eastAsia" w:ascii="仿宋_GB2312" w:hAnsi="Times New Roman" w:eastAsia="仿宋_GB2312"/>
          <w:sz w:val="32"/>
          <w:szCs w:val="32"/>
        </w:rPr>
        <w:t>县级以上地方环境保护和农业主管部门在编制本行政区域的环境保护规划和农业发展规划时，应当包含农用地土壤污染防治工作的内容。</w:t>
      </w:r>
    </w:p>
    <w:p>
      <w:pPr>
        <w:keepNext w:val="0"/>
        <w:keepLines w:val="0"/>
        <w:pageBreakBefore w:val="0"/>
        <w:kinsoku/>
        <w:wordWrap/>
        <w:overflowPunct/>
        <w:topLinePunct/>
        <w:autoSpaceDE/>
        <w:autoSpaceDN/>
        <w:bidi w:val="0"/>
        <w:adjustRightInd w:val="0"/>
        <w:snapToGrid w:val="0"/>
        <w:spacing w:line="336" w:lineRule="auto"/>
        <w:ind w:firstLine="640" w:firstLineChars="200"/>
        <w:outlineLvl w:val="1"/>
        <w:rPr>
          <w:rFonts w:hint="eastAsia" w:ascii="仿宋_GB2312" w:hAnsi="Times New Roman" w:eastAsia="仿宋_GB2312"/>
          <w:sz w:val="32"/>
          <w:szCs w:val="32"/>
        </w:rPr>
      </w:pPr>
      <w:r>
        <w:rPr>
          <w:rFonts w:hint="eastAsia" w:ascii="黑体" w:hAnsi="黑体" w:eastAsia="黑体"/>
          <w:sz w:val="32"/>
          <w:szCs w:val="32"/>
        </w:rPr>
        <w:t>第六条</w:t>
      </w:r>
      <w:r>
        <w:rPr>
          <w:rFonts w:hint="eastAsia" w:ascii="仿宋_GB2312" w:hAnsi="Times New Roman" w:eastAsia="仿宋_GB2312"/>
          <w:b/>
          <w:sz w:val="32"/>
          <w:szCs w:val="32"/>
        </w:rPr>
        <w:t xml:space="preserve"> </w:t>
      </w:r>
      <w:r>
        <w:rPr>
          <w:rFonts w:hint="eastAsia" w:ascii="仿宋_GB2312" w:hAnsi="Times New Roman" w:eastAsia="仿宋_GB2312"/>
          <w:sz w:val="32"/>
          <w:szCs w:val="32"/>
        </w:rPr>
        <w:t>环境保护部会同农业部等部门组织建立全国农用地土壤环境管理信息系统（以下简称农用地环境信息系统），实行信息共享。</w:t>
      </w:r>
    </w:p>
    <w:p>
      <w:pPr>
        <w:keepNext w:val="0"/>
        <w:keepLines w:val="0"/>
        <w:pageBreakBefore w:val="0"/>
        <w:kinsoku/>
        <w:wordWrap/>
        <w:overflowPunct/>
        <w:topLinePunct/>
        <w:autoSpaceDE/>
        <w:autoSpaceDN/>
        <w:bidi w:val="0"/>
        <w:adjustRightInd w:val="0"/>
        <w:snapToGrid w:val="0"/>
        <w:spacing w:line="336" w:lineRule="auto"/>
        <w:ind w:firstLine="640" w:firstLineChars="200"/>
        <w:outlineLvl w:val="1"/>
        <w:rPr>
          <w:rFonts w:hint="eastAsia" w:ascii="仿宋_GB2312" w:hAnsi="Times New Roman" w:eastAsia="仿宋_GB2312"/>
          <w:sz w:val="32"/>
          <w:szCs w:val="32"/>
        </w:rPr>
      </w:pPr>
      <w:r>
        <w:rPr>
          <w:rFonts w:hint="eastAsia" w:ascii="仿宋_GB2312" w:hAnsi="Times New Roman" w:eastAsia="仿宋_GB2312"/>
          <w:sz w:val="32"/>
          <w:szCs w:val="32"/>
        </w:rPr>
        <w:t>县级以上地方环境保护主管部门、农业主管部门应当按照国家有关规定，在本行政区域内组织建设和应用农用地环境信息系统，并加强农用地土壤环境信息统计工作，健全农用地土壤环境信息档案，定期上传农用地环境信息系统，实行信息共享。</w:t>
      </w:r>
    </w:p>
    <w:p>
      <w:pPr>
        <w:keepNext w:val="0"/>
        <w:keepLines w:val="0"/>
        <w:pageBreakBefore w:val="0"/>
        <w:kinsoku/>
        <w:wordWrap/>
        <w:overflowPunct/>
        <w:topLinePunct/>
        <w:autoSpaceDE/>
        <w:autoSpaceDN/>
        <w:bidi w:val="0"/>
        <w:adjustRightInd w:val="0"/>
        <w:snapToGrid w:val="0"/>
        <w:spacing w:line="336" w:lineRule="auto"/>
        <w:ind w:firstLine="640" w:firstLineChars="200"/>
        <w:outlineLvl w:val="1"/>
        <w:rPr>
          <w:rFonts w:hint="eastAsia" w:ascii="仿宋_GB2312" w:hAnsi="Times New Roman" w:eastAsia="仿宋_GB2312"/>
          <w:sz w:val="32"/>
          <w:szCs w:val="32"/>
        </w:rPr>
      </w:pPr>
      <w:r>
        <w:rPr>
          <w:rFonts w:hint="eastAsia" w:ascii="黑体" w:hAnsi="黑体" w:eastAsia="黑体"/>
          <w:sz w:val="32"/>
          <w:szCs w:val="32"/>
        </w:rPr>
        <w:t>第七条</w:t>
      </w:r>
      <w:r>
        <w:rPr>
          <w:rFonts w:hint="eastAsia" w:ascii="仿宋_GB2312" w:hAnsi="Times New Roman" w:eastAsia="仿宋_GB2312"/>
          <w:b/>
          <w:sz w:val="32"/>
          <w:szCs w:val="32"/>
        </w:rPr>
        <w:t xml:space="preserve"> </w:t>
      </w:r>
      <w:r>
        <w:rPr>
          <w:rFonts w:hint="eastAsia" w:ascii="仿宋_GB2312" w:hAnsi="Times New Roman" w:eastAsia="仿宋_GB2312"/>
          <w:sz w:val="32"/>
          <w:szCs w:val="32"/>
        </w:rPr>
        <w:t>受委托从事农用地土壤污染防治相关活动的专业机构，以及受委托从事治理与修复效果评估的第三方机构，应当遵守有关环境保护标准和技术规范，并对其出具的技术文件的真实性、准确性、完整性负责。</w:t>
      </w:r>
    </w:p>
    <w:p>
      <w:pPr>
        <w:keepNext w:val="0"/>
        <w:keepLines w:val="0"/>
        <w:pageBreakBefore w:val="0"/>
        <w:kinsoku/>
        <w:wordWrap/>
        <w:overflowPunct/>
        <w:topLinePunct/>
        <w:autoSpaceDE/>
        <w:autoSpaceDN/>
        <w:bidi w:val="0"/>
        <w:adjustRightInd w:val="0"/>
        <w:snapToGrid w:val="0"/>
        <w:spacing w:line="336" w:lineRule="auto"/>
        <w:ind w:firstLine="640" w:firstLineChars="200"/>
        <w:outlineLvl w:val="1"/>
        <w:rPr>
          <w:rFonts w:hint="eastAsia" w:ascii="仿宋_GB2312" w:hAnsi="Times New Roman" w:eastAsia="仿宋_GB2312"/>
          <w:sz w:val="32"/>
          <w:szCs w:val="32"/>
        </w:rPr>
      </w:pPr>
      <w:r>
        <w:rPr>
          <w:rFonts w:hint="eastAsia" w:ascii="仿宋_GB2312" w:hAnsi="Times New Roman" w:eastAsia="仿宋_GB2312"/>
          <w:sz w:val="32"/>
          <w:szCs w:val="32"/>
        </w:rPr>
        <w:t>受委托从事治理与修复的专业机构，应当遵守国家有关环境保护标准和技术规范，在合同约定范围内开展工作，对治理与修复活动及其效果负责。</w:t>
      </w:r>
    </w:p>
    <w:p>
      <w:pPr>
        <w:keepNext w:val="0"/>
        <w:keepLines w:val="0"/>
        <w:pageBreakBefore w:val="0"/>
        <w:kinsoku/>
        <w:wordWrap/>
        <w:overflowPunct/>
        <w:topLinePunct/>
        <w:autoSpaceDE/>
        <w:autoSpaceDN/>
        <w:bidi w:val="0"/>
        <w:adjustRightInd w:val="0"/>
        <w:snapToGrid w:val="0"/>
        <w:spacing w:line="336" w:lineRule="auto"/>
        <w:ind w:firstLine="640" w:firstLineChars="200"/>
        <w:outlineLvl w:val="1"/>
        <w:rPr>
          <w:rFonts w:hint="eastAsia" w:ascii="仿宋_GB2312" w:hAnsi="Times New Roman" w:eastAsia="仿宋_GB2312"/>
          <w:sz w:val="32"/>
          <w:szCs w:val="32"/>
        </w:rPr>
      </w:pPr>
      <w:r>
        <w:rPr>
          <w:rFonts w:hint="eastAsia" w:ascii="仿宋_GB2312" w:hAnsi="Times New Roman" w:eastAsia="仿宋_GB2312"/>
          <w:sz w:val="32"/>
          <w:szCs w:val="32"/>
        </w:rPr>
        <w:t>受委托从事治理与修复的专业机构在治理与修复活动中弄虚作假，对造成的环境污染和生态破坏负有责任的，除依照有关法律法规接受处罚外，还应当依法与造成环境污染和生态破坏的其他责任者承担连带责任。</w:t>
      </w:r>
    </w:p>
    <w:p>
      <w:pPr>
        <w:keepNext w:val="0"/>
        <w:keepLines w:val="0"/>
        <w:pageBreakBefore w:val="0"/>
        <w:kinsoku/>
        <w:wordWrap/>
        <w:overflowPunct/>
        <w:topLinePunct/>
        <w:autoSpaceDE/>
        <w:autoSpaceDN/>
        <w:bidi w:val="0"/>
        <w:adjustRightInd w:val="0"/>
        <w:snapToGrid w:val="0"/>
        <w:spacing w:line="336" w:lineRule="auto"/>
        <w:ind w:firstLine="640" w:firstLineChars="200"/>
        <w:rPr>
          <w:rFonts w:hint="eastAsia" w:ascii="仿宋_GB2312" w:hAnsi="Times New Roman" w:eastAsia="仿宋_GB2312"/>
          <w:sz w:val="32"/>
          <w:szCs w:val="32"/>
        </w:rPr>
      </w:pPr>
    </w:p>
    <w:p>
      <w:pPr>
        <w:keepNext w:val="0"/>
        <w:keepLines w:val="0"/>
        <w:pageBreakBefore w:val="0"/>
        <w:numPr>
          <w:ilvl w:val="0"/>
          <w:numId w:val="1"/>
        </w:numPr>
        <w:kinsoku/>
        <w:wordWrap/>
        <w:overflowPunct/>
        <w:topLinePunct/>
        <w:autoSpaceDE/>
        <w:autoSpaceDN/>
        <w:bidi w:val="0"/>
        <w:adjustRightInd w:val="0"/>
        <w:snapToGrid w:val="0"/>
        <w:spacing w:line="336" w:lineRule="auto"/>
        <w:ind w:left="0" w:leftChars="0" w:firstLine="0" w:firstLineChars="0"/>
        <w:jc w:val="center"/>
        <w:outlineLvl w:val="0"/>
        <w:rPr>
          <w:rFonts w:hint="eastAsia" w:ascii="黑体" w:hAnsi="黑体" w:eastAsia="黑体"/>
          <w:sz w:val="32"/>
          <w:szCs w:val="32"/>
        </w:rPr>
      </w:pPr>
      <w:r>
        <w:rPr>
          <w:rFonts w:hint="eastAsia" w:ascii="黑体" w:hAnsi="黑体" w:eastAsia="黑体"/>
          <w:sz w:val="32"/>
          <w:szCs w:val="32"/>
        </w:rPr>
        <w:t xml:space="preserve"> 土壤污染预防</w:t>
      </w:r>
    </w:p>
    <w:p>
      <w:pPr>
        <w:keepNext w:val="0"/>
        <w:keepLines w:val="0"/>
        <w:pageBreakBefore w:val="0"/>
        <w:numPr>
          <w:numId w:val="0"/>
        </w:numPr>
        <w:kinsoku/>
        <w:wordWrap/>
        <w:overflowPunct/>
        <w:topLinePunct/>
        <w:autoSpaceDE/>
        <w:autoSpaceDN/>
        <w:bidi w:val="0"/>
        <w:adjustRightInd w:val="0"/>
        <w:snapToGrid w:val="0"/>
        <w:spacing w:line="336" w:lineRule="auto"/>
        <w:ind w:leftChars="0"/>
        <w:jc w:val="both"/>
        <w:outlineLvl w:val="0"/>
        <w:rPr>
          <w:rFonts w:hint="eastAsia" w:ascii="黑体" w:hAnsi="黑体" w:eastAsia="黑体"/>
          <w:sz w:val="32"/>
          <w:szCs w:val="32"/>
        </w:rPr>
      </w:pPr>
    </w:p>
    <w:p>
      <w:pPr>
        <w:keepNext w:val="0"/>
        <w:keepLines w:val="0"/>
        <w:pageBreakBefore w:val="0"/>
        <w:kinsoku/>
        <w:wordWrap/>
        <w:overflowPunct/>
        <w:topLinePunct/>
        <w:autoSpaceDE/>
        <w:autoSpaceDN/>
        <w:bidi w:val="0"/>
        <w:adjustRightInd w:val="0"/>
        <w:snapToGrid w:val="0"/>
        <w:spacing w:line="336" w:lineRule="auto"/>
        <w:ind w:firstLine="640" w:firstLineChars="200"/>
        <w:rPr>
          <w:rFonts w:hint="eastAsia" w:ascii="仿宋_GB2312" w:hAnsi="Times New Roman" w:eastAsia="仿宋_GB2312"/>
          <w:sz w:val="32"/>
          <w:szCs w:val="32"/>
        </w:rPr>
      </w:pPr>
      <w:r>
        <w:rPr>
          <w:rFonts w:hint="eastAsia" w:ascii="黑体" w:hAnsi="黑体" w:eastAsia="黑体"/>
          <w:sz w:val="32"/>
          <w:szCs w:val="32"/>
        </w:rPr>
        <w:t>第八条</w:t>
      </w:r>
      <w:r>
        <w:rPr>
          <w:rFonts w:hint="eastAsia" w:ascii="仿宋_GB2312" w:hAnsi="Times New Roman" w:eastAsia="仿宋_GB2312"/>
          <w:b/>
          <w:sz w:val="32"/>
          <w:szCs w:val="32"/>
        </w:rPr>
        <w:t xml:space="preserve"> </w:t>
      </w:r>
      <w:r>
        <w:rPr>
          <w:rFonts w:hint="eastAsia" w:ascii="仿宋_GB2312" w:hAnsi="Times New Roman" w:eastAsia="仿宋_GB2312"/>
          <w:sz w:val="32"/>
          <w:szCs w:val="32"/>
        </w:rPr>
        <w:t>排放污染物的企业事业单位和其他生产经营者应当采取有效措施，确保废水、废气排放和固体废物处理、处置符合国家有关规定要求，防止对周边农用地土壤造成污染。</w:t>
      </w:r>
    </w:p>
    <w:p>
      <w:pPr>
        <w:keepNext w:val="0"/>
        <w:keepLines w:val="0"/>
        <w:pageBreakBefore w:val="0"/>
        <w:kinsoku/>
        <w:wordWrap/>
        <w:overflowPunct/>
        <w:topLinePunct/>
        <w:autoSpaceDE/>
        <w:autoSpaceDN/>
        <w:bidi w:val="0"/>
        <w:adjustRightInd w:val="0"/>
        <w:snapToGrid w:val="0"/>
        <w:spacing w:line="336" w:lineRule="auto"/>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从事固体废物和化学品储存、运输、处置的企业，应当采取措施防止固体废物和化学品的泄露、渗漏、遗撒、扬散污染农用地。</w:t>
      </w:r>
    </w:p>
    <w:p>
      <w:pPr>
        <w:keepNext w:val="0"/>
        <w:keepLines w:val="0"/>
        <w:pageBreakBefore w:val="0"/>
        <w:kinsoku/>
        <w:wordWrap/>
        <w:overflowPunct/>
        <w:topLinePunct/>
        <w:autoSpaceDE/>
        <w:autoSpaceDN/>
        <w:bidi w:val="0"/>
        <w:adjustRightInd w:val="0"/>
        <w:snapToGrid w:val="0"/>
        <w:spacing w:line="336" w:lineRule="auto"/>
        <w:ind w:firstLine="640" w:firstLineChars="200"/>
        <w:rPr>
          <w:rFonts w:hint="eastAsia" w:ascii="仿宋_GB2312" w:hAnsi="Times New Roman" w:eastAsia="仿宋_GB2312"/>
          <w:sz w:val="32"/>
          <w:szCs w:val="32"/>
        </w:rPr>
      </w:pPr>
      <w:r>
        <w:rPr>
          <w:rFonts w:hint="eastAsia" w:ascii="黑体" w:hAnsi="黑体" w:eastAsia="黑体"/>
          <w:sz w:val="32"/>
          <w:szCs w:val="32"/>
        </w:rPr>
        <w:t>第九条</w:t>
      </w:r>
      <w:r>
        <w:rPr>
          <w:rFonts w:hint="eastAsia" w:ascii="仿宋_GB2312" w:hAnsi="Times New Roman" w:eastAsia="仿宋_GB2312"/>
          <w:b/>
          <w:sz w:val="32"/>
          <w:szCs w:val="32"/>
        </w:rPr>
        <w:t xml:space="preserve"> </w:t>
      </w:r>
      <w:r>
        <w:rPr>
          <w:rFonts w:hint="eastAsia" w:ascii="仿宋_GB2312" w:hAnsi="Times New Roman" w:eastAsia="仿宋_GB2312"/>
          <w:sz w:val="32"/>
          <w:szCs w:val="32"/>
        </w:rPr>
        <w:t>县级以上地方环境保护主管部门应当加强对企业事业单位和其他生产经营者排污行为的监管，将土壤污染防治作为环境执法的重要内容。</w:t>
      </w:r>
    </w:p>
    <w:p>
      <w:pPr>
        <w:keepNext w:val="0"/>
        <w:keepLines w:val="0"/>
        <w:pageBreakBefore w:val="0"/>
        <w:kinsoku/>
        <w:wordWrap/>
        <w:overflowPunct/>
        <w:topLinePunct/>
        <w:autoSpaceDE/>
        <w:autoSpaceDN/>
        <w:bidi w:val="0"/>
        <w:adjustRightInd w:val="0"/>
        <w:snapToGrid w:val="0"/>
        <w:spacing w:line="336" w:lineRule="auto"/>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设区的市级以上地方环境保护主管部门应当根据本行政区域内工矿企业分布和污染排放情况，确定土壤环境重点监管企业名单，上传农用地环境信息系统，实行动态更新，并向社会公布。</w:t>
      </w:r>
    </w:p>
    <w:p>
      <w:pPr>
        <w:keepNext w:val="0"/>
        <w:keepLines w:val="0"/>
        <w:pageBreakBefore w:val="0"/>
        <w:kinsoku/>
        <w:wordWrap/>
        <w:overflowPunct/>
        <w:topLinePunct/>
        <w:autoSpaceDE/>
        <w:autoSpaceDN/>
        <w:bidi w:val="0"/>
        <w:adjustRightInd w:val="0"/>
        <w:snapToGrid w:val="0"/>
        <w:spacing w:line="336" w:lineRule="auto"/>
        <w:ind w:firstLine="640" w:firstLineChars="200"/>
        <w:rPr>
          <w:rFonts w:hint="eastAsia" w:ascii="仿宋_GB2312" w:hAnsi="Times New Roman" w:eastAsia="仿宋_GB2312"/>
          <w:sz w:val="32"/>
          <w:szCs w:val="32"/>
        </w:rPr>
      </w:pPr>
      <w:r>
        <w:rPr>
          <w:rFonts w:hint="eastAsia" w:ascii="黑体" w:hAnsi="黑体" w:eastAsia="黑体"/>
          <w:sz w:val="32"/>
          <w:szCs w:val="32"/>
        </w:rPr>
        <w:t>第十条</w:t>
      </w:r>
      <w:r>
        <w:rPr>
          <w:rFonts w:hint="eastAsia" w:ascii="仿宋_GB2312" w:hAnsi="黑体" w:eastAsia="仿宋_GB2312"/>
          <w:sz w:val="32"/>
          <w:szCs w:val="32"/>
        </w:rPr>
        <w:t xml:space="preserve"> </w:t>
      </w:r>
      <w:r>
        <w:rPr>
          <w:rFonts w:hint="eastAsia" w:ascii="仿宋_GB2312" w:hAnsi="Times New Roman" w:eastAsia="仿宋_GB2312"/>
          <w:sz w:val="32"/>
          <w:szCs w:val="32"/>
        </w:rPr>
        <w:t>从事规模化畜禽养殖和农产品加工的单位和个人，应当按照相关规范要求，确定废物无害化处理方式和消纳场地。</w:t>
      </w:r>
    </w:p>
    <w:p>
      <w:pPr>
        <w:keepNext w:val="0"/>
        <w:keepLines w:val="0"/>
        <w:pageBreakBefore w:val="0"/>
        <w:kinsoku/>
        <w:wordWrap/>
        <w:overflowPunct/>
        <w:topLinePunct/>
        <w:autoSpaceDE/>
        <w:autoSpaceDN/>
        <w:bidi w:val="0"/>
        <w:adjustRightInd w:val="0"/>
        <w:snapToGrid w:val="0"/>
        <w:spacing w:line="336" w:lineRule="auto"/>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县级以上地方环境保护主管部门、农业主管部门应当依据法定职责加强畜禽养殖污染防治工作，指导畜禽养殖废弃物综合利用，防止畜禽养殖活动对农用地土壤环境造成污染。</w:t>
      </w:r>
    </w:p>
    <w:p>
      <w:pPr>
        <w:pStyle w:val="8"/>
        <w:keepNext w:val="0"/>
        <w:keepLines w:val="0"/>
        <w:pageBreakBefore w:val="0"/>
        <w:kinsoku/>
        <w:wordWrap/>
        <w:overflowPunct/>
        <w:topLinePunct/>
        <w:autoSpaceDE/>
        <w:autoSpaceDN/>
        <w:bidi w:val="0"/>
        <w:adjustRightInd w:val="0"/>
        <w:snapToGrid w:val="0"/>
        <w:spacing w:before="0" w:beforeAutospacing="0" w:after="0" w:afterAutospacing="0" w:line="336" w:lineRule="auto"/>
        <w:ind w:firstLine="640" w:firstLineChars="200"/>
        <w:jc w:val="both"/>
        <w:rPr>
          <w:rFonts w:hint="eastAsia" w:ascii="仿宋_GB2312" w:hAnsi="Times New Roman" w:eastAsia="仿宋_GB2312"/>
          <w:sz w:val="32"/>
          <w:szCs w:val="32"/>
        </w:rPr>
      </w:pPr>
      <w:r>
        <w:rPr>
          <w:rFonts w:hint="eastAsia" w:ascii="黑体" w:hAnsi="黑体" w:eastAsia="黑体"/>
          <w:kern w:val="2"/>
          <w:sz w:val="32"/>
          <w:szCs w:val="32"/>
        </w:rPr>
        <w:t>第十一条</w:t>
      </w:r>
      <w:r>
        <w:rPr>
          <w:rFonts w:hint="eastAsia" w:ascii="仿宋_GB2312" w:hAnsi="Times New Roman" w:eastAsia="仿宋_GB2312"/>
          <w:b/>
          <w:sz w:val="32"/>
          <w:szCs w:val="32"/>
        </w:rPr>
        <w:t xml:space="preserve"> </w:t>
      </w:r>
      <w:r>
        <w:rPr>
          <w:rFonts w:hint="eastAsia" w:ascii="仿宋_GB2312" w:hAnsi="Times New Roman" w:eastAsia="仿宋_GB2312"/>
          <w:sz w:val="32"/>
          <w:szCs w:val="32"/>
        </w:rPr>
        <w:t>县级以上地方农业主管部门应当加强农用地土壤污染防治知识宣传，提高农业生产者的农用地土壤环境保护意识，引导农业生产者合理使用肥料、农药、兽药、农用薄膜等农业投入品，根据科学的测土配方进行合理施肥，鼓励采取种养结合、轮作等良好农业生产措施。</w:t>
      </w:r>
    </w:p>
    <w:p>
      <w:pPr>
        <w:keepNext w:val="0"/>
        <w:keepLines w:val="0"/>
        <w:pageBreakBefore w:val="0"/>
        <w:kinsoku/>
        <w:wordWrap/>
        <w:overflowPunct/>
        <w:topLinePunct/>
        <w:autoSpaceDE/>
        <w:autoSpaceDN/>
        <w:bidi w:val="0"/>
        <w:adjustRightInd w:val="0"/>
        <w:snapToGrid w:val="0"/>
        <w:spacing w:line="336" w:lineRule="auto"/>
        <w:ind w:firstLine="640" w:firstLineChars="200"/>
        <w:rPr>
          <w:rFonts w:hint="eastAsia" w:ascii="仿宋_GB2312" w:hAnsi="Times New Roman" w:eastAsia="仿宋_GB2312"/>
          <w:sz w:val="32"/>
          <w:szCs w:val="32"/>
        </w:rPr>
      </w:pPr>
      <w:r>
        <w:rPr>
          <w:rFonts w:hint="eastAsia" w:ascii="黑体" w:hAnsi="黑体" w:eastAsia="黑体"/>
          <w:sz w:val="32"/>
          <w:szCs w:val="32"/>
        </w:rPr>
        <w:t>第十二条</w:t>
      </w:r>
      <w:r>
        <w:rPr>
          <w:rFonts w:hint="eastAsia" w:ascii="仿宋_GB2312" w:hAnsi="Times New Roman" w:eastAsia="仿宋_GB2312"/>
          <w:b/>
          <w:sz w:val="32"/>
          <w:szCs w:val="32"/>
        </w:rPr>
        <w:t xml:space="preserve"> </w:t>
      </w:r>
      <w:r>
        <w:rPr>
          <w:rFonts w:hint="eastAsia" w:ascii="仿宋_GB2312" w:hAnsi="Times New Roman" w:eastAsia="仿宋_GB2312"/>
          <w:sz w:val="32"/>
          <w:szCs w:val="32"/>
        </w:rPr>
        <w:t>禁止在农用地排放、倾倒、使用污泥、清淤底泥、尾矿（渣）等可能对土壤造成污染的固体废物。</w:t>
      </w:r>
    </w:p>
    <w:p>
      <w:pPr>
        <w:keepNext w:val="0"/>
        <w:keepLines w:val="0"/>
        <w:pageBreakBefore w:val="0"/>
        <w:kinsoku/>
        <w:wordWrap/>
        <w:overflowPunct/>
        <w:topLinePunct/>
        <w:autoSpaceDE/>
        <w:autoSpaceDN/>
        <w:bidi w:val="0"/>
        <w:adjustRightInd w:val="0"/>
        <w:snapToGrid w:val="0"/>
        <w:spacing w:line="336" w:lineRule="auto"/>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农田灌溉用水应当符合相应的水质标准，防止污染土壤、地下水和农产品。禁止向农田灌溉渠道排放工业废水或者医疗污水。向农田灌溉渠道排放城镇污水以及未综合利用的畜禽养殖废水、农产品加工废水的，应当保证其下游最近的灌溉取水点的水质符合农田灌溉水质标准。</w:t>
      </w:r>
    </w:p>
    <w:p>
      <w:pPr>
        <w:keepNext w:val="0"/>
        <w:keepLines w:val="0"/>
        <w:pageBreakBefore w:val="0"/>
        <w:kinsoku/>
        <w:wordWrap/>
        <w:overflowPunct/>
        <w:topLinePunct/>
        <w:autoSpaceDE/>
        <w:autoSpaceDN/>
        <w:bidi w:val="0"/>
        <w:adjustRightInd w:val="0"/>
        <w:snapToGrid w:val="0"/>
        <w:spacing w:line="336" w:lineRule="auto"/>
        <w:ind w:firstLine="640" w:firstLineChars="200"/>
        <w:rPr>
          <w:rFonts w:hint="eastAsia" w:ascii="仿宋_GB2312" w:hAnsi="Times New Roman" w:eastAsia="仿宋_GB2312"/>
          <w:sz w:val="32"/>
          <w:szCs w:val="32"/>
        </w:rPr>
      </w:pPr>
    </w:p>
    <w:p>
      <w:pPr>
        <w:keepNext w:val="0"/>
        <w:keepLines w:val="0"/>
        <w:pageBreakBefore w:val="0"/>
        <w:numPr>
          <w:ilvl w:val="0"/>
          <w:numId w:val="1"/>
        </w:numPr>
        <w:kinsoku/>
        <w:wordWrap/>
        <w:overflowPunct/>
        <w:topLinePunct/>
        <w:autoSpaceDE/>
        <w:autoSpaceDN/>
        <w:bidi w:val="0"/>
        <w:adjustRightInd w:val="0"/>
        <w:snapToGrid w:val="0"/>
        <w:spacing w:line="336" w:lineRule="auto"/>
        <w:ind w:left="0" w:leftChars="0" w:firstLine="0" w:firstLineChars="0"/>
        <w:jc w:val="center"/>
        <w:outlineLvl w:val="0"/>
        <w:rPr>
          <w:rFonts w:hint="eastAsia" w:ascii="黑体" w:hAnsi="黑体" w:eastAsia="黑体"/>
          <w:sz w:val="32"/>
          <w:szCs w:val="32"/>
        </w:rPr>
      </w:pPr>
      <w:r>
        <w:rPr>
          <w:rFonts w:hint="eastAsia" w:ascii="黑体" w:hAnsi="黑体" w:eastAsia="黑体"/>
          <w:sz w:val="32"/>
          <w:szCs w:val="32"/>
        </w:rPr>
        <w:t xml:space="preserve"> 调查与监测</w:t>
      </w:r>
    </w:p>
    <w:p>
      <w:pPr>
        <w:keepNext w:val="0"/>
        <w:keepLines w:val="0"/>
        <w:pageBreakBefore w:val="0"/>
        <w:numPr>
          <w:numId w:val="0"/>
        </w:numPr>
        <w:kinsoku/>
        <w:wordWrap/>
        <w:overflowPunct/>
        <w:topLinePunct/>
        <w:autoSpaceDE/>
        <w:autoSpaceDN/>
        <w:bidi w:val="0"/>
        <w:adjustRightInd w:val="0"/>
        <w:snapToGrid w:val="0"/>
        <w:spacing w:line="336" w:lineRule="auto"/>
        <w:ind w:leftChars="0"/>
        <w:jc w:val="both"/>
        <w:outlineLvl w:val="0"/>
        <w:rPr>
          <w:rFonts w:hint="eastAsia" w:ascii="黑体" w:hAnsi="黑体" w:eastAsia="黑体"/>
          <w:sz w:val="32"/>
          <w:szCs w:val="32"/>
        </w:rPr>
      </w:pPr>
    </w:p>
    <w:p>
      <w:pPr>
        <w:keepNext w:val="0"/>
        <w:keepLines w:val="0"/>
        <w:pageBreakBefore w:val="0"/>
        <w:kinsoku/>
        <w:wordWrap/>
        <w:overflowPunct/>
        <w:topLinePunct/>
        <w:autoSpaceDE/>
        <w:autoSpaceDN/>
        <w:bidi w:val="0"/>
        <w:adjustRightInd w:val="0"/>
        <w:snapToGrid w:val="0"/>
        <w:spacing w:line="336" w:lineRule="auto"/>
        <w:ind w:firstLine="640" w:firstLineChars="200"/>
        <w:outlineLvl w:val="1"/>
        <w:rPr>
          <w:rFonts w:hint="eastAsia" w:ascii="仿宋_GB2312" w:hAnsi="Times New Roman" w:eastAsia="仿宋_GB2312"/>
          <w:sz w:val="32"/>
          <w:szCs w:val="32"/>
        </w:rPr>
      </w:pPr>
      <w:r>
        <w:rPr>
          <w:rFonts w:hint="eastAsia" w:ascii="黑体" w:hAnsi="黑体" w:eastAsia="黑体"/>
          <w:sz w:val="32"/>
          <w:szCs w:val="32"/>
        </w:rPr>
        <w:t>第十三条</w:t>
      </w:r>
      <w:r>
        <w:rPr>
          <w:rFonts w:hint="eastAsia" w:ascii="仿宋_GB2312" w:hAnsi="Times New Roman" w:eastAsia="仿宋_GB2312"/>
          <w:b/>
          <w:sz w:val="32"/>
          <w:szCs w:val="32"/>
        </w:rPr>
        <w:t xml:space="preserve"> </w:t>
      </w:r>
      <w:r>
        <w:rPr>
          <w:rFonts w:hint="eastAsia" w:ascii="仿宋_GB2312" w:hAnsi="Times New Roman" w:eastAsia="仿宋_GB2312"/>
          <w:sz w:val="32"/>
          <w:szCs w:val="32"/>
        </w:rPr>
        <w:t>环境保护部会同农业部等部门建立农用地土壤污染状况定期调查制度，制定调查工作方案，每十年开展一次。</w:t>
      </w:r>
    </w:p>
    <w:p>
      <w:pPr>
        <w:keepNext w:val="0"/>
        <w:keepLines w:val="0"/>
        <w:pageBreakBefore w:val="0"/>
        <w:kinsoku/>
        <w:wordWrap/>
        <w:overflowPunct/>
        <w:topLinePunct/>
        <w:autoSpaceDE/>
        <w:autoSpaceDN/>
        <w:bidi w:val="0"/>
        <w:adjustRightInd w:val="0"/>
        <w:snapToGrid w:val="0"/>
        <w:spacing w:line="336" w:lineRule="auto"/>
        <w:ind w:firstLine="640" w:firstLineChars="200"/>
        <w:outlineLvl w:val="1"/>
        <w:rPr>
          <w:rFonts w:hint="eastAsia" w:ascii="仿宋_GB2312" w:hAnsi="Times New Roman" w:eastAsia="仿宋_GB2312"/>
          <w:color w:val="000000"/>
          <w:sz w:val="32"/>
          <w:szCs w:val="32"/>
        </w:rPr>
      </w:pPr>
      <w:r>
        <w:rPr>
          <w:rFonts w:hint="eastAsia" w:ascii="黑体" w:hAnsi="黑体" w:eastAsia="黑体"/>
          <w:sz w:val="32"/>
          <w:szCs w:val="32"/>
        </w:rPr>
        <w:t>第十四条</w:t>
      </w:r>
      <w:r>
        <w:rPr>
          <w:rFonts w:hint="eastAsia" w:ascii="仿宋_GB2312" w:hAnsi="Times New Roman" w:eastAsia="仿宋_GB2312"/>
          <w:b/>
          <w:color w:val="000000"/>
          <w:sz w:val="32"/>
          <w:szCs w:val="32"/>
        </w:rPr>
        <w:t xml:space="preserve"> </w:t>
      </w:r>
      <w:r>
        <w:rPr>
          <w:rFonts w:hint="eastAsia" w:ascii="仿宋_GB2312" w:hAnsi="Times New Roman" w:eastAsia="仿宋_GB2312"/>
          <w:color w:val="000000"/>
          <w:sz w:val="32"/>
          <w:szCs w:val="32"/>
        </w:rPr>
        <w:t>环境保护部会同农业部等部门建立全国土壤环境</w:t>
      </w:r>
      <w:r>
        <w:rPr>
          <w:rFonts w:hint="eastAsia" w:ascii="仿宋_GB2312" w:hAnsi="Times New Roman" w:eastAsia="仿宋_GB2312"/>
          <w:sz w:val="32"/>
          <w:szCs w:val="32"/>
        </w:rPr>
        <w:t>质量监</w:t>
      </w:r>
      <w:r>
        <w:rPr>
          <w:rFonts w:hint="eastAsia" w:ascii="仿宋_GB2312" w:hAnsi="Times New Roman" w:eastAsia="仿宋_GB2312"/>
          <w:color w:val="000000"/>
          <w:sz w:val="32"/>
          <w:szCs w:val="32"/>
        </w:rPr>
        <w:t>测网络，统一规划农用地土壤环境质量国控监测点位，规定监测要求，并组织实施全国农用地土壤环境监测工作。</w:t>
      </w:r>
    </w:p>
    <w:p>
      <w:pPr>
        <w:keepNext w:val="0"/>
        <w:keepLines w:val="0"/>
        <w:pageBreakBefore w:val="0"/>
        <w:kinsoku/>
        <w:wordWrap/>
        <w:overflowPunct/>
        <w:topLinePunct/>
        <w:autoSpaceDE/>
        <w:autoSpaceDN/>
        <w:bidi w:val="0"/>
        <w:adjustRightInd w:val="0"/>
        <w:snapToGrid w:val="0"/>
        <w:spacing w:line="336" w:lineRule="auto"/>
        <w:ind w:firstLine="640" w:firstLineChars="200"/>
        <w:outlineLvl w:val="1"/>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 xml:space="preserve">农用地土壤环境质量国控监测点位应当重点布设在粮食生产功能区、重要农产品生产保护区、特色农产品优势区以及污染风险较大的区域等。 </w:t>
      </w:r>
    </w:p>
    <w:p>
      <w:pPr>
        <w:keepNext w:val="0"/>
        <w:keepLines w:val="0"/>
        <w:pageBreakBefore w:val="0"/>
        <w:kinsoku/>
        <w:wordWrap/>
        <w:overflowPunct/>
        <w:topLinePunct/>
        <w:autoSpaceDE/>
        <w:autoSpaceDN/>
        <w:bidi w:val="0"/>
        <w:adjustRightInd w:val="0"/>
        <w:snapToGrid w:val="0"/>
        <w:spacing w:line="336" w:lineRule="auto"/>
        <w:ind w:firstLine="640" w:firstLineChars="200"/>
        <w:outlineLvl w:val="1"/>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县级以上地方环境保护主管部门会同农业等有关部门，可以根据工作需要，布设地方农用地土壤环境质量监测点位，增加特征污染物监测项目，提高监测频次，有关监测结果应当及时上传农用地环境信息系统。</w:t>
      </w:r>
    </w:p>
    <w:p>
      <w:pPr>
        <w:keepNext w:val="0"/>
        <w:keepLines w:val="0"/>
        <w:pageBreakBefore w:val="0"/>
        <w:kinsoku/>
        <w:wordWrap/>
        <w:overflowPunct/>
        <w:topLinePunct/>
        <w:autoSpaceDE/>
        <w:autoSpaceDN/>
        <w:bidi w:val="0"/>
        <w:adjustRightInd w:val="0"/>
        <w:snapToGrid w:val="0"/>
        <w:spacing w:line="336" w:lineRule="auto"/>
        <w:ind w:firstLine="640" w:firstLineChars="200"/>
        <w:outlineLvl w:val="1"/>
        <w:rPr>
          <w:rFonts w:hint="eastAsia" w:ascii="仿宋_GB2312" w:hAnsi="Times New Roman" w:eastAsia="仿宋_GB2312"/>
          <w:sz w:val="32"/>
          <w:szCs w:val="32"/>
        </w:rPr>
      </w:pPr>
      <w:r>
        <w:rPr>
          <w:rFonts w:hint="eastAsia" w:ascii="黑体" w:hAnsi="黑体" w:eastAsia="黑体"/>
          <w:sz w:val="32"/>
          <w:szCs w:val="32"/>
        </w:rPr>
        <w:t>第十五条</w:t>
      </w:r>
      <w:r>
        <w:rPr>
          <w:rFonts w:hint="eastAsia" w:ascii="仿宋_GB2312" w:hAnsi="Times New Roman" w:eastAsia="仿宋_GB2312"/>
          <w:b/>
          <w:sz w:val="32"/>
          <w:szCs w:val="32"/>
        </w:rPr>
        <w:t xml:space="preserve"> </w:t>
      </w:r>
      <w:r>
        <w:rPr>
          <w:rFonts w:hint="eastAsia" w:ascii="仿宋_GB2312" w:hAnsi="Times New Roman" w:eastAsia="仿宋_GB2312"/>
          <w:sz w:val="32"/>
          <w:szCs w:val="32"/>
        </w:rPr>
        <w:t>县级以上农业主管部门应当根据不同区域的农产品质量安全情况，组织实施耕地土壤与农产品协同监测，开展风险评估，根据监测评估结果，优化调整安全利用措施，并将监测结果及时上传农用地环境信息系统。</w:t>
      </w:r>
    </w:p>
    <w:p>
      <w:pPr>
        <w:keepNext w:val="0"/>
        <w:keepLines w:val="0"/>
        <w:pageBreakBefore w:val="0"/>
        <w:kinsoku/>
        <w:wordWrap/>
        <w:overflowPunct/>
        <w:topLinePunct/>
        <w:autoSpaceDE/>
        <w:autoSpaceDN/>
        <w:bidi w:val="0"/>
        <w:adjustRightInd w:val="0"/>
        <w:snapToGrid w:val="0"/>
        <w:spacing w:line="336" w:lineRule="auto"/>
        <w:ind w:firstLine="640" w:firstLineChars="200"/>
        <w:rPr>
          <w:rFonts w:hint="eastAsia" w:ascii="仿宋_GB2312" w:hAnsi="Times New Roman" w:eastAsia="仿宋_GB2312"/>
          <w:sz w:val="32"/>
          <w:szCs w:val="32"/>
        </w:rPr>
      </w:pPr>
    </w:p>
    <w:p>
      <w:pPr>
        <w:keepNext w:val="0"/>
        <w:keepLines w:val="0"/>
        <w:pageBreakBefore w:val="0"/>
        <w:numPr>
          <w:ilvl w:val="0"/>
          <w:numId w:val="1"/>
        </w:numPr>
        <w:kinsoku/>
        <w:wordWrap/>
        <w:overflowPunct/>
        <w:topLinePunct/>
        <w:autoSpaceDE/>
        <w:autoSpaceDN/>
        <w:bidi w:val="0"/>
        <w:adjustRightInd w:val="0"/>
        <w:snapToGrid w:val="0"/>
        <w:spacing w:line="336" w:lineRule="auto"/>
        <w:ind w:left="0" w:leftChars="0" w:firstLine="0" w:firstLineChars="0"/>
        <w:jc w:val="center"/>
        <w:outlineLvl w:val="0"/>
        <w:rPr>
          <w:rFonts w:hint="eastAsia" w:ascii="黑体" w:hAnsi="黑体" w:eastAsia="黑体"/>
          <w:sz w:val="32"/>
          <w:szCs w:val="32"/>
        </w:rPr>
      </w:pPr>
      <w:r>
        <w:rPr>
          <w:rFonts w:hint="eastAsia" w:ascii="黑体" w:hAnsi="黑体" w:eastAsia="黑体"/>
          <w:sz w:val="32"/>
          <w:szCs w:val="32"/>
        </w:rPr>
        <w:t xml:space="preserve"> 分类管理</w:t>
      </w:r>
    </w:p>
    <w:p>
      <w:pPr>
        <w:keepNext w:val="0"/>
        <w:keepLines w:val="0"/>
        <w:pageBreakBefore w:val="0"/>
        <w:numPr>
          <w:numId w:val="0"/>
        </w:numPr>
        <w:kinsoku/>
        <w:wordWrap/>
        <w:overflowPunct/>
        <w:topLinePunct/>
        <w:autoSpaceDE/>
        <w:autoSpaceDN/>
        <w:bidi w:val="0"/>
        <w:adjustRightInd w:val="0"/>
        <w:snapToGrid w:val="0"/>
        <w:spacing w:line="336" w:lineRule="auto"/>
        <w:ind w:leftChars="0"/>
        <w:jc w:val="both"/>
        <w:outlineLvl w:val="0"/>
        <w:rPr>
          <w:rFonts w:hint="eastAsia" w:ascii="黑体" w:hAnsi="黑体" w:eastAsia="黑体"/>
          <w:sz w:val="32"/>
          <w:szCs w:val="32"/>
        </w:rPr>
      </w:pPr>
    </w:p>
    <w:p>
      <w:pPr>
        <w:keepNext w:val="0"/>
        <w:keepLines w:val="0"/>
        <w:pageBreakBefore w:val="0"/>
        <w:kinsoku/>
        <w:wordWrap/>
        <w:overflowPunct/>
        <w:topLinePunct/>
        <w:autoSpaceDE/>
        <w:autoSpaceDN/>
        <w:bidi w:val="0"/>
        <w:adjustRightInd w:val="0"/>
        <w:snapToGrid w:val="0"/>
        <w:spacing w:line="336" w:lineRule="auto"/>
        <w:ind w:firstLine="640" w:firstLineChars="200"/>
        <w:outlineLvl w:val="1"/>
        <w:rPr>
          <w:rFonts w:hint="eastAsia" w:ascii="仿宋_GB2312" w:hAnsi="Times New Roman" w:eastAsia="仿宋_GB2312"/>
          <w:sz w:val="32"/>
          <w:szCs w:val="32"/>
        </w:rPr>
      </w:pPr>
      <w:r>
        <w:rPr>
          <w:rFonts w:hint="eastAsia" w:ascii="黑体" w:hAnsi="黑体" w:eastAsia="黑体"/>
          <w:sz w:val="32"/>
          <w:szCs w:val="32"/>
        </w:rPr>
        <w:t>第十六条</w:t>
      </w:r>
      <w:r>
        <w:rPr>
          <w:rFonts w:hint="eastAsia" w:ascii="仿宋_GB2312" w:hAnsi="Times New Roman" w:eastAsia="仿宋_GB2312"/>
          <w:b/>
          <w:sz w:val="32"/>
          <w:szCs w:val="32"/>
        </w:rPr>
        <w:t xml:space="preserve"> </w:t>
      </w:r>
      <w:r>
        <w:rPr>
          <w:rFonts w:hint="eastAsia" w:ascii="仿宋_GB2312" w:hAnsi="Times New Roman" w:eastAsia="仿宋_GB2312"/>
          <w:sz w:val="32"/>
          <w:szCs w:val="32"/>
        </w:rPr>
        <w:t>省级农业主管部门会同环境保护主管部门，按照国家有关技术规范，根据土壤污染程度、农产品质量情况，组织开展耕地土壤环境质量类别划分工作，将耕地划分为优先保护类、安全利用类和严格管控类，划分结果报省级人民政府审定，并根据土地利用变更和土壤环境质量变化情况，定期对各类别农用地面积、分布等信息进行更新，数据上传至农用地环境信息系统。</w:t>
      </w:r>
    </w:p>
    <w:p>
      <w:pPr>
        <w:keepNext w:val="0"/>
        <w:keepLines w:val="0"/>
        <w:pageBreakBefore w:val="0"/>
        <w:kinsoku/>
        <w:wordWrap/>
        <w:overflowPunct/>
        <w:topLinePunct/>
        <w:autoSpaceDE/>
        <w:autoSpaceDN/>
        <w:bidi w:val="0"/>
        <w:adjustRightInd w:val="0"/>
        <w:snapToGrid w:val="0"/>
        <w:spacing w:line="336" w:lineRule="auto"/>
        <w:ind w:firstLine="640" w:firstLineChars="200"/>
        <w:outlineLvl w:val="1"/>
        <w:rPr>
          <w:rFonts w:hint="eastAsia" w:ascii="仿宋_GB2312" w:hAnsi="Times New Roman" w:eastAsia="仿宋_GB2312"/>
          <w:sz w:val="32"/>
          <w:szCs w:val="32"/>
        </w:rPr>
      </w:pPr>
      <w:r>
        <w:rPr>
          <w:rFonts w:hint="eastAsia" w:ascii="黑体" w:hAnsi="黑体" w:eastAsia="黑体"/>
          <w:sz w:val="32"/>
          <w:szCs w:val="32"/>
        </w:rPr>
        <w:t>第十七条</w:t>
      </w:r>
      <w:r>
        <w:rPr>
          <w:rFonts w:hint="eastAsia" w:ascii="仿宋_GB2312" w:hAnsi="Times New Roman" w:eastAsia="仿宋_GB2312"/>
          <w:b/>
          <w:sz w:val="32"/>
          <w:szCs w:val="32"/>
        </w:rPr>
        <w:t xml:space="preserve"> </w:t>
      </w:r>
      <w:r>
        <w:rPr>
          <w:rFonts w:hint="eastAsia" w:ascii="仿宋_GB2312" w:hAnsi="Times New Roman" w:eastAsia="仿宋_GB2312"/>
          <w:sz w:val="32"/>
          <w:szCs w:val="32"/>
        </w:rPr>
        <w:t>县级以上地方农业主管部门应当根据永久基本农田划定工作要求，积极配合相关部门将符合条件的优先保护类耕地划为永久基本农田，纳入粮食生产功能区和重要农产品生产保护区建设，实行严格保护，确保其面积不减少，耕地污染程度不上升。在优先保护类耕地集中的地区，优先开展高标准农田建设。</w:t>
      </w:r>
    </w:p>
    <w:p>
      <w:pPr>
        <w:keepNext w:val="0"/>
        <w:keepLines w:val="0"/>
        <w:pageBreakBefore w:val="0"/>
        <w:kinsoku/>
        <w:wordWrap/>
        <w:overflowPunct/>
        <w:topLinePunct/>
        <w:autoSpaceDE/>
        <w:autoSpaceDN/>
        <w:bidi w:val="0"/>
        <w:adjustRightInd w:val="0"/>
        <w:snapToGrid w:val="0"/>
        <w:spacing w:line="336" w:lineRule="auto"/>
        <w:ind w:firstLine="640" w:firstLineChars="200"/>
        <w:outlineLvl w:val="1"/>
        <w:rPr>
          <w:rFonts w:hint="eastAsia" w:ascii="仿宋_GB2312" w:hAnsi="Times New Roman" w:eastAsia="仿宋_GB2312"/>
          <w:sz w:val="32"/>
          <w:szCs w:val="32"/>
        </w:rPr>
      </w:pPr>
      <w:r>
        <w:rPr>
          <w:rFonts w:hint="eastAsia" w:ascii="黑体" w:hAnsi="黑体" w:eastAsia="黑体"/>
          <w:sz w:val="32"/>
          <w:szCs w:val="32"/>
        </w:rPr>
        <w:t>第十八条</w:t>
      </w:r>
      <w:r>
        <w:rPr>
          <w:rFonts w:hint="eastAsia" w:ascii="仿宋_GB2312" w:hAnsi="Times New Roman" w:eastAsia="仿宋_GB2312"/>
          <w:b/>
          <w:sz w:val="32"/>
          <w:szCs w:val="32"/>
        </w:rPr>
        <w:t xml:space="preserve"> </w:t>
      </w:r>
      <w:r>
        <w:rPr>
          <w:rFonts w:hint="eastAsia" w:ascii="仿宋_GB2312" w:hAnsi="Times New Roman" w:eastAsia="仿宋_GB2312"/>
          <w:sz w:val="32"/>
          <w:szCs w:val="32"/>
        </w:rPr>
        <w:t>严格控制在优先保护类耕地集中区域新建有色金属冶炼、石油加工、化工、焦化、电镀、制革等行业企业，有关环境保护主管部门依法不予审批可能造成耕地土壤污染的建设项目环境影响报告书或者报告表。优先保护类耕地集中区域现有可能造成土壤污染的相关行业企业应当按照有关规定采取措施，防止对耕地造成污染。</w:t>
      </w:r>
    </w:p>
    <w:p>
      <w:pPr>
        <w:keepNext w:val="0"/>
        <w:keepLines w:val="0"/>
        <w:pageBreakBefore w:val="0"/>
        <w:kinsoku/>
        <w:wordWrap/>
        <w:overflowPunct/>
        <w:topLinePunct/>
        <w:autoSpaceDE/>
        <w:autoSpaceDN/>
        <w:bidi w:val="0"/>
        <w:adjustRightInd w:val="0"/>
        <w:snapToGrid w:val="0"/>
        <w:spacing w:line="336" w:lineRule="auto"/>
        <w:ind w:firstLine="640" w:firstLineChars="200"/>
        <w:outlineLvl w:val="1"/>
        <w:rPr>
          <w:rFonts w:hint="eastAsia" w:ascii="仿宋_GB2312" w:hAnsi="Times New Roman" w:eastAsia="仿宋_GB2312"/>
          <w:sz w:val="32"/>
          <w:szCs w:val="32"/>
        </w:rPr>
      </w:pPr>
      <w:r>
        <w:rPr>
          <w:rFonts w:hint="eastAsia" w:ascii="黑体" w:hAnsi="黑体" w:eastAsia="黑体"/>
          <w:sz w:val="32"/>
          <w:szCs w:val="32"/>
        </w:rPr>
        <w:t>第十九条</w:t>
      </w:r>
      <w:r>
        <w:rPr>
          <w:rFonts w:hint="eastAsia" w:ascii="仿宋_GB2312" w:hAnsi="Times New Roman" w:eastAsia="仿宋_GB2312"/>
          <w:b/>
          <w:sz w:val="32"/>
          <w:szCs w:val="32"/>
        </w:rPr>
        <w:t xml:space="preserve"> </w:t>
      </w:r>
      <w:r>
        <w:rPr>
          <w:rFonts w:hint="eastAsia" w:ascii="仿宋_GB2312" w:hAnsi="Times New Roman" w:eastAsia="仿宋_GB2312"/>
          <w:sz w:val="32"/>
          <w:szCs w:val="32"/>
        </w:rPr>
        <w:t>对安全利用类耕地，应当优先采取农艺调控、替代种植、轮作、间作等措施，阻断或者减少污染物和其他有毒有害物质进入农作物可食部分，降低农产品超标风险。</w:t>
      </w:r>
    </w:p>
    <w:p>
      <w:pPr>
        <w:keepNext w:val="0"/>
        <w:keepLines w:val="0"/>
        <w:pageBreakBefore w:val="0"/>
        <w:kinsoku/>
        <w:wordWrap/>
        <w:overflowPunct/>
        <w:topLinePunct/>
        <w:autoSpaceDE/>
        <w:autoSpaceDN/>
        <w:bidi w:val="0"/>
        <w:adjustRightInd w:val="0"/>
        <w:snapToGrid w:val="0"/>
        <w:spacing w:line="336" w:lineRule="auto"/>
        <w:ind w:firstLine="640" w:firstLineChars="200"/>
        <w:outlineLvl w:val="1"/>
        <w:rPr>
          <w:rFonts w:hint="eastAsia" w:ascii="仿宋_GB2312" w:hAnsi="Times New Roman" w:eastAsia="仿宋_GB2312"/>
          <w:sz w:val="32"/>
          <w:szCs w:val="32"/>
        </w:rPr>
      </w:pPr>
      <w:r>
        <w:rPr>
          <w:rFonts w:hint="eastAsia" w:ascii="仿宋_GB2312" w:hAnsi="Times New Roman" w:eastAsia="仿宋_GB2312"/>
          <w:sz w:val="32"/>
          <w:szCs w:val="32"/>
        </w:rPr>
        <w:t>对严格管控类耕地，主要采取种植结构调整或者按照国家计划经批准后进行退耕还林还草等风险管控措施。</w:t>
      </w:r>
    </w:p>
    <w:p>
      <w:pPr>
        <w:keepNext w:val="0"/>
        <w:keepLines w:val="0"/>
        <w:pageBreakBefore w:val="0"/>
        <w:kinsoku/>
        <w:wordWrap/>
        <w:overflowPunct/>
        <w:topLinePunct/>
        <w:autoSpaceDE/>
        <w:autoSpaceDN/>
        <w:bidi w:val="0"/>
        <w:adjustRightInd w:val="0"/>
        <w:snapToGrid w:val="0"/>
        <w:spacing w:line="336" w:lineRule="auto"/>
        <w:ind w:firstLine="640" w:firstLineChars="200"/>
        <w:outlineLvl w:val="1"/>
        <w:rPr>
          <w:rFonts w:hint="eastAsia" w:ascii="仿宋_GB2312" w:hAnsi="Times New Roman" w:eastAsia="仿宋_GB2312"/>
          <w:sz w:val="32"/>
          <w:szCs w:val="32"/>
        </w:rPr>
      </w:pPr>
      <w:r>
        <w:rPr>
          <w:rFonts w:hint="eastAsia" w:ascii="仿宋_GB2312" w:hAnsi="Times New Roman" w:eastAsia="仿宋_GB2312"/>
          <w:sz w:val="32"/>
          <w:szCs w:val="32"/>
        </w:rPr>
        <w:t>对需要采取治理与修复工程措施的安全利用类或者严格管控类耕地，应当优先采取不影响农业生产、不降低土壤生产功能的生物修复措施，或辅助采取物理、化学治理与修复措施。</w:t>
      </w:r>
    </w:p>
    <w:p>
      <w:pPr>
        <w:keepNext w:val="0"/>
        <w:keepLines w:val="0"/>
        <w:pageBreakBefore w:val="0"/>
        <w:kinsoku/>
        <w:wordWrap/>
        <w:overflowPunct/>
        <w:topLinePunct/>
        <w:autoSpaceDE/>
        <w:autoSpaceDN/>
        <w:bidi w:val="0"/>
        <w:adjustRightInd w:val="0"/>
        <w:snapToGrid w:val="0"/>
        <w:spacing w:line="336" w:lineRule="auto"/>
        <w:ind w:firstLine="640" w:firstLineChars="200"/>
        <w:outlineLvl w:val="1"/>
        <w:rPr>
          <w:rFonts w:hint="eastAsia" w:ascii="仿宋_GB2312" w:hAnsi="Times New Roman" w:eastAsia="仿宋_GB2312"/>
          <w:sz w:val="32"/>
          <w:szCs w:val="32"/>
        </w:rPr>
      </w:pPr>
      <w:r>
        <w:rPr>
          <w:rFonts w:hint="eastAsia" w:ascii="黑体" w:hAnsi="黑体" w:eastAsia="黑体"/>
          <w:sz w:val="32"/>
          <w:szCs w:val="32"/>
        </w:rPr>
        <w:t>第二十条</w:t>
      </w:r>
      <w:r>
        <w:rPr>
          <w:rFonts w:hint="eastAsia" w:ascii="仿宋_GB2312" w:hAnsi="Times New Roman" w:eastAsia="仿宋_GB2312"/>
          <w:b/>
          <w:sz w:val="32"/>
          <w:szCs w:val="32"/>
        </w:rPr>
        <w:t xml:space="preserve"> </w:t>
      </w:r>
      <w:r>
        <w:rPr>
          <w:rFonts w:hint="eastAsia" w:ascii="仿宋_GB2312" w:hAnsi="Times New Roman" w:eastAsia="仿宋_GB2312"/>
          <w:sz w:val="32"/>
          <w:szCs w:val="32"/>
        </w:rPr>
        <w:t>县级以上地方农业主管部门应当根据农用地土壤安全利用相关技术规范要求，结合当地实际情况，组织制定农用地安全利用方案，报所在地人民政府批准后实施，并上传农用地环境信息系统。</w:t>
      </w:r>
    </w:p>
    <w:p>
      <w:pPr>
        <w:keepNext w:val="0"/>
        <w:keepLines w:val="0"/>
        <w:pageBreakBefore w:val="0"/>
        <w:kinsoku/>
        <w:wordWrap/>
        <w:overflowPunct/>
        <w:topLinePunct/>
        <w:autoSpaceDE/>
        <w:autoSpaceDN/>
        <w:bidi w:val="0"/>
        <w:adjustRightInd w:val="0"/>
        <w:snapToGrid w:val="0"/>
        <w:spacing w:line="336" w:lineRule="auto"/>
        <w:ind w:firstLine="640" w:firstLineChars="200"/>
        <w:outlineLvl w:val="1"/>
        <w:rPr>
          <w:rFonts w:hint="eastAsia" w:ascii="仿宋_GB2312" w:hAnsi="Times New Roman" w:eastAsia="仿宋_GB2312"/>
          <w:sz w:val="32"/>
          <w:szCs w:val="32"/>
        </w:rPr>
      </w:pPr>
      <w:r>
        <w:rPr>
          <w:rFonts w:hint="eastAsia" w:ascii="仿宋_GB2312" w:hAnsi="Times New Roman" w:eastAsia="仿宋_GB2312"/>
          <w:sz w:val="32"/>
          <w:szCs w:val="32"/>
        </w:rPr>
        <w:t>农用地安全利用方案应当包括以下风险管控措施：</w:t>
      </w:r>
    </w:p>
    <w:p>
      <w:pPr>
        <w:keepNext w:val="0"/>
        <w:keepLines w:val="0"/>
        <w:pageBreakBefore w:val="0"/>
        <w:kinsoku/>
        <w:wordWrap/>
        <w:overflowPunct/>
        <w:topLinePunct/>
        <w:autoSpaceDE/>
        <w:autoSpaceDN/>
        <w:bidi w:val="0"/>
        <w:adjustRightInd w:val="0"/>
        <w:snapToGrid w:val="0"/>
        <w:spacing w:line="336" w:lineRule="auto"/>
        <w:ind w:firstLine="640" w:firstLineChars="200"/>
        <w:outlineLvl w:val="1"/>
        <w:rPr>
          <w:rFonts w:hint="eastAsia" w:ascii="仿宋_GB2312" w:hAnsi="Times New Roman" w:eastAsia="仿宋_GB2312"/>
          <w:sz w:val="32"/>
          <w:szCs w:val="32"/>
        </w:rPr>
      </w:pPr>
      <w:r>
        <w:rPr>
          <w:rFonts w:hint="eastAsia" w:ascii="仿宋_GB2312" w:hAnsi="Times New Roman" w:eastAsia="仿宋_GB2312"/>
          <w:sz w:val="32"/>
          <w:szCs w:val="32"/>
        </w:rPr>
        <w:t>（一）针对主要农作物种类、品种和农作制度等具体情况，推广低积累品种替代、水肥调控、土壤调理等农艺调控措施，降低农产品有害物质超标风险；</w:t>
      </w:r>
    </w:p>
    <w:p>
      <w:pPr>
        <w:keepNext w:val="0"/>
        <w:keepLines w:val="0"/>
        <w:pageBreakBefore w:val="0"/>
        <w:kinsoku/>
        <w:wordWrap/>
        <w:overflowPunct/>
        <w:topLinePunct/>
        <w:autoSpaceDE/>
        <w:autoSpaceDN/>
        <w:bidi w:val="0"/>
        <w:adjustRightInd w:val="0"/>
        <w:snapToGrid w:val="0"/>
        <w:spacing w:line="336" w:lineRule="auto"/>
        <w:ind w:firstLine="640" w:firstLineChars="200"/>
        <w:outlineLvl w:val="1"/>
        <w:rPr>
          <w:rFonts w:hint="eastAsia" w:ascii="仿宋_GB2312" w:hAnsi="Times New Roman" w:eastAsia="仿宋_GB2312"/>
          <w:sz w:val="32"/>
          <w:szCs w:val="32"/>
        </w:rPr>
      </w:pPr>
      <w:r>
        <w:rPr>
          <w:rFonts w:hint="eastAsia" w:ascii="仿宋_GB2312" w:hAnsi="Times New Roman" w:eastAsia="仿宋_GB2312"/>
          <w:sz w:val="32"/>
          <w:szCs w:val="32"/>
        </w:rPr>
        <w:t>（二）定期开展农产品质量安全监测和调查评估，实施跟踪监测，根据监测和评估结果及时优化调整农艺调控措施。</w:t>
      </w:r>
    </w:p>
    <w:p>
      <w:pPr>
        <w:keepNext w:val="0"/>
        <w:keepLines w:val="0"/>
        <w:pageBreakBefore w:val="0"/>
        <w:kinsoku/>
        <w:wordWrap/>
        <w:overflowPunct/>
        <w:topLinePunct/>
        <w:autoSpaceDE/>
        <w:autoSpaceDN/>
        <w:bidi w:val="0"/>
        <w:adjustRightInd w:val="0"/>
        <w:snapToGrid w:val="0"/>
        <w:spacing w:line="336" w:lineRule="auto"/>
        <w:ind w:firstLine="640" w:firstLineChars="200"/>
        <w:outlineLvl w:val="1"/>
        <w:rPr>
          <w:rFonts w:hint="eastAsia" w:ascii="仿宋_GB2312" w:hAnsi="Times New Roman" w:eastAsia="仿宋_GB2312"/>
          <w:sz w:val="32"/>
          <w:szCs w:val="32"/>
        </w:rPr>
      </w:pPr>
      <w:r>
        <w:rPr>
          <w:rFonts w:hint="eastAsia" w:ascii="黑体" w:hAnsi="黑体" w:eastAsia="黑体"/>
          <w:sz w:val="32"/>
          <w:szCs w:val="32"/>
        </w:rPr>
        <w:t>第二十一条</w:t>
      </w:r>
      <w:r>
        <w:rPr>
          <w:rFonts w:hint="eastAsia" w:ascii="仿宋_GB2312" w:hAnsi="Times New Roman" w:eastAsia="仿宋_GB2312"/>
          <w:b/>
          <w:sz w:val="32"/>
          <w:szCs w:val="32"/>
        </w:rPr>
        <w:t xml:space="preserve"> </w:t>
      </w:r>
      <w:r>
        <w:rPr>
          <w:rFonts w:hint="eastAsia" w:ascii="仿宋_GB2312" w:hAnsi="Times New Roman" w:eastAsia="仿宋_GB2312"/>
          <w:sz w:val="32"/>
          <w:szCs w:val="32"/>
        </w:rPr>
        <w:t>对需要采取治理与修复工程措施的受污染耕地，县级以上地方农业主管部门应当组织制定土壤污染治理与修复方案，报所在地人民政府批准后实施，并上传农用地环境信息系统。</w:t>
      </w:r>
    </w:p>
    <w:p>
      <w:pPr>
        <w:keepNext w:val="0"/>
        <w:keepLines w:val="0"/>
        <w:pageBreakBefore w:val="0"/>
        <w:kinsoku/>
        <w:wordWrap/>
        <w:overflowPunct/>
        <w:topLinePunct/>
        <w:autoSpaceDE/>
        <w:autoSpaceDN/>
        <w:bidi w:val="0"/>
        <w:adjustRightInd w:val="0"/>
        <w:snapToGrid w:val="0"/>
        <w:spacing w:line="336" w:lineRule="auto"/>
        <w:ind w:firstLine="640" w:firstLineChars="200"/>
        <w:outlineLvl w:val="1"/>
        <w:rPr>
          <w:rFonts w:hint="eastAsia" w:ascii="仿宋_GB2312" w:hAnsi="Times New Roman" w:eastAsia="仿宋_GB2312"/>
          <w:sz w:val="32"/>
          <w:szCs w:val="32"/>
        </w:rPr>
      </w:pPr>
      <w:r>
        <w:rPr>
          <w:rFonts w:hint="eastAsia" w:ascii="黑体" w:hAnsi="黑体" w:eastAsia="黑体"/>
          <w:sz w:val="32"/>
          <w:szCs w:val="32"/>
        </w:rPr>
        <w:t>第二十二条</w:t>
      </w:r>
      <w:r>
        <w:rPr>
          <w:rFonts w:hint="eastAsia" w:ascii="仿宋_GB2312" w:hAnsi="Times New Roman" w:eastAsia="仿宋_GB2312"/>
          <w:b/>
          <w:sz w:val="32"/>
          <w:szCs w:val="32"/>
        </w:rPr>
        <w:t xml:space="preserve"> </w:t>
      </w:r>
      <w:r>
        <w:rPr>
          <w:rFonts w:hint="eastAsia" w:ascii="仿宋_GB2312" w:hAnsi="Times New Roman" w:eastAsia="仿宋_GB2312"/>
          <w:sz w:val="32"/>
          <w:szCs w:val="32"/>
        </w:rPr>
        <w:t>从事农用地土壤污染治理与修复活动的单位和个人应当采取必要措施防止产生二次污染，并防止对被修复土壤和周边环境造成新的污染。治理与修复过程中产生的废水、废气和固体废物，应当按照国家有关规定进行处理或者处置，并达到国家或者地方规定的环境保护标准和要求。</w:t>
      </w:r>
    </w:p>
    <w:p>
      <w:pPr>
        <w:keepNext w:val="0"/>
        <w:keepLines w:val="0"/>
        <w:pageBreakBefore w:val="0"/>
        <w:kinsoku/>
        <w:wordWrap/>
        <w:overflowPunct/>
        <w:topLinePunct/>
        <w:autoSpaceDE/>
        <w:autoSpaceDN/>
        <w:bidi w:val="0"/>
        <w:adjustRightInd w:val="0"/>
        <w:snapToGrid w:val="0"/>
        <w:spacing w:line="336" w:lineRule="auto"/>
        <w:ind w:firstLine="640" w:firstLineChars="200"/>
        <w:outlineLvl w:val="1"/>
        <w:rPr>
          <w:rFonts w:hint="eastAsia" w:ascii="仿宋_GB2312" w:hAnsi="Times New Roman" w:eastAsia="仿宋_GB2312"/>
          <w:sz w:val="32"/>
          <w:szCs w:val="32"/>
        </w:rPr>
      </w:pPr>
      <w:r>
        <w:rPr>
          <w:rFonts w:hint="eastAsia" w:ascii="黑体" w:hAnsi="黑体" w:eastAsia="黑体"/>
          <w:sz w:val="32"/>
          <w:szCs w:val="32"/>
        </w:rPr>
        <w:t>第二十三条</w:t>
      </w:r>
      <w:r>
        <w:rPr>
          <w:rFonts w:hint="eastAsia" w:ascii="仿宋_GB2312" w:hAnsi="Times New Roman" w:eastAsia="仿宋_GB2312"/>
          <w:b/>
          <w:sz w:val="32"/>
          <w:szCs w:val="32"/>
        </w:rPr>
        <w:t xml:space="preserve"> </w:t>
      </w:r>
      <w:r>
        <w:rPr>
          <w:rFonts w:hint="eastAsia" w:ascii="仿宋_GB2312" w:hAnsi="Times New Roman" w:eastAsia="仿宋_GB2312"/>
          <w:sz w:val="32"/>
          <w:szCs w:val="32"/>
        </w:rPr>
        <w:t>县级以上地方环境保护主管部门应当对农用地土壤污染治理与修复的环境保护措施落实情况进行监督检查。</w:t>
      </w:r>
    </w:p>
    <w:p>
      <w:pPr>
        <w:keepNext w:val="0"/>
        <w:keepLines w:val="0"/>
        <w:pageBreakBefore w:val="0"/>
        <w:kinsoku/>
        <w:wordWrap/>
        <w:overflowPunct/>
        <w:topLinePunct/>
        <w:autoSpaceDE/>
        <w:autoSpaceDN/>
        <w:bidi w:val="0"/>
        <w:adjustRightInd w:val="0"/>
        <w:snapToGrid w:val="0"/>
        <w:spacing w:line="336" w:lineRule="auto"/>
        <w:ind w:firstLine="640" w:firstLineChars="200"/>
        <w:outlineLvl w:val="1"/>
        <w:rPr>
          <w:rFonts w:hint="eastAsia" w:ascii="仿宋_GB2312" w:hAnsi="Times New Roman" w:eastAsia="仿宋_GB2312"/>
          <w:sz w:val="32"/>
          <w:szCs w:val="32"/>
        </w:rPr>
      </w:pPr>
      <w:r>
        <w:rPr>
          <w:rFonts w:hint="eastAsia" w:ascii="仿宋_GB2312" w:hAnsi="Times New Roman" w:eastAsia="仿宋_GB2312"/>
          <w:sz w:val="32"/>
          <w:szCs w:val="32"/>
        </w:rPr>
        <w:t>治理与修复活动结束后，县级以上地方农业主管部门应当委托第三方机构对治理与修复效果进行评估，评估结果上传农用地环境信息系统。</w:t>
      </w:r>
    </w:p>
    <w:p>
      <w:pPr>
        <w:keepNext w:val="0"/>
        <w:keepLines w:val="0"/>
        <w:pageBreakBefore w:val="0"/>
        <w:kinsoku/>
        <w:wordWrap/>
        <w:overflowPunct/>
        <w:topLinePunct/>
        <w:autoSpaceDE/>
        <w:autoSpaceDN/>
        <w:bidi w:val="0"/>
        <w:adjustRightInd w:val="0"/>
        <w:snapToGrid w:val="0"/>
        <w:spacing w:line="336" w:lineRule="auto"/>
        <w:ind w:firstLine="640" w:firstLineChars="200"/>
        <w:outlineLvl w:val="1"/>
        <w:rPr>
          <w:rFonts w:hint="eastAsia" w:ascii="仿宋_GB2312" w:hAnsi="Times New Roman" w:eastAsia="仿宋_GB2312"/>
          <w:sz w:val="32"/>
          <w:szCs w:val="32"/>
        </w:rPr>
      </w:pPr>
      <w:r>
        <w:rPr>
          <w:rFonts w:hint="eastAsia" w:ascii="黑体" w:hAnsi="黑体" w:eastAsia="黑体"/>
          <w:sz w:val="32"/>
          <w:szCs w:val="32"/>
        </w:rPr>
        <w:t>第二十四条</w:t>
      </w:r>
      <w:r>
        <w:rPr>
          <w:rFonts w:hint="eastAsia" w:ascii="仿宋_GB2312" w:hAnsi="Times New Roman" w:eastAsia="仿宋_GB2312"/>
          <w:b/>
          <w:sz w:val="32"/>
          <w:szCs w:val="32"/>
        </w:rPr>
        <w:t xml:space="preserve"> </w:t>
      </w:r>
      <w:r>
        <w:rPr>
          <w:rFonts w:hint="eastAsia" w:ascii="仿宋_GB2312" w:hAnsi="Times New Roman" w:eastAsia="仿宋_GB2312"/>
          <w:sz w:val="32"/>
          <w:szCs w:val="32"/>
        </w:rPr>
        <w:t>县级以上地方农业主管部门应当对严格管控类耕地采取以下风险管控措施：</w:t>
      </w:r>
    </w:p>
    <w:p>
      <w:pPr>
        <w:keepNext w:val="0"/>
        <w:keepLines w:val="0"/>
        <w:pageBreakBefore w:val="0"/>
        <w:kinsoku/>
        <w:wordWrap/>
        <w:overflowPunct/>
        <w:topLinePunct/>
        <w:autoSpaceDE/>
        <w:autoSpaceDN/>
        <w:bidi w:val="0"/>
        <w:adjustRightInd w:val="0"/>
        <w:snapToGrid w:val="0"/>
        <w:spacing w:line="336" w:lineRule="auto"/>
        <w:ind w:firstLine="640" w:firstLineChars="200"/>
        <w:outlineLvl w:val="1"/>
        <w:rPr>
          <w:rFonts w:hint="eastAsia" w:ascii="仿宋_GB2312" w:hAnsi="Times New Roman" w:eastAsia="仿宋_GB2312"/>
          <w:sz w:val="32"/>
          <w:szCs w:val="32"/>
        </w:rPr>
      </w:pPr>
      <w:r>
        <w:rPr>
          <w:rFonts w:hint="eastAsia" w:ascii="仿宋_GB2312" w:hAnsi="Times New Roman" w:eastAsia="仿宋_GB2312"/>
          <w:sz w:val="32"/>
          <w:szCs w:val="32"/>
        </w:rPr>
        <w:t>（一）依法提出划定特定农产品禁止生产区域的建议；</w:t>
      </w:r>
    </w:p>
    <w:p>
      <w:pPr>
        <w:keepNext w:val="0"/>
        <w:keepLines w:val="0"/>
        <w:pageBreakBefore w:val="0"/>
        <w:kinsoku/>
        <w:wordWrap/>
        <w:overflowPunct/>
        <w:topLinePunct/>
        <w:autoSpaceDE/>
        <w:autoSpaceDN/>
        <w:bidi w:val="0"/>
        <w:adjustRightInd w:val="0"/>
        <w:snapToGrid w:val="0"/>
        <w:spacing w:line="336" w:lineRule="auto"/>
        <w:ind w:firstLine="640" w:firstLineChars="200"/>
        <w:outlineLvl w:val="1"/>
        <w:rPr>
          <w:rFonts w:hint="eastAsia" w:ascii="仿宋_GB2312" w:hAnsi="Times New Roman" w:eastAsia="仿宋_GB2312"/>
          <w:sz w:val="32"/>
          <w:szCs w:val="32"/>
        </w:rPr>
      </w:pPr>
      <w:r>
        <w:rPr>
          <w:rFonts w:hint="eastAsia" w:ascii="仿宋_GB2312" w:hAnsi="Times New Roman" w:eastAsia="仿宋_GB2312"/>
          <w:sz w:val="32"/>
          <w:szCs w:val="32"/>
        </w:rPr>
        <w:t>（二）会同有关部门按照国家退耕还林还草计划，组织制定种植结构调整或者退耕还林还草计划，报所在地人民政府批准后组织实施，并上传农用地环境信息系统。</w:t>
      </w:r>
    </w:p>
    <w:p>
      <w:pPr>
        <w:keepNext w:val="0"/>
        <w:keepLines w:val="0"/>
        <w:pageBreakBefore w:val="0"/>
        <w:kinsoku/>
        <w:wordWrap/>
        <w:overflowPunct/>
        <w:topLinePunct/>
        <w:autoSpaceDE/>
        <w:autoSpaceDN/>
        <w:bidi w:val="0"/>
        <w:adjustRightInd w:val="0"/>
        <w:snapToGrid w:val="0"/>
        <w:spacing w:line="336" w:lineRule="auto"/>
        <w:ind w:firstLine="640" w:firstLineChars="200"/>
        <w:outlineLvl w:val="1"/>
        <w:rPr>
          <w:rFonts w:hint="eastAsia" w:ascii="仿宋_GB2312" w:hAnsi="Times New Roman" w:eastAsia="仿宋_GB2312"/>
          <w:sz w:val="32"/>
          <w:szCs w:val="32"/>
        </w:rPr>
      </w:pPr>
      <w:r>
        <w:rPr>
          <w:rFonts w:hint="eastAsia" w:ascii="黑体" w:hAnsi="黑体" w:eastAsia="黑体"/>
          <w:sz w:val="32"/>
          <w:szCs w:val="32"/>
        </w:rPr>
        <w:t>第二十五条</w:t>
      </w:r>
      <w:r>
        <w:rPr>
          <w:rFonts w:hint="eastAsia" w:ascii="仿宋_GB2312" w:hAnsi="Times New Roman" w:eastAsia="仿宋_GB2312"/>
          <w:b/>
          <w:sz w:val="32"/>
          <w:szCs w:val="32"/>
        </w:rPr>
        <w:t xml:space="preserve"> </w:t>
      </w:r>
      <w:r>
        <w:rPr>
          <w:rFonts w:hint="eastAsia" w:ascii="仿宋_GB2312" w:hAnsi="Times New Roman" w:eastAsia="仿宋_GB2312"/>
          <w:sz w:val="32"/>
          <w:szCs w:val="32"/>
        </w:rPr>
        <w:t>对威胁地下水、饮用水水源安全的严格管控类耕地，县级环境保护主管部门应当会同农业等主管部门制定环境风险管控方案，报同级人民政府批准后组织实施，并上传农用地环境信息系统。</w:t>
      </w:r>
    </w:p>
    <w:p>
      <w:pPr>
        <w:keepNext w:val="0"/>
        <w:keepLines w:val="0"/>
        <w:pageBreakBefore w:val="0"/>
        <w:kinsoku/>
        <w:wordWrap/>
        <w:overflowPunct/>
        <w:topLinePunct/>
        <w:autoSpaceDE/>
        <w:autoSpaceDN/>
        <w:bidi w:val="0"/>
        <w:adjustRightInd w:val="0"/>
        <w:snapToGrid w:val="0"/>
        <w:spacing w:line="336" w:lineRule="auto"/>
        <w:ind w:firstLine="640" w:firstLineChars="200"/>
        <w:outlineLvl w:val="1"/>
        <w:rPr>
          <w:rFonts w:hint="eastAsia" w:ascii="仿宋_GB2312" w:hAnsi="Times New Roman" w:eastAsia="仿宋_GB2312"/>
          <w:sz w:val="32"/>
          <w:szCs w:val="32"/>
        </w:rPr>
      </w:pPr>
    </w:p>
    <w:p>
      <w:pPr>
        <w:keepNext w:val="0"/>
        <w:keepLines w:val="0"/>
        <w:pageBreakBefore w:val="0"/>
        <w:numPr>
          <w:ilvl w:val="0"/>
          <w:numId w:val="1"/>
        </w:numPr>
        <w:kinsoku/>
        <w:wordWrap/>
        <w:overflowPunct/>
        <w:topLinePunct/>
        <w:autoSpaceDE/>
        <w:autoSpaceDN/>
        <w:bidi w:val="0"/>
        <w:adjustRightInd w:val="0"/>
        <w:snapToGrid w:val="0"/>
        <w:spacing w:line="336" w:lineRule="auto"/>
        <w:ind w:left="0" w:leftChars="0" w:firstLine="0" w:firstLineChars="0"/>
        <w:jc w:val="center"/>
        <w:outlineLvl w:val="0"/>
        <w:rPr>
          <w:rFonts w:hint="eastAsia" w:ascii="黑体" w:hAnsi="黑体" w:eastAsia="黑体"/>
          <w:sz w:val="32"/>
          <w:szCs w:val="32"/>
        </w:rPr>
      </w:pPr>
      <w:r>
        <w:rPr>
          <w:rFonts w:hint="eastAsia" w:ascii="黑体" w:hAnsi="黑体" w:eastAsia="黑体"/>
          <w:sz w:val="32"/>
          <w:szCs w:val="32"/>
        </w:rPr>
        <w:t xml:space="preserve"> 监督管理</w:t>
      </w:r>
    </w:p>
    <w:p>
      <w:pPr>
        <w:keepNext w:val="0"/>
        <w:keepLines w:val="0"/>
        <w:pageBreakBefore w:val="0"/>
        <w:numPr>
          <w:numId w:val="0"/>
        </w:numPr>
        <w:kinsoku/>
        <w:wordWrap/>
        <w:overflowPunct/>
        <w:topLinePunct/>
        <w:autoSpaceDE/>
        <w:autoSpaceDN/>
        <w:bidi w:val="0"/>
        <w:adjustRightInd w:val="0"/>
        <w:snapToGrid w:val="0"/>
        <w:spacing w:line="336" w:lineRule="auto"/>
        <w:ind w:leftChars="0"/>
        <w:jc w:val="both"/>
        <w:outlineLvl w:val="0"/>
        <w:rPr>
          <w:rFonts w:hint="eastAsia" w:ascii="黑体" w:hAnsi="黑体" w:eastAsia="黑体"/>
          <w:sz w:val="32"/>
          <w:szCs w:val="32"/>
        </w:rPr>
      </w:pPr>
    </w:p>
    <w:p>
      <w:pPr>
        <w:keepNext w:val="0"/>
        <w:keepLines w:val="0"/>
        <w:pageBreakBefore w:val="0"/>
        <w:kinsoku/>
        <w:wordWrap/>
        <w:overflowPunct/>
        <w:topLinePunct/>
        <w:autoSpaceDE/>
        <w:autoSpaceDN/>
        <w:bidi w:val="0"/>
        <w:adjustRightInd w:val="0"/>
        <w:snapToGrid w:val="0"/>
        <w:spacing w:line="336" w:lineRule="auto"/>
        <w:ind w:firstLine="640" w:firstLineChars="200"/>
        <w:outlineLvl w:val="1"/>
        <w:rPr>
          <w:rFonts w:hint="eastAsia" w:ascii="仿宋_GB2312" w:hAnsi="Times New Roman" w:eastAsia="仿宋_GB2312"/>
          <w:sz w:val="32"/>
          <w:szCs w:val="32"/>
        </w:rPr>
      </w:pPr>
      <w:r>
        <w:rPr>
          <w:rFonts w:hint="eastAsia" w:ascii="黑体" w:hAnsi="黑体" w:eastAsia="黑体"/>
          <w:sz w:val="32"/>
          <w:szCs w:val="32"/>
        </w:rPr>
        <w:t>第二十六条</w:t>
      </w:r>
      <w:r>
        <w:rPr>
          <w:rFonts w:hint="eastAsia" w:ascii="仿宋_GB2312" w:hAnsi="Times New Roman" w:eastAsia="仿宋_GB2312"/>
          <w:b/>
          <w:sz w:val="32"/>
          <w:szCs w:val="32"/>
        </w:rPr>
        <w:t xml:space="preserve"> </w:t>
      </w:r>
      <w:r>
        <w:rPr>
          <w:rFonts w:hint="eastAsia" w:ascii="仿宋_GB2312" w:hAnsi="Times New Roman" w:eastAsia="仿宋_GB2312"/>
          <w:sz w:val="32"/>
          <w:szCs w:val="32"/>
        </w:rPr>
        <w:t>设区的市级以上地方环境保护主管部门应当定期对土壤环境重点监管企业周边农用地开展监测，监测结果作为环境执法和风险预警的重要依据，并上传农用地环境信息系统。</w:t>
      </w:r>
    </w:p>
    <w:p>
      <w:pPr>
        <w:keepNext w:val="0"/>
        <w:keepLines w:val="0"/>
        <w:pageBreakBefore w:val="0"/>
        <w:kinsoku/>
        <w:wordWrap/>
        <w:overflowPunct/>
        <w:topLinePunct/>
        <w:autoSpaceDE/>
        <w:autoSpaceDN/>
        <w:bidi w:val="0"/>
        <w:adjustRightInd w:val="0"/>
        <w:snapToGrid w:val="0"/>
        <w:spacing w:line="336" w:lineRule="auto"/>
        <w:ind w:firstLine="640" w:firstLineChars="200"/>
        <w:outlineLvl w:val="1"/>
        <w:rPr>
          <w:rFonts w:hint="eastAsia" w:ascii="仿宋_GB2312" w:hAnsi="Times New Roman" w:eastAsia="仿宋_GB2312"/>
          <w:sz w:val="32"/>
          <w:szCs w:val="32"/>
        </w:rPr>
      </w:pPr>
      <w:r>
        <w:rPr>
          <w:rFonts w:hint="eastAsia" w:ascii="仿宋_GB2312" w:hAnsi="Times New Roman" w:eastAsia="仿宋_GB2312"/>
          <w:sz w:val="32"/>
          <w:szCs w:val="32"/>
        </w:rPr>
        <w:t>设区的市级以上地方环境保护主管部门应当督促土壤环境重点监管企业自行或者委托专业机构开展土壤环境监测，监测结果向社会公开，并上传农用地环境信息系统。</w:t>
      </w:r>
    </w:p>
    <w:p>
      <w:pPr>
        <w:keepNext w:val="0"/>
        <w:keepLines w:val="0"/>
        <w:pageBreakBefore w:val="0"/>
        <w:kinsoku/>
        <w:wordWrap/>
        <w:overflowPunct/>
        <w:topLinePunct/>
        <w:autoSpaceDE/>
        <w:autoSpaceDN/>
        <w:bidi w:val="0"/>
        <w:adjustRightInd w:val="0"/>
        <w:snapToGrid w:val="0"/>
        <w:spacing w:line="336" w:lineRule="auto"/>
        <w:ind w:firstLine="640" w:firstLineChars="200"/>
        <w:outlineLvl w:val="1"/>
        <w:rPr>
          <w:rFonts w:hint="eastAsia" w:ascii="仿宋_GB2312" w:hAnsi="Times New Roman" w:eastAsia="仿宋_GB2312"/>
          <w:color w:val="000000"/>
          <w:sz w:val="32"/>
          <w:szCs w:val="32"/>
        </w:rPr>
      </w:pPr>
      <w:r>
        <w:rPr>
          <w:rFonts w:hint="eastAsia" w:ascii="黑体" w:hAnsi="黑体" w:eastAsia="黑体"/>
          <w:sz w:val="32"/>
          <w:szCs w:val="32"/>
        </w:rPr>
        <w:t>第二十七条</w:t>
      </w:r>
      <w:r>
        <w:rPr>
          <w:rFonts w:hint="eastAsia" w:ascii="仿宋_GB2312" w:hAnsi="Times New Roman" w:eastAsia="仿宋_GB2312"/>
          <w:b/>
          <w:sz w:val="32"/>
          <w:szCs w:val="32"/>
        </w:rPr>
        <w:t xml:space="preserve"> </w:t>
      </w:r>
      <w:r>
        <w:rPr>
          <w:rFonts w:hint="eastAsia" w:ascii="仿宋_GB2312" w:hAnsi="Times New Roman" w:eastAsia="仿宋_GB2312"/>
          <w:color w:val="000000"/>
          <w:sz w:val="32"/>
          <w:szCs w:val="32"/>
        </w:rPr>
        <w:t>县级以上环境保护主管部门和县级以上农业主管部门，有权对本行政区域内的农用地土壤污染防治相关活动进行现场检查。被检查单位应当予以配合，如实反映情况，提供必要的资料。实施现场检查的部门、机构及其工作人员应当为被检查单位保守商业秘密。</w:t>
      </w:r>
    </w:p>
    <w:p>
      <w:pPr>
        <w:keepNext w:val="0"/>
        <w:keepLines w:val="0"/>
        <w:pageBreakBefore w:val="0"/>
        <w:kinsoku/>
        <w:wordWrap/>
        <w:overflowPunct/>
        <w:topLinePunct/>
        <w:autoSpaceDE/>
        <w:autoSpaceDN/>
        <w:bidi w:val="0"/>
        <w:adjustRightInd w:val="0"/>
        <w:snapToGrid w:val="0"/>
        <w:spacing w:line="336" w:lineRule="auto"/>
        <w:ind w:firstLine="640" w:firstLineChars="200"/>
        <w:outlineLvl w:val="1"/>
        <w:rPr>
          <w:rFonts w:hint="eastAsia" w:ascii="仿宋_GB2312" w:hAnsi="Times New Roman" w:eastAsia="仿宋_GB2312"/>
          <w:sz w:val="32"/>
          <w:szCs w:val="32"/>
        </w:rPr>
      </w:pPr>
      <w:r>
        <w:rPr>
          <w:rFonts w:hint="eastAsia" w:ascii="黑体" w:hAnsi="黑体" w:eastAsia="黑体"/>
          <w:sz w:val="32"/>
          <w:szCs w:val="32"/>
        </w:rPr>
        <w:t>第二十八条</w:t>
      </w:r>
      <w:r>
        <w:rPr>
          <w:rFonts w:hint="eastAsia" w:ascii="仿宋_GB2312" w:hAnsi="Times New Roman" w:eastAsia="仿宋_GB2312"/>
          <w:b/>
          <w:sz w:val="32"/>
          <w:szCs w:val="32"/>
        </w:rPr>
        <w:t xml:space="preserve"> </w:t>
      </w:r>
      <w:r>
        <w:rPr>
          <w:rFonts w:hint="eastAsia" w:ascii="仿宋_GB2312" w:hAnsi="Times New Roman" w:eastAsia="仿宋_GB2312"/>
          <w:sz w:val="32"/>
          <w:szCs w:val="32"/>
        </w:rPr>
        <w:t>突发环境事件可能造成农用地土壤污染的，县级以上地方环境保护主管部门应当及时会同农业主管部门对可能受到污染的农用地土壤进行监测，并根据监测结果及时向当地人民政府提出应急处置建议。</w:t>
      </w:r>
    </w:p>
    <w:p>
      <w:pPr>
        <w:keepNext w:val="0"/>
        <w:keepLines w:val="0"/>
        <w:pageBreakBefore w:val="0"/>
        <w:kinsoku/>
        <w:wordWrap/>
        <w:overflowPunct/>
        <w:topLinePunct/>
        <w:autoSpaceDE/>
        <w:autoSpaceDN/>
        <w:bidi w:val="0"/>
        <w:adjustRightInd w:val="0"/>
        <w:snapToGrid w:val="0"/>
        <w:spacing w:line="336" w:lineRule="auto"/>
        <w:ind w:firstLine="640" w:firstLineChars="200"/>
        <w:rPr>
          <w:rFonts w:hint="eastAsia" w:ascii="仿宋_GB2312" w:hAnsi="Times New Roman" w:eastAsia="仿宋_GB2312"/>
          <w:sz w:val="32"/>
          <w:szCs w:val="32"/>
        </w:rPr>
      </w:pPr>
      <w:r>
        <w:rPr>
          <w:rFonts w:hint="eastAsia" w:ascii="黑体" w:hAnsi="黑体" w:eastAsia="黑体"/>
          <w:sz w:val="32"/>
          <w:szCs w:val="32"/>
        </w:rPr>
        <w:t>第二十九条</w:t>
      </w:r>
      <w:r>
        <w:rPr>
          <w:rFonts w:hint="eastAsia" w:ascii="仿宋_GB2312" w:hAnsi="Times New Roman" w:eastAsia="仿宋_GB2312"/>
          <w:b/>
          <w:sz w:val="32"/>
          <w:szCs w:val="32"/>
        </w:rPr>
        <w:t xml:space="preserve"> </w:t>
      </w:r>
      <w:r>
        <w:rPr>
          <w:rFonts w:hint="eastAsia" w:ascii="仿宋_GB2312" w:hAnsi="Times New Roman" w:eastAsia="仿宋_GB2312"/>
          <w:sz w:val="32"/>
          <w:szCs w:val="32"/>
        </w:rPr>
        <w:t>违反本办法规定，受委托的专业机构在从事农用地土壤污染防治相关活动中，不负责任或者弄虚作假的，由县级以上地方环境保护主管部门、农业主管部门将该机构失信情况记入其环境信用记录，并通过企业信用信息系统向社会公开。</w:t>
      </w:r>
    </w:p>
    <w:p>
      <w:pPr>
        <w:keepNext w:val="0"/>
        <w:keepLines w:val="0"/>
        <w:pageBreakBefore w:val="0"/>
        <w:kinsoku/>
        <w:wordWrap/>
        <w:overflowPunct/>
        <w:topLinePunct/>
        <w:autoSpaceDE/>
        <w:autoSpaceDN/>
        <w:bidi w:val="0"/>
        <w:adjustRightInd w:val="0"/>
        <w:snapToGrid w:val="0"/>
        <w:spacing w:line="336" w:lineRule="auto"/>
        <w:ind w:firstLine="640" w:firstLineChars="200"/>
        <w:rPr>
          <w:rFonts w:hint="eastAsia" w:ascii="仿宋_GB2312" w:hAnsi="Times New Roman" w:eastAsia="仿宋_GB2312"/>
          <w:sz w:val="32"/>
          <w:szCs w:val="32"/>
        </w:rPr>
      </w:pPr>
    </w:p>
    <w:p>
      <w:pPr>
        <w:keepNext w:val="0"/>
        <w:keepLines w:val="0"/>
        <w:pageBreakBefore w:val="0"/>
        <w:numPr>
          <w:ilvl w:val="0"/>
          <w:numId w:val="1"/>
        </w:numPr>
        <w:kinsoku/>
        <w:wordWrap/>
        <w:overflowPunct/>
        <w:topLinePunct/>
        <w:autoSpaceDE/>
        <w:autoSpaceDN/>
        <w:bidi w:val="0"/>
        <w:adjustRightInd w:val="0"/>
        <w:snapToGrid w:val="0"/>
        <w:spacing w:line="336" w:lineRule="auto"/>
        <w:ind w:left="0" w:leftChars="0" w:firstLine="0" w:firstLineChars="0"/>
        <w:jc w:val="center"/>
        <w:outlineLvl w:val="0"/>
        <w:rPr>
          <w:rFonts w:hint="eastAsia" w:ascii="黑体" w:hAnsi="黑体" w:eastAsia="黑体"/>
          <w:sz w:val="32"/>
          <w:szCs w:val="32"/>
        </w:rPr>
      </w:pPr>
      <w:r>
        <w:rPr>
          <w:rFonts w:hint="eastAsia" w:ascii="黑体" w:hAnsi="黑体" w:eastAsia="黑体"/>
          <w:sz w:val="32"/>
          <w:szCs w:val="32"/>
        </w:rPr>
        <w:t xml:space="preserve"> 附  则</w:t>
      </w:r>
    </w:p>
    <w:p>
      <w:pPr>
        <w:keepNext w:val="0"/>
        <w:keepLines w:val="0"/>
        <w:pageBreakBefore w:val="0"/>
        <w:numPr>
          <w:numId w:val="0"/>
        </w:numPr>
        <w:kinsoku/>
        <w:wordWrap/>
        <w:overflowPunct/>
        <w:topLinePunct/>
        <w:autoSpaceDE/>
        <w:autoSpaceDN/>
        <w:bidi w:val="0"/>
        <w:adjustRightInd w:val="0"/>
        <w:snapToGrid w:val="0"/>
        <w:spacing w:line="336" w:lineRule="auto"/>
        <w:ind w:leftChars="0"/>
        <w:jc w:val="both"/>
        <w:outlineLvl w:val="0"/>
        <w:rPr>
          <w:rFonts w:hint="eastAsia" w:ascii="黑体" w:hAnsi="黑体" w:eastAsia="黑体"/>
          <w:sz w:val="32"/>
          <w:szCs w:val="32"/>
        </w:rPr>
      </w:pPr>
    </w:p>
    <w:p>
      <w:pPr>
        <w:keepNext w:val="0"/>
        <w:keepLines w:val="0"/>
        <w:pageBreakBefore w:val="0"/>
        <w:kinsoku/>
        <w:wordWrap/>
        <w:overflowPunct/>
        <w:autoSpaceDE/>
        <w:autoSpaceDN/>
        <w:bidi w:val="0"/>
        <w:adjustRightInd w:val="0"/>
        <w:snapToGrid w:val="0"/>
        <w:spacing w:line="336" w:lineRule="auto"/>
        <w:ind w:firstLine="640" w:firstLineChars="200"/>
        <w:rPr>
          <w:rFonts w:hint="eastAsia" w:ascii="仿宋_GB2312" w:eastAsia="仿宋_GB2312"/>
          <w:sz w:val="32"/>
          <w:szCs w:val="32"/>
        </w:rPr>
      </w:pPr>
      <w:r>
        <w:rPr>
          <w:rFonts w:hint="eastAsia" w:ascii="黑体" w:hAnsi="黑体" w:eastAsia="黑体"/>
          <w:sz w:val="32"/>
          <w:szCs w:val="32"/>
        </w:rPr>
        <w:t>第三十条</w:t>
      </w:r>
      <w:r>
        <w:rPr>
          <w:rFonts w:hint="eastAsia" w:ascii="仿宋_GB2312" w:hAnsi="Times New Roman" w:eastAsia="仿宋_GB2312"/>
          <w:b/>
          <w:sz w:val="32"/>
          <w:szCs w:val="32"/>
        </w:rPr>
        <w:t xml:space="preserve"> </w:t>
      </w:r>
      <w:r>
        <w:rPr>
          <w:rFonts w:hint="eastAsia" w:ascii="仿宋_GB2312" w:hAnsi="Times New Roman" w:eastAsia="仿宋_GB2312"/>
          <w:sz w:val="32"/>
          <w:szCs w:val="32"/>
        </w:rPr>
        <w:t>本办法自2017年11月1日起施行。</w:t>
      </w:r>
    </w:p>
    <w:p>
      <w:pPr>
        <w:keepNext w:val="0"/>
        <w:keepLines w:val="0"/>
        <w:pageBreakBefore w:val="0"/>
        <w:kinsoku/>
        <w:wordWrap/>
        <w:overflowPunct/>
        <w:autoSpaceDE/>
        <w:autoSpaceDN/>
        <w:bidi w:val="0"/>
        <w:snapToGrid w:val="0"/>
        <w:spacing w:line="336" w:lineRule="auto"/>
        <w:rPr>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生态环境部发布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生态环境部</w:t>
    </w:r>
    <w:r>
      <w:rPr>
        <w:rFonts w:hint="eastAsia" w:ascii="宋体" w:hAnsi="宋体" w:eastAsia="宋体" w:cs="宋体"/>
        <w:b/>
        <w:bCs/>
        <w:color w:val="005192"/>
        <w:sz w:val="32"/>
        <w:szCs w:val="32"/>
        <w:lang w:val="en-US" w:eastAsia="zh-CN"/>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0046DD"/>
    <w:multiLevelType w:val="singleLevel"/>
    <w:tmpl w:val="4F0046DD"/>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2B62F07"/>
    <w:rsid w:val="03D30B03"/>
    <w:rsid w:val="04B679C3"/>
    <w:rsid w:val="080F63D8"/>
    <w:rsid w:val="09341458"/>
    <w:rsid w:val="0B0912D7"/>
    <w:rsid w:val="152D2DCA"/>
    <w:rsid w:val="16C479CE"/>
    <w:rsid w:val="18D4191D"/>
    <w:rsid w:val="19EF4A15"/>
    <w:rsid w:val="1DEC284C"/>
    <w:rsid w:val="1E6523AC"/>
    <w:rsid w:val="22440422"/>
    <w:rsid w:val="3165139D"/>
    <w:rsid w:val="31A15F24"/>
    <w:rsid w:val="36ED1310"/>
    <w:rsid w:val="395347B5"/>
    <w:rsid w:val="39A232A0"/>
    <w:rsid w:val="39E745AA"/>
    <w:rsid w:val="3A805ED1"/>
    <w:rsid w:val="3B5A6BBB"/>
    <w:rsid w:val="3EDA13A6"/>
    <w:rsid w:val="427633EC"/>
    <w:rsid w:val="42F058B7"/>
    <w:rsid w:val="436109F6"/>
    <w:rsid w:val="441A38D4"/>
    <w:rsid w:val="4BC77339"/>
    <w:rsid w:val="4C9236C5"/>
    <w:rsid w:val="505C172E"/>
    <w:rsid w:val="52F46F0B"/>
    <w:rsid w:val="53D8014D"/>
    <w:rsid w:val="55E064E0"/>
    <w:rsid w:val="572C6D10"/>
    <w:rsid w:val="5DC34279"/>
    <w:rsid w:val="608816D1"/>
    <w:rsid w:val="60EF4E7F"/>
    <w:rsid w:val="640055B5"/>
    <w:rsid w:val="641B3092"/>
    <w:rsid w:val="665233C1"/>
    <w:rsid w:val="68BD3157"/>
    <w:rsid w:val="6AD9688B"/>
    <w:rsid w:val="6D0E3F22"/>
    <w:rsid w:val="7C4B74EF"/>
    <w:rsid w:val="7C9011D9"/>
    <w:rsid w:val="7DA51EF1"/>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uiPriority w:val="0"/>
  </w:style>
  <w:style w:type="paragraph" w:customStyle="1" w:styleId="8">
    <w:name w:val="Normal (Web)"/>
    <w:basedOn w:val="1"/>
    <w:uiPriority w:val="0"/>
    <w:pPr>
      <w:widowControl/>
      <w:spacing w:before="100" w:beforeLines="0" w:beforeAutospacing="1" w:after="100" w:afterLines="0" w:afterAutospacing="1"/>
      <w:jc w:val="left"/>
    </w:pPr>
    <w:rPr>
      <w:rFonts w:ascii="宋体" w:hAnsi="宋体"/>
      <w:kern w:val="0"/>
      <w:sz w:val="24"/>
    </w:rPr>
  </w:style>
  <w:style w:type="character" w:customStyle="1" w:styleId="9">
    <w:name w:val="page number"/>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总值班室</cp:lastModifiedBy>
  <cp:lastPrinted>2021-10-26T03:30:00Z</cp:lastPrinted>
  <dcterms:modified xsi:type="dcterms:W3CDTF">2021-12-23T13:18:36Z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48C61CB29D3F4D9384F5922CF0F7FFB4</vt:lpwstr>
  </property>
</Properties>
</file>